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and Design Coordinator with a Bachelor's degree in Social Communication (Marketing &amp; Advertising) and five years of experience producing branded content, managing multi-client marketing workflows, and coordinating creative deliverables across digital and print channels. Proficient in Canva and Adobe Creative Suite. Comfortable operating in fast-paced agency environments where attention to detail, creative output, and deadline adherence are non-negotiable. Bilingual in English and Spanish.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Coordination · Graphic Design (Canva, Adobe Suite) · Brand Identity &amp; Consistency · Digital Content Production · Social Media Management · Print &amp; Digital Asset Creation · Editorial Calendar Management · Client Communication · Multi-Account Coordination · Short-Form Video Editing · Bilingual Content (EN/ES) · Campaign Support · Microsoft Office Suite · Google Workspace · AI-Assisted Content Workflow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Design Coordinator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branded marketing materials — digital graphics, social media content, promotional flyers, email campaigns, event signage, and advertising copy — for multiple clients simultaneously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full creative workflow from brief to delivery: concept, design, copy, revision, and final output, consistently hitting client deadlines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brand identity guidelines across all touchpoints, ensuring visual and editorial consistency across campaigns and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content calendars and coordinated publishing schedules for Instagram, Facebook, LinkedIn, and TikTok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bilingual (English/Spanish) marketing content, extending client reach into Spanish-language markets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client stakeholders, vendors, and collaborators to align deliverables with business objectives and launch timelines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Design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corporate social media presence and designed branded digital content across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advertising copy, presentations, and visual marketing materials aligned with brand guidelines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creative deliverables between marketing, operations, and management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professional training documentation, operational communications, and visual materials in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workflow coordination across departments with tight turnarounds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production records and operational tracking in a high-volume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marketing and branded content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events with end-to-end design and promotional execution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available for bilingual client work, campaigns, and communications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DESIGN &amp; MARKETING 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(Advanced) · Adobe Photoshop · Adobe Illustrator · Adobe InDesign · Meta Business Suite · Google Workspace · Microsoft Office Suite (Word, Excel, PowerPoint) · Content Scheduling Platforms · AI Tools (ChatGPT, Generative AI for content acceleration)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