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(Professional) / Spanish (Native)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marketing coordinator with hands-on experience in social media management, content production, and multi-channel campaign coordination. Brings a strong creative eye, organizational discipline, and deep familiarity with service brand marketing. Experienced translating brand identity into consistent, engaging content across platforms — and coordinating the moving parts that make campaigns execute on time. Dublin, OH based.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Management · Content Strategy &amp; Production · Editorial Calendar Management · Brand Voice Development · Canva · Adobe Creative Suite · Campaign Coordination · Marketing Collateral Production · Email Marketing · Client &amp; Team Communication · Analytics &amp; Reporting · Google Workspace · Video &amp; Photo Content · AI Content Tools (ChatGPT)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workflow and communications between departments in a complex, fast-paced operational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deliver bilingual training materials, process documentation, and instructional content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multiple concurrent projects under tight deadlines — production schedules, reporting, and cross-team coordination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Build strong working relationships across teams through clear, consistent communication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managed social media strategies for multiple service-based clients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branded content: graphics, Reels, Stories, promotional videos, and copy — aligned to each client's brand voice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editorial calendars, posting cadence, and engagement across Instagram, Facebook, TikTok, and LinkedIn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marketing campaigns for events: creative assets, social promotion, on-site content capture, post-campaign reporting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client communication and delivered projects within agreed timelines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all corporate social media channels and developed a cohesive content strategy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presentations, promotional materials, and advertising campaigns from concept to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communication between clients, suppliers, and internal teams to ensure alignment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new client acquisition through targeted digital marketing and content outreach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and reported on social media performance metrics to guide ongoing strategy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inventory and operations in a high-volume retail merchandising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Provided training and procedural support to new team members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 for university institutional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Led marketing and promotional efforts for semester-end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 of secondary institutional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(spoken, written, professional)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working proficiency (spoken, written, daily use)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ADDITIONAL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Short-Form Video Production · Trend Identification · Community Engagement · Event Promotion · Marketing Collateral Design · Proposal Writing · Brand Consistency · Scheduling Tools (Later, Buffer, Hootsuite) · Microsoft Office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