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Public Relations and Communications professional with a degree in Social Communication (Marketing &amp; Advertising) and hands-on experience in brand communications, media content, community outreach, and client-facing coordination. Skilled at crafting compelling narratives, managing brand presence across channels, and building authentic relationships between organizations and their audiences. Bilingual in English and Spanish.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Public Relations · Brand Communications · Press Release Writing · Community Outreach · Stakeholder Relations · Media Content Creation · Social Media Management · Event Coordination · Client &amp; Partner Communication · Crisis Communication · Bilingual Communications (EN/ES) · Canva · Adobe Photoshop · Adobe Illustrator · Meta Business Suite · Microsoft Office Suite · Google Workspace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Marketing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executed PR and marketing communications strategies for multiple clients, managing brand voice, public-facing messaging, and outreach campaigns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press-ready materials, promotional content, and branded communications across print and digital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community outreach events and served as client liaison to external partners, media contacts, and stakeholders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and maintained professional relationships with clients, vendors, and collaborators, representing brands with consistency and professionalism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media presence and corporate communications, ensuring message alignment and audience engagement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managed brand communications across corporate social media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communications between clients, suppliers, and internal teams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marketing presentations, advertising copy, and digital content aligned with brand guidelines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media and promotional outreach to attract new customers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July 2026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 as bilingual communications bridge between management and a multicultural workforce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training documentation and deliver onboarding communications in English and Spanish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 administrative reporting, workflow documentation, and cross-team coordination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operational communications and documentation in a high-volume logistics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communications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organizer, university community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Temporary Editor, Secondary Social Media Platforms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use)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directly applicable to bilingual PR campaigns and outreach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Meta Business Suite · Adobe Photoshop · Adobe Illustrator · Adobe InDesign · Microsoft Office Suite · Google Workspace · AI Tools (ChatGPT, Generative AI)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