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Community Relations professional with a background in communications, outreach coordination, stakeholder engagement, and brand-community connection. Experienced in building authentic relationships across diverse populations, coordinating community-facing programs and events, and serving as a trusted liaison between organizations and the communities they serve. Native Spanish speaker with daily professional use of English.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Community Relations · Stakeholder Engagement · Bilingual Communications (EN/ES) · Community Outreach &amp; Events · Partnership Development · Client &amp; Community Liaison · Brand-Community Connection · Program Support · Public Relations · Social Media &amp; Digital Outreach · Cross-cultural Communication · Presentations &amp; Public Speaking · Microsoft Office Suite · Google Workspace · Canva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community outreach initiatives for clients, building connections between brands and local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the primary community liaison, representing client organizations at events and in external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community-facing events end-to-end: planning, logistics, vendor coordination, and on-site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partnerships with external stakeholders, vendors, and community organizations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culturally relevant content and communications materials for diverse, bilingual audiences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communications with clients, suppliers, and partners to maintain aligned messaging and relationship continuity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external-facing brand presence through social media and digital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customer acquisition through targeted outreach and relationship-building campaigns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between management and a multicultural workforce in Columbus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Deliver onboarding communications and training in both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Build trust across cultural and language barriers in a large operational environment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high-volume operations in a diverse, fast-paced environment requiring strong communication and adaptability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University Community Events Coordinator — planned and executed institutional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Fermín Toro University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Camp Counselor &amp; Group Coordinator, Campamento La Llanada — community supervision and leadership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(reading, writing, speaking — 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critical asset for bilingual community relations and Hispanic outreach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