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Communications and Marketing professional with a Bachelor's degree in Social Communication (Marketing &amp; Advertising) and experience developing institutional communications, managing public-facing content, and coordinating community outreach programs. Skilled at creating professional marketing materials, maintaining brand consistency across channels, and supporting organizational communications in deadline-driven environments. Bilingual in English and Spanish, with a track record of building authentic connections between organizations and diverse audiences.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Institutional Communications · Marketing Coordination · Content Creation · Community Outreach · Social Media Management · Event Planning &amp; Execution · Brand Consistency · Press &amp; Promotional Materials · Bilingual Communications (EN/ES) · Cross-Functional Collaboration · Project Coordination · Stakeholder Communication · Canva · Adobe Suite · Microsoft Office Suite · Google Workspace · Photography &amp; Visual Content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marketing communications plans for multiple clients across education, retail, and community sectors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institutional content: newsletters, promotional flyers, event materials, branded signage, and digital graphics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editorial calendars and ensured content deadlines were consistently met across concurrent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community-facing events from concept to execution — including logistics, vendor communication, promotional outreach, and on-site management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Wrote press releases, blog copy, email communications, and social media content aligned to organizational tone and audience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brand communications and managed corporate social media channels, maintaining consistent visual and editorial standards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materials for internal and external audiences including presentations, advertising copy, and event promotion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cross-team communications between marketing, operations, and client-facing staff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deliver communications training documentation in English and Spanish to diverse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administrative reporting, onboarding materials, and cross-departmental communication processes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between management and staff, ensuring clarity and consistency in institutional messaging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operational records and supported workflow documentation in a high-volume production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and public programs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Editor,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directly applicable to bilingual marketing materials and community outreach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· Adobe Illustrator · Adobe InDesign · Meta Business Suite · Microsoft Office Suite (Word, Excel, PowerPoint) · Google Workspace · Email Marketing Platforms · AI Tools for Content Creation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