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and Design Coordinator with a Bachelor's degree in Social Communication (Marketing &amp; Advertising) and five years of experience producing branded content, managing multi-client marketing workflows, and coordinating creative deliverables across digital and print channels. Proficient in Canva and Adobe Creative Suite. Comfortable operating in fast-paced agency environments where attention to detail, creative output, and deadline adherence are non-negotiable. Bilingual in English and Spanish.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Coordination · Graphic Design (Canva, Adobe Suite) · Brand Identity &amp; Consistency · Digital Content Production · Social Media Management · Print &amp; Digital Asset Creation · Editorial Calendar Management · Client Communication · Multi-Account Coordination · Short-Form Video Editing · Bilingual Content (EN/ES) · Campaign Support · Microsoft Office Suite · Google Workspace · AI-Assisted Content Workflow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Design Coordinator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branded marketing materials — digital graphics, social media content, promotional flyers, email campaigns, event signage, and advertising copy — for multiple clients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full creative workflow from brief to delivery: concept, design, copy, revision, and final output, consistently hitting client deadlines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brand identity guidelines across all touchpoints, ensuring visual and editorial consistency across campaigns and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content calendars and coordinated publishing schedules for Instagram, Facebook, LinkedIn, and TikTok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bilingual (English/Spanish) marketing content, extending client reach into Spanish-language markets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client stakeholders, vendors, and collaborators to align deliverables with business objectives and launch timelines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Design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corporate social media presence and designed branded digital content across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advertising copy, presentations, and visual marketing materials aligned with brand guidelines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creative deliverables between marketing, operations, and management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professional training documentation, operational communications, and visual materials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workflow coordination across departments with tight turnarounds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production records and operational tracking in a high-volume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marketing and branded content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events with end-to-end design and promotional execution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available for bilingual client work, campaigns, and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DESIGN &amp; MARKETING 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(Advanced) · Adobe Photoshop · Adobe Illustrator · Adobe InDesign · Meta Business Suite · Google Workspace · Microsoft Office Suite (Word, Excel, PowerPoint) · Content Scheduling Platforms · AI Tools (ChatGPT, Generative AI for content acceleration)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