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400"/>
        <w:jc w:val="center"/>
      </w:pPr>
      <w:r>
        <w:rPr>
          <w:rFonts w:ascii="Arial" w:cs="Arial" w:eastAsia="Arial" w:hAnsi="Arial"/>
          <w:b/>
          <w:bCs/>
          <w:color w:val="1F3864"/>
          <w:sz w:val="36"/>
          <w:szCs w:val="36"/>
        </w:rPr>
        <w:t xml:space="preserve">AndesLink Servicios Digitales S.A.</w:t>
      </w:r>
    </w:p>
    <w:p>
      <w:pPr>
        <w:spacing w:after="160" w:before="0"/>
        <w:jc w:val="center"/>
      </w:pPr>
      <w:r>
        <w:rPr>
          <w:rFonts w:ascii="Arial" w:cs="Arial" w:eastAsia="Arial" w:hAnsi="Arial"/>
          <w:color w:val="2E75B6"/>
          <w:sz w:val="28"/>
          <w:szCs w:val="28"/>
        </w:rPr>
        <w:t xml:space="preserve">Documento Técnico de Despliegue</w:t>
      </w:r>
    </w:p>
    <w:p>
      <w:pPr>
        <w:spacing w:after="80" w:before="0"/>
        <w:jc w:val="center"/>
      </w:pPr>
      <w:r>
        <w:rPr>
          <w:rFonts w:ascii="Arial" w:cs="Arial" w:eastAsia="Arial" w:hAnsi="Arial"/>
          <w:color w:val="555555"/>
          <w:sz w:val="22"/>
          <w:szCs w:val="22"/>
        </w:rPr>
        <w:t xml:space="preserve">Segunda Entrega – MLOps Local</w:t>
      </w:r>
    </w:p>
    <w:p>
      <w:pPr>
        <w:spacing w:after="600" w:before="0"/>
        <w:jc w:val="center"/>
      </w:pPr>
      <w:r>
        <w:rPr>
          <w:rFonts w:ascii="Arial" w:cs="Arial" w:eastAsia="Arial" w:hAnsi="Arial"/>
          <w:color w:val="888888"/>
          <w:sz w:val="20"/>
          <w:szCs w:val="20"/>
        </w:rPr>
        <w:t xml:space="preserve">ISTEA · Laboratorio de Minería de Datos</w:t>
      </w:r>
    </w:p>
    <w:p>
      <w:pPr>
        <w:pBdr>
          <w:bottom w:val="single" w:color="2E75B6" w:sz="4" w:space="1"/>
        </w:pBdr>
        <w:spacing w:after="160" w:before="160"/>
      </w:pPr>
    </w:p>
    <w:p>
      <w:pPr>
        <w:pStyle w:val="Heading1"/>
        <w:spacing w:after="200" w:before="300"/>
      </w:pPr>
      <w:r>
        <w:rPr>
          <w:rFonts w:ascii="Arial" w:cs="Arial" w:eastAsia="Arial" w:hAnsi="Arial"/>
          <w:b/>
          <w:bCs/>
          <w:sz w:val="32"/>
          <w:szCs w:val="32"/>
        </w:rPr>
        <w:t xml:space="preserve">1. Introducción</w:t>
      </w:r>
    </w:p>
    <w:p>
      <w:pPr>
        <w:spacing w:after="80" w:before="80"/>
      </w:pPr>
      <w:r>
        <w:rPr>
          <w:rFonts w:ascii="Arial" w:cs="Arial" w:eastAsia="Arial" w:hAnsi="Arial"/>
          <w:sz w:val="22"/>
          <w:szCs w:val="22"/>
        </w:rPr>
        <w:t xml:space="preserve">Este documento describe la arquitectura, los componentes y las decisiones de implementación correspondientes a la segunda entrega del proyecto MLOps para AndesLink Servicios Digitales S.A.</w:t>
      </w:r>
    </w:p>
    <w:p>
      <w:pPr>
        <w:spacing w:after="80" w:before="80"/>
      </w:pPr>
      <w:r>
        <w:rPr>
          <w:rFonts w:ascii="Arial" w:cs="Arial" w:eastAsia="Arial" w:hAnsi="Arial"/>
          <w:sz w:val="22"/>
          <w:szCs w:val="22"/>
        </w:rPr>
        <w:t xml:space="preserve">En esta etapa se convirtió el modelo de predicción de churn entrenado en la primera entrega en un servicio productivo local, compuesto por una API de inferencia, una interfaz gráfica de usuario y un entorno de despliegue contenerizado y reproducible.</w:t>
      </w:r>
    </w:p>
    <w:p>
      <w:pPr>
        <w:pBdr>
          <w:bottom w:val="single" w:color="2E75B6" w:sz="4" w:space="1"/>
        </w:pBdr>
        <w:spacing w:after="160" w:before="160"/>
      </w:pPr>
    </w:p>
    <w:p>
      <w:pPr>
        <w:pStyle w:val="Heading1"/>
        <w:spacing w:after="200" w:before="300"/>
      </w:pPr>
      <w:r>
        <w:rPr>
          <w:rFonts w:ascii="Arial" w:cs="Arial" w:eastAsia="Arial" w:hAnsi="Arial"/>
          <w:b/>
          <w:bCs/>
          <w:sz w:val="32"/>
          <w:szCs w:val="32"/>
        </w:rPr>
        <w:t xml:space="preserve">2. Arquitectura Local</w:t>
      </w:r>
    </w:p>
    <w:p>
      <w:pPr>
        <w:spacing w:after="80" w:before="80"/>
      </w:pPr>
      <w:r>
        <w:rPr>
          <w:rFonts w:ascii="Arial" w:cs="Arial" w:eastAsia="Arial" w:hAnsi="Arial"/>
          <w:sz w:val="22"/>
          <w:szCs w:val="22"/>
        </w:rPr>
        <w:t xml:space="preserve">La solución se organiza en tres capas que se comunican entre sí:</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5F5F5" w:val="clear"/>
            <w:tcMar>
              <w:top w:type="dxa" w:w="160"/>
              <w:left w:type="dxa" w:w="240"/>
              <w:bottom w:type="dxa" w:w="160"/>
              <w:right w:type="dxa" w:w="240"/>
            </w:tcMar>
          </w:tcPr>
          <w:p>
            <w:r>
              <w:rPr>
                <w:rFonts w:ascii="Courier New" w:cs="Courier New" w:eastAsia="Courier New" w:hAnsi="Courier New"/>
                <w:sz w:val="18"/>
                <w:szCs w:val="18"/>
              </w:rPr>
              <w:t xml:space="preserve">┌─────────────────────────────────────────────┐</w:t>
            </w:r>
          </w:p>
          <w:p>
            <w:r>
              <w:rPr>
                <w:rFonts w:ascii="Courier New" w:cs="Courier New" w:eastAsia="Courier New" w:hAnsi="Courier New"/>
                <w:sz w:val="18"/>
                <w:szCs w:val="18"/>
              </w:rPr>
              <w:t xml:space="preserve">│         USUARIO (Navegador Web)             │</w:t>
            </w:r>
          </w:p>
          <w:p>
            <w:r>
              <w:rPr>
                <w:rFonts w:ascii="Courier New" w:cs="Courier New" w:eastAsia="Courier New" w:hAnsi="Courier New"/>
                <w:sz w:val="18"/>
                <w:szCs w:val="18"/>
              </w:rPr>
              <w:t xml:space="preserve">└─────────────────┬───────────────────────────┘</w:t>
            </w:r>
          </w:p>
          <w:p>
            <w:r>
              <w:rPr>
                <w:rFonts w:ascii="Courier New" w:cs="Courier New" w:eastAsia="Courier New" w:hAnsi="Courier New"/>
                <w:sz w:val="18"/>
                <w:szCs w:val="18"/>
              </w:rPr>
              <w:t xml:space="preserve">                  │  HTTP :8501</w:t>
            </w:r>
          </w:p>
          <w:p>
            <w:r>
              <w:rPr>
                <w:rFonts w:ascii="Courier New" w:cs="Courier New" w:eastAsia="Courier New" w:hAnsi="Courier New"/>
                <w:sz w:val="18"/>
                <w:szCs w:val="18"/>
              </w:rPr>
              <w:t xml:space="preserve">┌─────────────────▼───────────────────────────┐</w:t>
            </w:r>
          </w:p>
          <w:p>
            <w:r>
              <w:rPr>
                <w:rFonts w:ascii="Courier New" w:cs="Courier New" w:eastAsia="Courier New" w:hAnsi="Courier New"/>
                <w:sz w:val="18"/>
                <w:szCs w:val="18"/>
              </w:rPr>
              <w:t xml:space="preserve">│      GUI – Streamlit  (puerto 8501)         │</w:t>
            </w:r>
          </w:p>
          <w:p>
            <w:r>
              <w:rPr>
                <w:rFonts w:ascii="Courier New" w:cs="Courier New" w:eastAsia="Courier New" w:hAnsi="Courier New"/>
                <w:sz w:val="18"/>
                <w:szCs w:val="18"/>
              </w:rPr>
              <w:t xml:space="preserve">│         andeslink-gui (Docker)              │</w:t>
            </w:r>
          </w:p>
          <w:p>
            <w:r>
              <w:rPr>
                <w:rFonts w:ascii="Courier New" w:cs="Courier New" w:eastAsia="Courier New" w:hAnsi="Courier New"/>
                <w:sz w:val="18"/>
                <w:szCs w:val="18"/>
              </w:rPr>
              <w:t xml:space="preserve">└─────────────────┬───────────────────────────┘</w:t>
            </w:r>
          </w:p>
          <w:p>
            <w:r>
              <w:rPr>
                <w:rFonts w:ascii="Courier New" w:cs="Courier New" w:eastAsia="Courier New" w:hAnsi="Courier New"/>
                <w:sz w:val="18"/>
                <w:szCs w:val="18"/>
              </w:rPr>
              <w:t xml:space="preserve">                  │  HTTP POST /predecir :8000</w:t>
            </w:r>
          </w:p>
          <w:p>
            <w:r>
              <w:rPr>
                <w:rFonts w:ascii="Courier New" w:cs="Courier New" w:eastAsia="Courier New" w:hAnsi="Courier New"/>
                <w:sz w:val="18"/>
                <w:szCs w:val="18"/>
              </w:rPr>
              <w:t xml:space="preserve">┌─────────────────▼───────────────────────────┐</w:t>
            </w:r>
          </w:p>
          <w:p>
            <w:r>
              <w:rPr>
                <w:rFonts w:ascii="Courier New" w:cs="Courier New" w:eastAsia="Courier New" w:hAnsi="Courier New"/>
                <w:sz w:val="18"/>
                <w:szCs w:val="18"/>
              </w:rPr>
              <w:t xml:space="preserve">│      API – FastAPI    (puerto 8000)         │</w:t>
            </w:r>
          </w:p>
          <w:p>
            <w:r>
              <w:rPr>
                <w:rFonts w:ascii="Courier New" w:cs="Courier New" w:eastAsia="Courier New" w:hAnsi="Courier New"/>
                <w:sz w:val="18"/>
                <w:szCs w:val="18"/>
              </w:rPr>
              <w:t xml:space="preserve">│         andeslink-api (Docker)              │</w:t>
            </w:r>
          </w:p>
          <w:p>
            <w:r>
              <w:rPr>
                <w:rFonts w:ascii="Courier New" w:cs="Courier New" w:eastAsia="Courier New" w:hAnsi="Courier New"/>
                <w:sz w:val="18"/>
                <w:szCs w:val="18"/>
              </w:rPr>
              <w:t xml:space="preserve">└─────────────────┬───────────────────────────┘</w:t>
            </w:r>
          </w:p>
          <w:p>
            <w:r>
              <w:rPr>
                <w:rFonts w:ascii="Courier New" w:cs="Courier New" w:eastAsia="Courier New" w:hAnsi="Courier New"/>
                <w:sz w:val="18"/>
                <w:szCs w:val="18"/>
              </w:rPr>
              <w:t xml:space="preserve">                  │  joblib.load()</w:t>
            </w:r>
          </w:p>
          <w:p>
            <w:r>
              <w:rPr>
                <w:rFonts w:ascii="Courier New" w:cs="Courier New" w:eastAsia="Courier New" w:hAnsi="Courier New"/>
                <w:sz w:val="18"/>
                <w:szCs w:val="18"/>
              </w:rPr>
              <w:t xml:space="preserve">┌─────────────────▼───────────────────────────┐</w:t>
            </w:r>
          </w:p>
          <w:p>
            <w:r>
              <w:rPr>
                <w:rFonts w:ascii="Courier New" w:cs="Courier New" w:eastAsia="Courier New" w:hAnsi="Courier New"/>
                <w:sz w:val="18"/>
                <w:szCs w:val="18"/>
              </w:rPr>
              <w:t xml:space="preserve">│      MODELOS SERIALIZADOS  (models/)        │</w:t>
            </w:r>
          </w:p>
          <w:p>
            <w:r>
              <w:rPr>
                <w:rFonts w:ascii="Courier New" w:cs="Courier New" w:eastAsia="Courier New" w:hAnsi="Courier New"/>
                <w:sz w:val="18"/>
                <w:szCs w:val="18"/>
              </w:rPr>
              <w:t xml:space="preserve">│  logistic_regression.joblib  scaler.joblib  │</w:t>
            </w:r>
          </w:p>
          <w:p>
            <w:r>
              <w:rPr>
                <w:rFonts w:ascii="Courier New" w:cs="Courier New" w:eastAsia="Courier New" w:hAnsi="Courier New"/>
                <w:sz w:val="18"/>
                <w:szCs w:val="18"/>
              </w:rPr>
              <w:t xml:space="preserve">│  encoder_contract/payment/internet/region   │</w:t>
            </w:r>
          </w:p>
          <w:p>
            <w:r>
              <w:rPr>
                <w:rFonts w:ascii="Courier New" w:cs="Courier New" w:eastAsia="Courier New" w:hAnsi="Courier New"/>
                <w:sz w:val="18"/>
                <w:szCs w:val="18"/>
              </w:rPr>
              <w:t xml:space="preserve">└─────────────────────────────────────────────┘</w:t>
            </w:r>
          </w:p>
        </w:tc>
      </w:tr>
    </w:tbl>
    <w:p>
      <w:pPr>
        <w:spacing w:after="0" w:before="200"/>
      </w:pPr>
    </w:p>
    <w:p>
      <w:pPr>
        <w:pBdr>
          <w:bottom w:val="single" w:color="2E75B6" w:sz="4" w:space="1"/>
        </w:pBdr>
        <w:spacing w:after="160" w:before="160"/>
      </w:pPr>
    </w:p>
    <w:p>
      <w:pPr>
        <w:pStyle w:val="Heading1"/>
        <w:spacing w:after="200" w:before="300"/>
      </w:pPr>
      <w:r>
        <w:rPr>
          <w:rFonts w:ascii="Arial" w:cs="Arial" w:eastAsia="Arial" w:hAnsi="Arial"/>
          <w:b/>
          <w:bCs/>
          <w:sz w:val="32"/>
          <w:szCs w:val="32"/>
        </w:rPr>
        <w:t xml:space="preserve">3. Componentes del Sistema</w:t>
      </w:r>
    </w:p>
    <w:p>
      <w:pPr>
        <w:pStyle w:val="Heading2"/>
        <w:spacing w:after="120" w:before="240"/>
      </w:pPr>
      <w:r>
        <w:rPr>
          <w:rFonts w:ascii="Arial" w:cs="Arial" w:eastAsia="Arial" w:hAnsi="Arial"/>
          <w:b/>
          <w:bCs/>
          <w:sz w:val="26"/>
          <w:szCs w:val="26"/>
        </w:rPr>
        <w:t xml:space="preserve">3.1 API de Inferencia (FastAPI)</w:t>
      </w:r>
    </w:p>
    <w:p>
      <w:pPr>
        <w:spacing w:after="80" w:before="80"/>
      </w:pPr>
      <w:r>
        <w:rPr>
          <w:rFonts w:ascii="Arial" w:cs="Arial" w:eastAsia="Arial" w:hAnsi="Arial"/>
          <w:sz w:val="22"/>
          <w:szCs w:val="22"/>
        </w:rPr>
        <w:t xml:space="preserve">Archivo: src/api.py</w:t>
      </w:r>
    </w:p>
    <w:p>
      <w:pPr>
        <w:spacing w:after="80" w:before="80"/>
      </w:pPr>
      <w:r>
        <w:rPr>
          <w:rFonts w:ascii="Arial" w:cs="Arial" w:eastAsia="Arial" w:hAnsi="Arial"/>
          <w:sz w:val="22"/>
          <w:szCs w:val="22"/>
        </w:rPr>
        <w:t xml:space="preserve">La API se implementó con FastAPI y expone dos endpoints:</w:t>
      </w:r>
    </w:p>
    <w:p>
      <w:pPr>
        <w:pStyle w:val="ListParagraph"/>
        <w:numPr>
          <w:ilvl w:val="0"/>
          <w:numId w:val="2"/>
        </w:numPr>
        <w:spacing w:after="60" w:before="60"/>
      </w:pPr>
      <w:r>
        <w:rPr>
          <w:rFonts w:ascii="Arial" w:cs="Arial" w:eastAsia="Arial" w:hAnsi="Arial"/>
          <w:sz w:val="22"/>
          <w:szCs w:val="22"/>
        </w:rPr>
        <w:t xml:space="preserve">GET /  →  health check, confirma que el servicio está operativo</w:t>
      </w:r>
    </w:p>
    <w:p>
      <w:pPr>
        <w:pStyle w:val="ListParagraph"/>
        <w:numPr>
          <w:ilvl w:val="0"/>
          <w:numId w:val="2"/>
        </w:numPr>
        <w:spacing w:after="60" w:before="60"/>
      </w:pPr>
      <w:r>
        <w:rPr>
          <w:rFonts w:ascii="Arial" w:cs="Arial" w:eastAsia="Arial" w:hAnsi="Arial"/>
          <w:sz w:val="22"/>
          <w:szCs w:val="22"/>
        </w:rPr>
        <w:t xml:space="preserve">POST /predecir  →  recibe los datos del cliente y devuelve la predicción</w:t>
      </w:r>
    </w:p>
    <w:p>
      <w:pPr>
        <w:spacing w:after="80" w:before="80"/>
      </w:pPr>
      <w:r>
        <w:rPr>
          <w:rFonts w:ascii="Arial" w:cs="Arial" w:eastAsia="Arial" w:hAnsi="Arial"/>
          <w:sz w:val="22"/>
          <w:szCs w:val="22"/>
        </w:rPr>
        <w:t xml:space="preserve">Al arrancar, la API carga en memoria los 6 artefactos serializados (modelo, scaler y 4 encoders). El contrato de entrada se define con Pydantic, lo que garantiza validación automática de tipos y valores permitidos antes de llegar al modelo.</w:t>
      </w:r>
    </w:p>
    <w:p>
      <w:pPr>
        <w:spacing w:after="0" w:before="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500"/>
        <w:gridCol w:w="4860"/>
      </w:tblGrid>
      <w:tr>
        <w:tc>
          <w:tcPr>
            <w:tcW w:type="dxa" w:w="2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Método</w:t>
            </w:r>
          </w:p>
        </w:tc>
        <w:tc>
          <w:tcPr>
            <w:tcW w:type="dxa" w:w="25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Endpoint</w:t>
            </w:r>
          </w:p>
        </w:tc>
        <w:tc>
          <w:tcPr>
            <w:tcW w:type="dxa" w:w="48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Descripción</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GET</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w:t>
            </w:r>
          </w:p>
        </w:tc>
        <w:tc>
          <w:tcPr>
            <w:tcW w:type="dxa" w:w="4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Health check – estado del servicio</w:t>
            </w:r>
          </w:p>
        </w:tc>
      </w:tr>
      <w:tr>
        <w:tc>
          <w:tcPr>
            <w:tcW w:type="dxa" w:w="2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0"/>
                <w:szCs w:val="20"/>
              </w:rPr>
              <w:t xml:space="preserve">POST</w:t>
            </w:r>
          </w:p>
        </w:tc>
        <w:tc>
          <w:tcPr>
            <w:tcW w:type="dxa" w:w="2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0"/>
                <w:szCs w:val="20"/>
              </w:rPr>
              <w:t xml:space="preserve">/predecir</w:t>
            </w:r>
          </w:p>
        </w:tc>
        <w:tc>
          <w:tcPr>
            <w:tcW w:type="dxa" w:w="48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0"/>
                <w:szCs w:val="20"/>
              </w:rPr>
              <w:t xml:space="preserve">Predicción de churn para un cliente</w:t>
            </w:r>
          </w:p>
        </w:tc>
      </w:tr>
    </w:tbl>
    <w:p>
      <w:pPr>
        <w:spacing w:after="0" w:before="200"/>
      </w:pPr>
    </w:p>
    <w:p>
      <w:pPr>
        <w:pStyle w:val="Heading2"/>
        <w:spacing w:after="120" w:before="240"/>
      </w:pPr>
      <w:r>
        <w:rPr>
          <w:rFonts w:ascii="Arial" w:cs="Arial" w:eastAsia="Arial" w:hAnsi="Arial"/>
          <w:b/>
          <w:bCs/>
          <w:sz w:val="26"/>
          <w:szCs w:val="26"/>
        </w:rPr>
        <w:t xml:space="preserve">3.2 Interfaz Gráfica (Streamlit)</w:t>
      </w:r>
    </w:p>
    <w:p>
      <w:pPr>
        <w:spacing w:after="80" w:before="80"/>
      </w:pPr>
      <w:r>
        <w:rPr>
          <w:rFonts w:ascii="Arial" w:cs="Arial" w:eastAsia="Arial" w:hAnsi="Arial"/>
          <w:sz w:val="22"/>
          <w:szCs w:val="22"/>
        </w:rPr>
        <w:t xml:space="preserve">Archivo: src/app.py</w:t>
      </w:r>
    </w:p>
    <w:p>
      <w:pPr>
        <w:spacing w:after="80" w:before="80"/>
      </w:pPr>
      <w:r>
        <w:rPr>
          <w:rFonts w:ascii="Arial" w:cs="Arial" w:eastAsia="Arial" w:hAnsi="Arial"/>
          <w:sz w:val="22"/>
          <w:szCs w:val="22"/>
        </w:rPr>
        <w:t xml:space="preserve">La GUI permite al usuario ingresar los datos de un cliente mediante un formulario con campos validados (selectboxes para categóricas, number inputs para numéricas), disparar la predicción con un botón y visualizar el resultado con indicador de color (verde/rojo) y barra de probabilidad.</w:t>
      </w:r>
    </w:p>
    <w:p>
      <w:pPr>
        <w:spacing w:after="80" w:before="80"/>
      </w:pPr>
      <w:r>
        <w:rPr>
          <w:rFonts w:ascii="Arial" w:cs="Arial" w:eastAsia="Arial" w:hAnsi="Arial"/>
          <w:sz w:val="22"/>
          <w:szCs w:val="22"/>
        </w:rPr>
        <w:t xml:space="preserve">La URL de la API se configura mediante la variable de entorno API_URL, lo que permite que la GUI funcione tanto en modo local (http://localhost:8000) como dentro de Docker (http://api:8000) sin cambios en el código.</w:t>
      </w:r>
    </w:p>
    <w:p>
      <w:pPr>
        <w:spacing w:after="0" w:before="160"/>
      </w:pPr>
    </w:p>
    <w:p>
      <w:pPr>
        <w:pStyle w:val="Heading2"/>
        <w:spacing w:after="120" w:before="240"/>
      </w:pPr>
      <w:r>
        <w:rPr>
          <w:rFonts w:ascii="Arial" w:cs="Arial" w:eastAsia="Arial" w:hAnsi="Arial"/>
          <w:b/>
          <w:bCs/>
          <w:sz w:val="26"/>
          <w:szCs w:val="26"/>
        </w:rPr>
        <w:t xml:space="preserve">3.3 Contenerización (Docker)</w:t>
      </w:r>
    </w:p>
    <w:p>
      <w:pPr>
        <w:spacing w:after="80" w:before="80"/>
      </w:pPr>
      <w:r>
        <w:rPr>
          <w:rFonts w:ascii="Arial" w:cs="Arial" w:eastAsia="Arial" w:hAnsi="Arial"/>
          <w:sz w:val="22"/>
          <w:szCs w:val="22"/>
        </w:rPr>
        <w:t xml:space="preserve">Se generaron dos imágenes Docker independientes:</w:t>
      </w:r>
    </w:p>
    <w:p>
      <w:pPr>
        <w:pStyle w:val="ListParagraph"/>
        <w:numPr>
          <w:ilvl w:val="0"/>
          <w:numId w:val="2"/>
        </w:numPr>
        <w:spacing w:after="60" w:before="60"/>
      </w:pPr>
      <w:r>
        <w:rPr>
          <w:rFonts w:ascii="Arial" w:cs="Arial" w:eastAsia="Arial" w:hAnsi="Arial"/>
          <w:sz w:val="22"/>
          <w:szCs w:val="22"/>
        </w:rPr>
        <w:t xml:space="preserve">Dockerfile.api — imagen basada en python:3.13-slim que instala dependencias desde requirements.txt, copia los modelos y expone el puerto 8000</w:t>
      </w:r>
    </w:p>
    <w:p>
      <w:pPr>
        <w:pStyle w:val="ListParagraph"/>
        <w:numPr>
          <w:ilvl w:val="0"/>
          <w:numId w:val="2"/>
        </w:numPr>
        <w:spacing w:after="60" w:before="60"/>
      </w:pPr>
      <w:r>
        <w:rPr>
          <w:rFonts w:ascii="Arial" w:cs="Arial" w:eastAsia="Arial" w:hAnsi="Arial"/>
          <w:sz w:val="22"/>
          <w:szCs w:val="22"/>
        </w:rPr>
        <w:t xml:space="preserve">Dockerfile.streamlit — imagen equivalente que copia la GUI y expone el puerto 8501</w:t>
      </w:r>
    </w:p>
    <w:p>
      <w:pPr>
        <w:spacing w:after="80" w:before="80"/>
      </w:pPr>
      <w:r>
        <w:rPr>
          <w:rFonts w:ascii="Arial" w:cs="Arial" w:eastAsia="Arial" w:hAnsi="Arial"/>
          <w:sz w:val="22"/>
          <w:szCs w:val="22"/>
        </w:rPr>
        <w:t xml:space="preserve">La orquestación se maneja con docker-compose.yml. El servicio gui depende del servicio api con condición service_healthy, garantizando que la API esté lista antes de levantar la GUI.</w:t>
      </w:r>
    </w:p>
    <w:p>
      <w:pPr>
        <w:pBdr>
          <w:bottom w:val="single" w:color="2E75B6" w:sz="4" w:space="1"/>
        </w:pBdr>
        <w:spacing w:after="160" w:before="160"/>
      </w:pPr>
    </w:p>
    <w:p>
      <w:pPr>
        <w:pStyle w:val="Heading1"/>
        <w:spacing w:after="200" w:before="300"/>
      </w:pPr>
      <w:r>
        <w:rPr>
          <w:rFonts w:ascii="Arial" w:cs="Arial" w:eastAsia="Arial" w:hAnsi="Arial"/>
          <w:b/>
          <w:bCs/>
          <w:sz w:val="32"/>
          <w:szCs w:val="32"/>
        </w:rPr>
        <w:t xml:space="preserve">4. Contrato de Entrada y Salida</w:t>
      </w:r>
    </w:p>
    <w:p>
      <w:pPr>
        <w:pStyle w:val="Heading2"/>
        <w:spacing w:after="120" w:before="240"/>
      </w:pPr>
      <w:r>
        <w:rPr>
          <w:rFonts w:ascii="Arial" w:cs="Arial" w:eastAsia="Arial" w:hAnsi="Arial"/>
          <w:b/>
          <w:bCs/>
          <w:sz w:val="26"/>
          <w:szCs w:val="26"/>
        </w:rPr>
        <w:t xml:space="preserve">4.1 Entrada — POST /predecir</w:t>
      </w:r>
    </w:p>
    <w:p>
      <w:pPr>
        <w:spacing w:after="0" w:before="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5160"/>
      </w:tblGrid>
      <w:tr>
        <w:tc>
          <w:tcPr>
            <w:tcW w:type="dxa" w:w="2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Campo</w:t>
            </w:r>
          </w:p>
        </w:tc>
        <w:tc>
          <w:tcPr>
            <w:tcW w:type="dxa" w:w="18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Tipo</w:t>
            </w:r>
          </w:p>
        </w:tc>
        <w:tc>
          <w:tcPr>
            <w:tcW w:type="dxa" w:w="51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Valores / Restricciones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tenure_months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integer</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 0 — meses de antigüedad</w:t>
            </w:r>
          </w:p>
        </w:tc>
      </w:tr>
      <w:tr>
        <w:tc>
          <w:tcPr>
            <w:tcW w:type="dxa" w:w="2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0"/>
                <w:szCs w:val="20"/>
              </w:rPr>
              <w:t xml:space="preserve">monthly_charge</w:t>
            </w:r>
          </w:p>
        </w:tc>
        <w:tc>
          <w:tcPr>
            <w:tcW w:type="dxa" w:w="1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0"/>
                <w:szCs w:val="20"/>
              </w:rPr>
              <w:t xml:space="preserve">float</w:t>
            </w:r>
          </w:p>
        </w:tc>
        <w:tc>
          <w:tcPr>
            <w:tcW w:type="dxa" w:w="51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0"/>
                <w:szCs w:val="20"/>
              </w:rPr>
              <w:t xml:space="preserve">≥ 0 — cargo mensual en USD</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support_tickets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integer</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 0 — tickets de soporte</w:t>
            </w:r>
          </w:p>
        </w:tc>
      </w:tr>
      <w:tr>
        <w:tc>
          <w:tcPr>
            <w:tcW w:type="dxa" w:w="2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0"/>
                <w:szCs w:val="20"/>
              </w:rPr>
              <w:t xml:space="preserve">late_payments</w:t>
            </w:r>
          </w:p>
        </w:tc>
        <w:tc>
          <w:tcPr>
            <w:tcW w:type="dxa" w:w="1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0"/>
                <w:szCs w:val="20"/>
              </w:rPr>
              <w:t xml:space="preserve">integer</w:t>
            </w:r>
          </w:p>
        </w:tc>
        <w:tc>
          <w:tcPr>
            <w:tcW w:type="dxa" w:w="51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0"/>
                <w:szCs w:val="20"/>
              </w:rPr>
              <w:t xml:space="preserve">≥ 0 — pagos tardíos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avg_monthly_usage_gb</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float</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 0 — uso promedio en GB</w:t>
            </w:r>
          </w:p>
        </w:tc>
      </w:tr>
      <w:tr>
        <w:tc>
          <w:tcPr>
            <w:tcW w:type="dxa" w:w="2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0"/>
                <w:szCs w:val="20"/>
              </w:rPr>
              <w:t xml:space="preserve">customer_age</w:t>
            </w:r>
          </w:p>
        </w:tc>
        <w:tc>
          <w:tcPr>
            <w:tcW w:type="dxa" w:w="1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0"/>
                <w:szCs w:val="20"/>
              </w:rPr>
              <w:t xml:space="preserve">integer</w:t>
            </w:r>
          </w:p>
        </w:tc>
        <w:tc>
          <w:tcPr>
            <w:tcW w:type="dxa" w:w="51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0"/>
                <w:szCs w:val="20"/>
              </w:rPr>
              <w:t xml:space="preserve">≥ 18 — edad del cliente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contract_type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string</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mensual | anual | bianual</w:t>
            </w:r>
          </w:p>
        </w:tc>
      </w:tr>
      <w:tr>
        <w:tc>
          <w:tcPr>
            <w:tcW w:type="dxa" w:w="2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0"/>
                <w:szCs w:val="20"/>
              </w:rPr>
              <w:t xml:space="preserve">payment_method</w:t>
            </w:r>
          </w:p>
        </w:tc>
        <w:tc>
          <w:tcPr>
            <w:tcW w:type="dxa" w:w="1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0"/>
                <w:szCs w:val="20"/>
              </w:rPr>
              <w:t xml:space="preserve">string</w:t>
            </w:r>
          </w:p>
        </w:tc>
        <w:tc>
          <w:tcPr>
            <w:tcW w:type="dxa" w:w="51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0"/>
                <w:szCs w:val="20"/>
              </w:rPr>
              <w:t xml:space="preserve">transferencia | debito | efectivo | credito</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internet_service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string</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cable | fibra | movil | ninguno</w:t>
            </w:r>
          </w:p>
        </w:tc>
      </w:tr>
      <w:tr>
        <w:tc>
          <w:tcPr>
            <w:tcW w:type="dxa" w:w="2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0"/>
                <w:szCs w:val="20"/>
              </w:rPr>
              <w:t xml:space="preserve">region</w:t>
            </w:r>
          </w:p>
        </w:tc>
        <w:tc>
          <w:tcPr>
            <w:tcW w:type="dxa" w:w="1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0"/>
                <w:szCs w:val="20"/>
              </w:rPr>
              <w:t xml:space="preserve">string</w:t>
            </w:r>
          </w:p>
        </w:tc>
        <w:tc>
          <w:tcPr>
            <w:tcW w:type="dxa" w:w="51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0"/>
                <w:szCs w:val="20"/>
              </w:rPr>
              <w:t xml:space="preserve">centro | norte | oeste | sur</w:t>
            </w:r>
          </w:p>
        </w:tc>
      </w:tr>
    </w:tbl>
    <w:p>
      <w:pPr>
        <w:spacing w:after="0" w:before="200"/>
      </w:pPr>
    </w:p>
    <w:p>
      <w:pPr>
        <w:pStyle w:val="Heading2"/>
        <w:spacing w:after="120" w:before="240"/>
      </w:pPr>
      <w:r>
        <w:rPr>
          <w:rFonts w:ascii="Arial" w:cs="Arial" w:eastAsia="Arial" w:hAnsi="Arial"/>
          <w:b/>
          <w:bCs/>
          <w:sz w:val="26"/>
          <w:szCs w:val="26"/>
        </w:rPr>
        <w:t xml:space="preserve">4.2 Salida</w:t>
      </w:r>
    </w:p>
    <w:p>
      <w:pPr>
        <w:spacing w:after="0" w:before="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800"/>
        <w:gridCol w:w="5560"/>
      </w:tblGrid>
      <w:tr>
        <w:tc>
          <w:tcPr>
            <w:tcW w:type="dxa" w:w="2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Campo</w:t>
            </w:r>
          </w:p>
        </w:tc>
        <w:tc>
          <w:tcPr>
            <w:tcW w:type="dxa" w:w="18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Tipo</w:t>
            </w:r>
          </w:p>
        </w:tc>
        <w:tc>
          <w:tcPr>
            <w:tcW w:type="dxa" w:w="55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Descripción</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churn</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integer</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 = permanece activo, 1 = abandona</w:t>
            </w:r>
          </w:p>
        </w:tc>
      </w:tr>
      <w:tr>
        <w:tc>
          <w:tcPr>
            <w:tcW w:type="dxa" w:w="2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0"/>
                <w:szCs w:val="20"/>
              </w:rPr>
              <w:t xml:space="preserve">probabilidad</w:t>
            </w:r>
          </w:p>
        </w:tc>
        <w:tc>
          <w:tcPr>
            <w:tcW w:type="dxa" w:w="1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0"/>
                <w:szCs w:val="20"/>
              </w:rPr>
              <w:t xml:space="preserve">float</w:t>
            </w:r>
          </w:p>
        </w:tc>
        <w:tc>
          <w:tcPr>
            <w:tcW w:type="dxa" w:w="55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0"/>
                <w:szCs w:val="20"/>
              </w:rPr>
              <w:t xml:space="preserve">Probabilidad de churn entre 0.0 y 1.0</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etiqueta</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string</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Descripción legible del resultado</w:t>
            </w:r>
          </w:p>
        </w:tc>
      </w:tr>
    </w:tbl>
    <w:p>
      <w:pPr>
        <w:pBdr>
          <w:bottom w:val="single" w:color="2E75B6" w:sz="4" w:space="1"/>
        </w:pBdr>
        <w:spacing w:after="160" w:before="160"/>
      </w:pPr>
    </w:p>
    <w:p>
      <w:pPr>
        <w:pStyle w:val="Heading1"/>
        <w:spacing w:after="200" w:before="300"/>
      </w:pPr>
      <w:r>
        <w:rPr>
          <w:rFonts w:ascii="Arial" w:cs="Arial" w:eastAsia="Arial" w:hAnsi="Arial"/>
          <w:b/>
          <w:bCs/>
          <w:sz w:val="32"/>
          <w:szCs w:val="32"/>
        </w:rPr>
        <w:t xml:space="preserve">5. Pruebas Automáticas</w:t>
      </w:r>
    </w:p>
    <w:p>
      <w:pPr>
        <w:spacing w:after="80" w:before="80"/>
      </w:pPr>
      <w:r>
        <w:rPr>
          <w:rFonts w:ascii="Arial" w:cs="Arial" w:eastAsia="Arial" w:hAnsi="Arial"/>
          <w:sz w:val="22"/>
          <w:szCs w:val="22"/>
        </w:rPr>
        <w:t xml:space="preserve">Se implementaron 6 pruebas con pytest en tests/test_api.py utilizando el TestClient de FastAPI, que permite testear la API sin necesidad de levantar un servidor real:</w:t>
      </w:r>
    </w:p>
    <w:p>
      <w:pPr>
        <w:spacing w:after="0" w:before="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Test</w:t>
            </w:r>
          </w:p>
        </w:tc>
        <w:tc>
          <w:tcPr>
            <w:tcW w:type="dxa" w:w="61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Qué verifica</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test_health_check</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Endpoint / responde 200 y estado ok</w:t>
            </w:r>
          </w:p>
        </w:tc>
      </w:tr>
      <w:tr>
        <w:tc>
          <w:tcPr>
            <w:tcW w:type="dxa" w:w="32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0"/>
                <w:szCs w:val="20"/>
              </w:rPr>
              <w:t xml:space="preserve">test_prediccion_valida</w:t>
            </w:r>
          </w:p>
        </w:tc>
        <w:tc>
          <w:tcPr>
            <w:tcW w:type="dxa" w:w="61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0"/>
                <w:szCs w:val="20"/>
              </w:rPr>
              <w:t xml:space="preserve">Flujo completo con datos correctos devuelve churn 0 o 1</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test_prediccion_contrato_invalido</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Valor de contrato no permitido devuelve 422</w:t>
            </w:r>
          </w:p>
        </w:tc>
      </w:tr>
      <w:tr>
        <w:tc>
          <w:tcPr>
            <w:tcW w:type="dxa" w:w="32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0"/>
                <w:szCs w:val="20"/>
              </w:rPr>
              <w:t xml:space="preserve">test_prediccion_campo_faltante</w:t>
            </w:r>
          </w:p>
        </w:tc>
        <w:tc>
          <w:tcPr>
            <w:tcW w:type="dxa" w:w="61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0"/>
                <w:szCs w:val="20"/>
              </w:rPr>
              <w:t xml:space="preserve">Request sin campo obligatorio devuelve 422</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test_prediccion_edad_invalida</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Edad menor a 18 devuelve 422</w:t>
            </w:r>
          </w:p>
        </w:tc>
      </w:tr>
      <w:tr>
        <w:tc>
          <w:tcPr>
            <w:tcW w:type="dxa" w:w="32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0"/>
                <w:szCs w:val="20"/>
              </w:rPr>
              <w:t xml:space="preserve">test_prediccion_valores_negativos</w:t>
            </w:r>
          </w:p>
        </w:tc>
        <w:tc>
          <w:tcPr>
            <w:tcW w:type="dxa" w:w="61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0"/>
                <w:szCs w:val="20"/>
              </w:rPr>
              <w:t xml:space="preserve">monthly_charge negativo devuelve 422</w:t>
            </w:r>
          </w:p>
        </w:tc>
      </w:tr>
    </w:tbl>
    <w:p>
      <w:pPr>
        <w:spacing w:after="0" w:before="160"/>
      </w:pPr>
    </w:p>
    <w:p>
      <w:pPr>
        <w:spacing w:after="80" w:before="80"/>
      </w:pPr>
      <w:r>
        <w:rPr>
          <w:rFonts w:ascii="Arial" w:cs="Arial" w:eastAsia="Arial" w:hAnsi="Arial"/>
          <w:sz w:val="22"/>
          <w:szCs w:val="22"/>
        </w:rPr>
        <w:t xml:space="preserve">Resultado obtenido: 6 passed, 0 failed.</w:t>
      </w:r>
    </w:p>
    <w:p>
      <w:pPr>
        <w:spacing w:after="80" w:before="80"/>
      </w:pPr>
      <w:r>
        <w:rPr>
          <w:rFonts w:ascii="Arial" w:cs="Arial" w:eastAsia="Arial" w:hAnsi="Arial"/>
          <w:sz w:val="22"/>
          <w:szCs w:val="22"/>
        </w:rPr>
        <w:t xml:space="preserve">Comando de ejecución:</w:t>
      </w:r>
    </w:p>
    <w:p>
      <w:pPr>
        <w:shd w:fill="F0F0F0" w:val="clear"/>
        <w:spacing w:after="80" w:before="80"/>
      </w:pPr>
      <w:r>
        <w:rPr>
          <w:rFonts w:ascii="Courier New" w:cs="Courier New" w:eastAsia="Courier New" w:hAnsi="Courier New"/>
          <w:sz w:val="20"/>
          <w:szCs w:val="20"/>
        </w:rPr>
        <w:t xml:space="preserve">pytest tests/test_api.py -v</w:t>
      </w:r>
    </w:p>
    <w:p>
      <w:pPr>
        <w:pBdr>
          <w:bottom w:val="single" w:color="2E75B6" w:sz="4" w:space="1"/>
        </w:pBdr>
        <w:spacing w:after="160" w:before="160"/>
      </w:pPr>
    </w:p>
    <w:p>
      <w:pPr>
        <w:pStyle w:val="Heading1"/>
        <w:spacing w:after="200" w:before="300"/>
      </w:pPr>
      <w:r>
        <w:rPr>
          <w:rFonts w:ascii="Arial" w:cs="Arial" w:eastAsia="Arial" w:hAnsi="Arial"/>
          <w:b/>
          <w:bCs/>
          <w:sz w:val="32"/>
          <w:szCs w:val="32"/>
        </w:rPr>
        <w:t xml:space="preserve">6. Instrucciones de Levantamiento</w:t>
      </w:r>
    </w:p>
    <w:p>
      <w:pPr>
        <w:pStyle w:val="Heading2"/>
        <w:spacing w:after="120" w:before="240"/>
      </w:pPr>
      <w:r>
        <w:rPr>
          <w:rFonts w:ascii="Arial" w:cs="Arial" w:eastAsia="Arial" w:hAnsi="Arial"/>
          <w:b/>
          <w:bCs/>
          <w:sz w:val="26"/>
          <w:szCs w:val="26"/>
        </w:rPr>
        <w:t xml:space="preserve">Opción A — Docker (recomendado)</w:t>
      </w:r>
    </w:p>
    <w:p>
      <w:pPr>
        <w:pStyle w:val="ListParagraph"/>
        <w:numPr>
          <w:ilvl w:val="0"/>
          <w:numId w:val="2"/>
        </w:numPr>
        <w:spacing w:after="60" w:before="60"/>
      </w:pPr>
      <w:r>
        <w:rPr>
          <w:rFonts w:ascii="Arial" w:cs="Arial" w:eastAsia="Arial" w:hAnsi="Arial"/>
          <w:sz w:val="22"/>
          <w:szCs w:val="22"/>
        </w:rPr>
        <w:t xml:space="preserve">Tener Docker Desktop abierto y corriendo</w:t>
      </w:r>
    </w:p>
    <w:p>
      <w:pPr>
        <w:pStyle w:val="ListParagraph"/>
        <w:numPr>
          <w:ilvl w:val="0"/>
          <w:numId w:val="2"/>
        </w:numPr>
        <w:spacing w:after="60" w:before="60"/>
      </w:pPr>
      <w:r>
        <w:rPr>
          <w:rFonts w:ascii="Arial" w:cs="Arial" w:eastAsia="Arial" w:hAnsi="Arial"/>
          <w:sz w:val="22"/>
          <w:szCs w:val="22"/>
        </w:rPr>
        <w:t xml:space="preserve">Ejecutar desde la raíz del proyecto: docker-compose up --build</w:t>
      </w:r>
    </w:p>
    <w:p>
      <w:pPr>
        <w:pStyle w:val="ListParagraph"/>
        <w:numPr>
          <w:ilvl w:val="0"/>
          <w:numId w:val="2"/>
        </w:numPr>
        <w:spacing w:after="60" w:before="60"/>
      </w:pPr>
      <w:r>
        <w:rPr>
          <w:rFonts w:ascii="Arial" w:cs="Arial" w:eastAsia="Arial" w:hAnsi="Arial"/>
          <w:sz w:val="22"/>
          <w:szCs w:val="22"/>
        </w:rPr>
        <w:t xml:space="preserve">Acceder a la GUI en http://localhost:8501</w:t>
      </w:r>
    </w:p>
    <w:p>
      <w:pPr>
        <w:pStyle w:val="ListParagraph"/>
        <w:numPr>
          <w:ilvl w:val="0"/>
          <w:numId w:val="2"/>
        </w:numPr>
        <w:spacing w:after="60" w:before="60"/>
      </w:pPr>
      <w:r>
        <w:rPr>
          <w:rFonts w:ascii="Arial" w:cs="Arial" w:eastAsia="Arial" w:hAnsi="Arial"/>
          <w:sz w:val="22"/>
          <w:szCs w:val="22"/>
        </w:rPr>
        <w:t xml:space="preserve">Acceder a la documentación de la API en http://localhost:8000/docs</w:t>
      </w:r>
    </w:p>
    <w:p>
      <w:pPr>
        <w:pStyle w:val="ListParagraph"/>
        <w:numPr>
          <w:ilvl w:val="0"/>
          <w:numId w:val="2"/>
        </w:numPr>
        <w:spacing w:after="60" w:before="60"/>
      </w:pPr>
      <w:r>
        <w:rPr>
          <w:rFonts w:ascii="Arial" w:cs="Arial" w:eastAsia="Arial" w:hAnsi="Arial"/>
          <w:sz w:val="22"/>
          <w:szCs w:val="22"/>
        </w:rPr>
        <w:t xml:space="preserve">Para detener: docker-compose down</w:t>
      </w:r>
    </w:p>
    <w:p>
      <w:pPr>
        <w:spacing w:after="0" w:before="160"/>
      </w:pPr>
    </w:p>
    <w:p>
      <w:pPr>
        <w:pStyle w:val="Heading2"/>
        <w:spacing w:after="120" w:before="240"/>
      </w:pPr>
      <w:r>
        <w:rPr>
          <w:rFonts w:ascii="Arial" w:cs="Arial" w:eastAsia="Arial" w:hAnsi="Arial"/>
          <w:b/>
          <w:bCs/>
          <w:sz w:val="26"/>
          <w:szCs w:val="26"/>
        </w:rPr>
        <w:t xml:space="preserve">Opción B — Local con conda</w:t>
      </w:r>
    </w:p>
    <w:p>
      <w:pPr>
        <w:pStyle w:val="ListParagraph"/>
        <w:numPr>
          <w:ilvl w:val="0"/>
          <w:numId w:val="2"/>
        </w:numPr>
        <w:spacing w:after="60" w:before="60"/>
      </w:pPr>
      <w:r>
        <w:rPr>
          <w:rFonts w:ascii="Arial" w:cs="Arial" w:eastAsia="Arial" w:hAnsi="Arial"/>
          <w:sz w:val="22"/>
          <w:szCs w:val="22"/>
        </w:rPr>
        <w:t xml:space="preserve">Activar entorno: conda activate andeslink-churn</w:t>
      </w:r>
    </w:p>
    <w:p>
      <w:pPr>
        <w:pStyle w:val="ListParagraph"/>
        <w:numPr>
          <w:ilvl w:val="0"/>
          <w:numId w:val="2"/>
        </w:numPr>
        <w:spacing w:after="60" w:before="60"/>
      </w:pPr>
      <w:r>
        <w:rPr>
          <w:rFonts w:ascii="Arial" w:cs="Arial" w:eastAsia="Arial" w:hAnsi="Arial"/>
          <w:sz w:val="22"/>
          <w:szCs w:val="22"/>
        </w:rPr>
        <w:t xml:space="preserve">Terminal 1 — API: cd src &amp;&amp; uvicorn api:app --reload</w:t>
      </w:r>
    </w:p>
    <w:p>
      <w:pPr>
        <w:pStyle w:val="ListParagraph"/>
        <w:numPr>
          <w:ilvl w:val="0"/>
          <w:numId w:val="2"/>
        </w:numPr>
        <w:spacing w:after="60" w:before="60"/>
      </w:pPr>
      <w:r>
        <w:rPr>
          <w:rFonts w:ascii="Arial" w:cs="Arial" w:eastAsia="Arial" w:hAnsi="Arial"/>
          <w:sz w:val="22"/>
          <w:szCs w:val="22"/>
        </w:rPr>
        <w:t xml:space="preserve">Terminal 2 — GUI: cd src &amp;&amp; streamlit run app.py</w:t>
      </w:r>
    </w:p>
    <w:p>
      <w:pPr>
        <w:pStyle w:val="ListParagraph"/>
        <w:numPr>
          <w:ilvl w:val="0"/>
          <w:numId w:val="2"/>
        </w:numPr>
        <w:spacing w:after="60" w:before="60"/>
      </w:pPr>
      <w:r>
        <w:rPr>
          <w:rFonts w:ascii="Arial" w:cs="Arial" w:eastAsia="Arial" w:hAnsi="Arial"/>
          <w:sz w:val="22"/>
          <w:szCs w:val="22"/>
        </w:rPr>
        <w:t xml:space="preserve">Acceder a http://localhost:8501</w:t>
      </w:r>
    </w:p>
    <w:p>
      <w:pPr>
        <w:pBdr>
          <w:bottom w:val="single" w:color="2E75B6" w:sz="4" w:space="1"/>
        </w:pBdr>
        <w:spacing w:after="160" w:before="160"/>
      </w:pPr>
    </w:p>
    <w:p>
      <w:pPr>
        <w:pStyle w:val="Heading1"/>
        <w:spacing w:after="200" w:before="300"/>
      </w:pPr>
      <w:r>
        <w:rPr>
          <w:rFonts w:ascii="Arial" w:cs="Arial" w:eastAsia="Arial" w:hAnsi="Arial"/>
          <w:b/>
          <w:bCs/>
          <w:sz w:val="32"/>
          <w:szCs w:val="32"/>
        </w:rPr>
        <w:t xml:space="preserve">7. Decisiones Técnicas</w:t>
      </w:r>
    </w:p>
    <w:p>
      <w:pPr>
        <w:pStyle w:val="ListParagraph"/>
        <w:numPr>
          <w:ilvl w:val="0"/>
          <w:numId w:val="2"/>
        </w:numPr>
        <w:spacing w:after="60" w:before="60"/>
      </w:pPr>
      <w:r>
        <w:rPr>
          <w:rFonts w:ascii="Arial" w:cs="Arial" w:eastAsia="Arial" w:hAnsi="Arial"/>
          <w:sz w:val="22"/>
          <w:szCs w:val="22"/>
        </w:rPr>
        <w:t xml:space="preserve">FastAPI sobre Flask: validación automática con Pydantic, documentación interactiva generada automáticamente en /docs y mejor performance asíncrona.</w:t>
      </w:r>
    </w:p>
    <w:p>
      <w:pPr>
        <w:pStyle w:val="ListParagraph"/>
        <w:numPr>
          <w:ilvl w:val="0"/>
          <w:numId w:val="2"/>
        </w:numPr>
        <w:spacing w:after="60" w:before="60"/>
      </w:pPr>
      <w:r>
        <w:rPr>
          <w:rFonts w:ascii="Arial" w:cs="Arial" w:eastAsia="Arial" w:hAnsi="Arial"/>
          <w:sz w:val="22"/>
          <w:szCs w:val="22"/>
        </w:rPr>
        <w:t xml:space="preserve">Streamlit sobre otras alternativas: permite construir una GUI funcional con muy pocas líneas de código, orientada a prototipado rápido de aplicaciones de datos.</w:t>
      </w:r>
    </w:p>
    <w:p>
      <w:pPr>
        <w:pStyle w:val="ListParagraph"/>
        <w:numPr>
          <w:ilvl w:val="0"/>
          <w:numId w:val="2"/>
        </w:numPr>
        <w:spacing w:after="60" w:before="60"/>
      </w:pPr>
      <w:r>
        <w:rPr>
          <w:rFonts w:ascii="Arial" w:cs="Arial" w:eastAsia="Arial" w:hAnsi="Arial"/>
          <w:sz w:val="22"/>
          <w:szCs w:val="22"/>
        </w:rPr>
        <w:t xml:space="preserve">Dos Dockerfiles separados: permite escalar o reemplazar cada servicio de forma independiente sin afectar al otro.</w:t>
      </w:r>
    </w:p>
    <w:p>
      <w:pPr>
        <w:pStyle w:val="ListParagraph"/>
        <w:numPr>
          <w:ilvl w:val="0"/>
          <w:numId w:val="2"/>
        </w:numPr>
        <w:spacing w:after="60" w:before="60"/>
      </w:pPr>
      <w:r>
        <w:rPr>
          <w:rFonts w:ascii="Arial" w:cs="Arial" w:eastAsia="Arial" w:hAnsi="Arial"/>
          <w:sz w:val="22"/>
          <w:szCs w:val="22"/>
        </w:rPr>
        <w:t xml:space="preserve">Variable de entorno API_URL: desacopla la GUI de la ubicación de la API, funcionando tanto en local como en Docker sin cambios de código.</w:t>
      </w:r>
    </w:p>
    <w:p>
      <w:pPr>
        <w:pStyle w:val="ListParagraph"/>
        <w:numPr>
          <w:ilvl w:val="0"/>
          <w:numId w:val="2"/>
        </w:numPr>
        <w:spacing w:after="60" w:before="60"/>
      </w:pPr>
      <w:r>
        <w:rPr>
          <w:rFonts w:ascii="Arial" w:cs="Arial" w:eastAsia="Arial" w:hAnsi="Arial"/>
          <w:sz w:val="22"/>
          <w:szCs w:val="22"/>
        </w:rPr>
        <w:t xml:space="preserve">Healthcheck en Docker Compose: garantiza que la GUI no intente conectarse a la API antes de que esté lista, evitando errores de arranque.</w:t>
      </w:r>
    </w:p>
    <w:p>
      <w:pPr>
        <w:pStyle w:val="ListParagraph"/>
        <w:numPr>
          <w:ilvl w:val="0"/>
          <w:numId w:val="2"/>
        </w:numPr>
        <w:spacing w:after="60" w:before="60"/>
      </w:pPr>
      <w:r>
        <w:rPr>
          <w:rFonts w:ascii="Arial" w:cs="Arial" w:eastAsia="Arial" w:hAnsi="Arial"/>
          <w:sz w:val="22"/>
          <w:szCs w:val="22"/>
        </w:rPr>
        <w:t xml:space="preserve">Encoders individuales por columna: corrige el problema de la primera entrega donde todos los encoders sobreescribían la misma variable, perdiendo los parámetros aprendidos.</w:t>
      </w:r>
    </w:p>
    <w:p>
      <w:pPr>
        <w:pBdr>
          <w:bottom w:val="single" w:color="2E75B6" w:sz="4" w:space="1"/>
        </w:pBdr>
        <w:spacing w:after="160" w:before="160"/>
      </w:pPr>
    </w:p>
    <w:p>
      <w:pPr>
        <w:pStyle w:val="Heading1"/>
        <w:spacing w:after="200" w:before="300"/>
      </w:pPr>
      <w:r>
        <w:rPr>
          <w:rFonts w:ascii="Arial" w:cs="Arial" w:eastAsia="Arial" w:hAnsi="Arial"/>
          <w:b/>
          <w:bCs/>
          <w:sz w:val="32"/>
          <w:szCs w:val="32"/>
        </w:rPr>
        <w:t xml:space="preserve">8. Limitaciones Conocidas</w:t>
      </w:r>
    </w:p>
    <w:p>
      <w:pPr>
        <w:pStyle w:val="ListParagraph"/>
        <w:numPr>
          <w:ilvl w:val="0"/>
          <w:numId w:val="2"/>
        </w:numPr>
        <w:spacing w:after="60" w:before="60"/>
      </w:pPr>
      <w:r>
        <w:rPr>
          <w:rFonts w:ascii="Arial" w:cs="Arial" w:eastAsia="Arial" w:hAnsi="Arial"/>
          <w:sz w:val="22"/>
          <w:szCs w:val="22"/>
        </w:rPr>
        <w:t xml:space="preserve">DVC no tiene configurado un storage remoto. Los archivos .dvc están commiteados en Git como evidencia de trazabilidad, pero un colaborador externo debe obtener los datos y modelos por otro medio.</w:t>
      </w:r>
    </w:p>
    <w:p>
      <w:pPr>
        <w:pStyle w:val="ListParagraph"/>
        <w:numPr>
          <w:ilvl w:val="0"/>
          <w:numId w:val="2"/>
        </w:numPr>
        <w:spacing w:after="60" w:before="60"/>
      </w:pPr>
      <w:r>
        <w:rPr>
          <w:rFonts w:ascii="Arial" w:cs="Arial" w:eastAsia="Arial" w:hAnsi="Arial"/>
          <w:sz w:val="22"/>
          <w:szCs w:val="22"/>
        </w:rPr>
        <w:t xml:space="preserve">La GUI dentro de Docker no puede conectarse directamente al localhost del host. La solución recomendada es correr la GUI localmente mientras Docker sirve la API.</w:t>
      </w:r>
    </w:p>
    <w:p>
      <w:pPr>
        <w:pStyle w:val="ListParagraph"/>
        <w:numPr>
          <w:ilvl w:val="0"/>
          <w:numId w:val="2"/>
        </w:numPr>
        <w:spacing w:after="60" w:before="60"/>
      </w:pPr>
      <w:r>
        <w:rPr>
          <w:rFonts w:ascii="Arial" w:cs="Arial" w:eastAsia="Arial" w:hAnsi="Arial"/>
          <w:sz w:val="22"/>
          <w:szCs w:val="22"/>
        </w:rPr>
        <w:t xml:space="preserve">Los modelos se serializaron con scikit-learn 1.7.1. Si se usan con versiones posteriores pueden aparecer InconsistentVersionWarnings, aunque sin impacto funcional en esta versión.</w:t>
      </w:r>
    </w:p>
    <w:p>
      <w:pPr>
        <w:pStyle w:val="ListParagraph"/>
        <w:numPr>
          <w:ilvl w:val="0"/>
          <w:numId w:val="2"/>
        </w:numPr>
        <w:spacing w:after="60" w:before="60"/>
      </w:pPr>
      <w:r>
        <w:rPr>
          <w:rFonts w:ascii="Arial" w:cs="Arial" w:eastAsia="Arial" w:hAnsi="Arial"/>
          <w:sz w:val="22"/>
          <w:szCs w:val="22"/>
        </w:rPr>
        <w:t xml:space="preserve">No se implementó autenticación en la API. Para un entorno productivo real sería necesario agregar al menos una API key.</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888888"/>
        <w:sz w:val="18"/>
        <w:szCs w:val="18"/>
      </w:rPr>
      <w:t xml:space="preserve">AndesLink – Documento Técnico de Despliegue  </w:t>
    </w:r>
    <w:r>
      <w:rPr>
        <w:rFonts w:ascii="Arial" w:cs="Arial" w:eastAsia="Arial" w:hAnsi="Arial"/>
        <w:color w:val="888888"/>
        <w:sz w:val="18"/>
        <w:szCs w:val="18"/>
      </w:rPr>
      <w:t xml:space="preserve"/>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00"/>
      <w:outlineLvl w:val="0"/>
    </w:pPr>
    <w:rPr>
      <w:rFonts w:ascii="Arial" w:cs="Arial" w:eastAsia="Arial" w:hAnsi="Arial"/>
      <w:b/>
      <w:bCs/>
      <w:color w:val="1F3864"/>
      <w:sz w:val="32"/>
      <w:szCs w:val="32"/>
    </w:rPr>
  </w:style>
  <w:style w:type="paragraph" w:styleId="Heading2">
    <w:name w:val="Heading 2"/>
    <w:basedOn w:val="Normal"/>
    <w:next w:val="Normal"/>
    <w:qFormat/>
    <w:pPr>
      <w:spacing w:after="120" w:before="24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2026-06-08T19:21:04.564Z</dcterms:created>
  <dcterms:modified xsi:type="dcterms:W3CDTF">2026-06-08T19:21:04.564Z</dcterms:modified>
</cp:coreProperties>
</file>

<file path=docProps/custom.xml><?xml version="1.0" encoding="utf-8"?>
<Properties xmlns="http://schemas.openxmlformats.org/officeDocument/2006/custom-properties" xmlns:vt="http://schemas.openxmlformats.org/officeDocument/2006/docPropsVTypes"/>
</file>