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b/>
          <w:bCs/>
          <w:color w:val="0054A6"/>
          <w:sz w:val="30"/>
          <w:szCs w:val="30"/>
        </w:rPr>
        <w:t xml:space="preserve">YPF</w:t>
      </w:r>
      <w:r>
        <w:rPr>
          <w:b/>
          <w:bCs/>
          <w:color w:val="102334"/>
          <w:sz w:val="30"/>
          <w:szCs w:val="30"/>
        </w:rPr>
        <w:t xml:space="preserve">  |  Datalización</w:t>
      </w:r>
    </w:p>
    <w:p>
      <w:pPr>
        <w:pStyle w:val="Title"/>
      </w:pPr>
      <w:r>
        <w:t xml:space="preserve">Modelo Spec Técnica de Datalización</w:t>
      </w:r>
    </w:p>
    <w:p>
      <w:pPr>
        <w:spacing w:after="180"/>
      </w:pPr>
      <w:r>
        <w:rPr>
          <w:color w:val="102334"/>
          <w:sz w:val="26"/>
          <w:szCs w:val="26"/>
        </w:rPr>
        <w:t xml:space="preserve">Arquitectura, datos, modelo, DAX, seguridad, UX, release y operación</w:t>
      </w:r>
    </w:p>
    <w:p>
      <w:pPr>
        <w:pBdr>
          <w:left w:val="single" w:color="FFD200" w:sz="16"/>
        </w:pBdr>
        <w:shd w:fill="EAF4FF"/>
        <w:spacing w:after="220" w:before="160"/>
        <w:ind w:left="240"/>
      </w:pPr>
      <w:r>
        <w:rPr>
          <w:b/>
          <w:bCs/>
          <w:color w:val="102334"/>
        </w:rPr>
        <w:t xml:space="preserve">Propósito: Transformar el PRD aprobado en una implementación construible, versionable, testeable y operable con Power BI/Fabric.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Equipo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Equipo de Datalización - Piso 16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Uso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Plantilla editable para proyectos internos de automatización BI/Fabric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Estado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Base inicial para completar, revisar y versionar</w:t>
            </w:r>
          </w:p>
        </w:tc>
      </w:tr>
    </w:tbl>
    <w:p>
      <w:pPr>
        <w:spacing w:after="220"/>
      </w:pPr>
    </w:p>
    <w:p>
      <w:pPr>
        <w:pStyle w:val="Heading1"/>
      </w:pPr>
      <w:r>
        <w:t xml:space="preserve">1. Arquitectura y fuentes</w:t>
      </w:r>
    </w:p>
    <w:p>
      <w:r>
        <w:rPr>
          <w:color w:val="102334"/>
        </w:rPr>
        <w:t xml:space="preserve">Definir de dónde vienen los datos, con qué frecuencia se actualizan y qué arquitectura sostiene el proceso.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Fuentes, owners, credenciales, latencia, volumen y restricciones.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Modo de conexión: Import, DirectQuery, Direct Lake, Lakehouse, Warehouse, Dataflow o Pipeline.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Contratos de datos, linaje y controles de calidad.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Mapa técnico de fuentes y arquitectura aprobada.</w:t>
            </w:r>
          </w:p>
        </w:tc>
      </w:tr>
    </w:tbl>
    <w:p>
      <w:pPr>
        <w:pStyle w:val="Heading1"/>
      </w:pPr>
      <w:r>
        <w:t xml:space="preserve">2. Preparación de datos y Power Query</w:t>
      </w:r>
    </w:p>
    <w:p>
      <w:r>
        <w:rPr>
          <w:color w:val="102334"/>
        </w:rPr>
        <w:t xml:space="preserve">Documentar transformaciones repetibles y validables antes del modelado.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Pasos de Power Query, parámetros, tipos de datos y nombres.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Validación de nulos, duplicados, claves huérfanas y Query Folding.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Plan de refresh, gateway e incremental refresh cuando aplique.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Consultas o pipelines preparados con checklist de calidad.</w:t>
            </w:r>
          </w:p>
        </w:tc>
      </w:tr>
    </w:tbl>
    <w:p>
      <w:pPr>
        <w:pStyle w:val="Heading1"/>
      </w:pPr>
      <w:r>
        <w:t xml:space="preserve">3. Modelo semántico</w:t>
      </w:r>
    </w:p>
    <w:p>
      <w:r>
        <w:rPr>
          <w:color w:val="102334"/>
        </w:rPr>
        <w:t xml:space="preserve">Diseñar una estructura entendible, performante y alineada al proceso.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Hechos, dimensiones, granularidad, calendario y relaciones.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Cardinalidad, dirección de filtro, columnas necesarias y jerarquías.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Modo de almacenamiento y criterios de performance.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Modelo semántico validado y documentado.</w:t>
            </w:r>
          </w:p>
        </w:tc>
      </w:tr>
    </w:tbl>
    <w:p>
      <w:pPr>
        <w:pStyle w:val="Heading1"/>
      </w:pPr>
      <w:r>
        <w:t xml:space="preserve">4. DAX y reglas calculadas</w:t>
      </w:r>
    </w:p>
    <w:p>
      <w:r>
        <w:rPr>
          <w:color w:val="102334"/>
        </w:rPr>
        <w:t xml:space="preserve">Convertir reglas de negocio en medidas consistentes, legibles y testeables.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Medidas base, derivadas, KPIs, formatos y carpetas.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Uso de VAR, contexto de filtro e iteradores cuando correspondan.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Pruebas contra criterios de aceptación del PRD.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Diccionario de medidas DAX con pruebas funcionales.</w:t>
            </w:r>
          </w:p>
        </w:tc>
      </w:tr>
    </w:tbl>
    <w:p>
      <w:pPr>
        <w:pStyle w:val="Heading1"/>
      </w:pPr>
      <w:r>
        <w:t xml:space="preserve">5. Seguridad, UX y salida operativa</w:t>
      </w:r>
    </w:p>
    <w:p>
      <w:r>
        <w:rPr>
          <w:color w:val="102334"/>
        </w:rPr>
        <w:t xml:space="preserve">Asegurar que la salida llegue al usuario correcto con permisos, navegación y acción esperada.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RLS/OLS, grupos, workspace, app, audiencia y sensibilidad.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Wireframes, drill-through, alertas, tareas o seguimiento operativo.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Validación de adopción, lectura rápida y trazabilidad de decisiones.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Salida accionable con seguridad y experiencia validadas.</w:t>
            </w:r>
          </w:p>
        </w:tc>
      </w:tr>
    </w:tbl>
    <w:p>
      <w:pPr>
        <w:pStyle w:val="Heading1"/>
      </w:pPr>
      <w:r>
        <w:t xml:space="preserve">6. Versionado, publicación y operación</w:t>
      </w:r>
    </w:p>
    <w:p>
      <w:r>
        <w:rPr>
          <w:color w:val="102334"/>
        </w:rPr>
        <w:t xml:space="preserve">Controlar el paso a producción y sostener la solución después de la salida a producción.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PBIP/TMDL, Git, ramas, pull request, Dev-Test-Prod y checklist de release.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Publicación, credenciales, refresh inicial, endorsement y comunicación.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Monitoreo, incidentes, SLA, runbook, capacidad y backlog de mejora.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Release aprobado, publicado y operado con responsables claros.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Checklist técnico final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102334"/>
              </w:rPr>
              <w:t xml:space="preserve">Estado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102334"/>
              </w:rPr>
              <w:t xml:space="preserve">Responsable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Documento completo y revisado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Pendiente / En curso / Aprobado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Criterios de aceptación claros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Pendiente / En curso / Aprobado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Riesgos y responsables definidos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Pendiente / En curso / Aprobado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Listo para pasar al siguiente gate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Sí / No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788"/>
        <w:sz w:val="18"/>
        <w:szCs w:val="18"/>
      </w:rPr>
      <w:t xml:space="preserve">Torre YPF, Macacha Güemes 515, Puerto Madero, CABA, Argentina - Piso 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054A6"/>
      </w:rPr>
      <w:t xml:space="preserve">YPF</w:t>
    </w:r>
    <w:r>
      <w:rPr>
        <w:color w:val="102334"/>
      </w:rPr>
      <w:t xml:space="preserve"> | Equipo de Datalización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02334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20"/>
    </w:pPr>
    <w:rPr>
      <w:b/>
      <w:bCs/>
      <w:color w:val="0054A6"/>
      <w:sz w:val="42"/>
      <w:szCs w:val="42"/>
    </w:rPr>
  </w:style>
  <w:style w:type="paragraph" w:styleId="Heading1">
    <w:name w:val="Heading 1"/>
    <w:basedOn w:val="Normal"/>
    <w:next w:val="Normal"/>
    <w:pPr>
      <w:spacing w:after="120" w:before="280"/>
    </w:pPr>
    <w:rPr>
      <w:b/>
      <w:bCs/>
      <w:color w:val="0054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Spec Técnica de Datalización</dc:title>
  <dc:creator>Equipo de Datalización YPF</dc:creator>
  <dc:description>Arquitectura, datos, modelo, DAX, seguridad, UX, release y operación</dc:description>
  <cp:lastModifiedBy>Un-named</cp:lastModifiedBy>
  <cp:revision>1</cp:revision>
  <dcterms:created xsi:type="dcterms:W3CDTF">2026-06-26T13:51:26.545Z</dcterms:created>
  <dcterms:modified xsi:type="dcterms:W3CDTF">2026-06-26T13:51:26.545Z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