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Spec Técnica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Arquitectura, datos, modelo, DAX, seguridad, UX, release y operación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Transformar el PRD aprobado en una implementación construible, versionable, testeable y operable con Power BI/Fabric.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Arquitectura y fuentes</w:t>
      </w:r>
    </w:p>
    <w:p>
      <w:r>
        <w:rPr>
          <w:color w:val="102334"/>
        </w:rPr>
        <w:t xml:space="preserve">Definir de dónde vienen los datos, con qué frecuencia se actualizan y qué arquitectura sostiene el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Fuentes, owners, credenciales, latencia, volumen y restricciones.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conexión: Import, DirectQuery, Direct Lake, Lakehouse, Warehouse, Dataflow o Pipeline.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Contratos de datos, linaje y controles de calidad.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técnico de fuentes y arquitectura aprobada.</w:t>
            </w:r>
          </w:p>
        </w:tc>
      </w:tr>
    </w:tbl>
    <w:p>
      <w:pPr>
        <w:pStyle w:val="Heading1"/>
      </w:pPr>
      <w:r>
        <w:t xml:space="preserve">2. Preparación de datos y Power Query</w:t>
      </w:r>
    </w:p>
    <w:p>
      <w:r>
        <w:rPr>
          <w:color w:val="102334"/>
        </w:rPr>
        <w:t xml:space="preserve">Documentar transformaciones repetibles y validables antes del modelado.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Pasos de Power Query, parámetros, tipos de datos y nombres.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nulos, duplicados, claves huérfanas y Query Folding.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Plan de refresh, gateway e incremental refresh cuando aplique.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Consultas o pipelines preparados con checklist de calidad.</w:t>
            </w:r>
          </w:p>
        </w:tc>
      </w:tr>
    </w:tbl>
    <w:p>
      <w:pPr>
        <w:pStyle w:val="Heading1"/>
      </w:pPr>
      <w:r>
        <w:t xml:space="preserve">3. Modelo semántico</w:t>
      </w:r>
    </w:p>
    <w:p>
      <w:r>
        <w:rPr>
          <w:color w:val="102334"/>
        </w:rPr>
        <w:t xml:space="preserve">Diseñar una estructura entendible, performante y alineada al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Hechos, dimensiones, granularidad, calendario y relaciones.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Cardinalidad, dirección de filtro, columnas necesarias y jerarquías.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almacenamiento y criterios de performance.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Modelo semántico validado y documentado.</w:t>
            </w:r>
          </w:p>
        </w:tc>
      </w:tr>
    </w:tbl>
    <w:p>
      <w:pPr>
        <w:pStyle w:val="Heading1"/>
      </w:pPr>
      <w:r>
        <w:t xml:space="preserve">4. DAX y reglas calculadas</w:t>
      </w:r>
    </w:p>
    <w:p>
      <w:r>
        <w:rPr>
          <w:color w:val="102334"/>
        </w:rPr>
        <w:t xml:space="preserve">Convertir reglas de negocio en medidas consistentes, legibles y testeables.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Medidas base, derivadas, KPIs, formatos y carpetas.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Uso de VAR, contexto de filtro e iteradores cuando correspondan.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Pruebas contra criterios de aceptación del PRD.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Diccionario de medidas DAX con pruebas funcionales.</w:t>
            </w:r>
          </w:p>
        </w:tc>
      </w:tr>
    </w:tbl>
    <w:p>
      <w:pPr>
        <w:pStyle w:val="Heading1"/>
      </w:pPr>
      <w:r>
        <w:t xml:space="preserve">5. Seguridad, UX y salida operativa</w:t>
      </w:r>
    </w:p>
    <w:p>
      <w:r>
        <w:rPr>
          <w:color w:val="102334"/>
        </w:rPr>
        <w:t xml:space="preserve">Asegurar que la salida llegue al usuario correcto con permisos, navegación y acción esperada.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RLS/OLS, grupos, workspace, app, audiencia y sensibilidad.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Wireframes, drill-through, alertas, tareas o seguimiento operativo.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adopción, lectura rápida y trazabilidad de decisiones.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Salida accionable con seguridad y experiencia validadas.</w:t>
            </w:r>
          </w:p>
        </w:tc>
      </w:tr>
    </w:tbl>
    <w:p>
      <w:pPr>
        <w:pStyle w:val="Heading1"/>
      </w:pPr>
      <w:r>
        <w:t xml:space="preserve">6. Versionado, publicación y operación</w:t>
      </w:r>
    </w:p>
    <w:p>
      <w:r>
        <w:rPr>
          <w:color w:val="102334"/>
        </w:rPr>
        <w:t xml:space="preserve">Controlar el paso a producción y sostener la solución después del go-live.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PBIP/TMDL, Git, ramas, pull request, Dev-Test-Prod y checklist de release.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Publicación, credenciales, refresh inicial, endorsement y comunicación.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Monitoreo, incidentes, SLA, runbook, capacidad y backlog de mejora.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Release aprobado, publicado y operado con responsables claros.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técnico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Spec Técnica de Datalización</dc:title>
  <dc:creator>Equipo de Datalización YPF</dc:creator>
  <dc:description>Arquitectura, datos, modelo, DAX, seguridad, UX, release y operación</dc:description>
  <cp:lastModifiedBy>Un-named</cp:lastModifiedBy>
  <cp:revision>1</cp:revision>
  <dcterms:created xsi:type="dcterms:W3CDTF">2026-06-24T01:09:55.953Z</dcterms:created>
  <dcterms:modified xsi:type="dcterms:W3CDTF">2026-06-24T01:09:55.953Z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