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w15">
  <ns0:body>
    <ns0:p>
      <ns0:pPr>
        <ns0:pStyle ns0:val="BodyTexteyebrow"/>
        <ns0:bidi ns0:val="0"/>
        <ns0:spacing ns0:before="120" ns0:after="120"/>
        <ns0:jc ns0:val="start"/>
        <ns0:rPr/>
      </ns0:pPr>
      <ns0:r>
        <ns0:rPr/>
        <ns0:t>DATALIZA · DATA E IA · PROPUESTA PARA EVALUACIÓN INTERNA</ns0:t>
      </ns0:r>
    </ns0:p>
    <ns0:p>
      <ns0:pPr>
        <ns0:pStyle ns0:val="Heading1"/>
        <ns0:bidi ns0:val="0"/>
        <ns0:jc ns0:val="start"/>
        <ns0:rPr/>
      </ns0:pPr>
      <ns0:r>
        <ns0:rPr/>
        <ns0:t>Edición simultánea sin sobrescribir el trabajo del equipo</ns0:t>
      </ns0:r>
    </ns0:p>
    <ns0:p>
      <ns0:pPr>
        <ns0:pStyle ns0:val="BodyTextlead"/>
        <ns0:bidi ns0:val="0"/>
        <ns0:jc ns0:val="start"/>
        <ns0:rPr/>
      </ns0:pPr>
      <ns0:r>
        <ns0:rPr>
          <ns0:b/>
        </ns0:rPr>
        <ns0:t>Propuesta:</ns0:t>
      </ns0:r>
      <ns0:r>
        <ns0:rPr/>
        <ns0:t xml:space="preserve"> centralizar el guardado de Dataliza en un servicio instalado en una PC Windows, con una base de datos local y acceso del equipo desde el navegador.</ns0:t>
      </ns0:r>
    </ns0:p>
    <ns0:p>
      <ns0:pPr>
        <ns0:pStyle ns0:val="BodyText"/>
        <ns0:bidi ns0:val="0"/>
        <ns0:jc ns0:val="start"/>
        <ns0:rPr/>
      </ns0:pPr>
      <ns0:r>
        <ns0:rPr/>
        <ns0:t xml:space="preserve">La necesidad es que varios usuarios puedan </ns0:t>
      </ns0:r>
      <ns0:r>
        <ns0:rPr>
          <ns0:b/>
        </ns0:rPr>
        <ns0:t>consultar y editar al mismo tiempo</ns0:t>
      </ns0:r>
      <ns0:r>
        <ns0:rPr/>
        <ns0:t>, tanto en Data como en IA, conservando los cambios de cada persona y las exportaciones para Power BI.</ns0:t>
      </ns0:r>
    </ns0:p>
    <ns0:p>
      <ns0:pPr>
        <ns0:pStyle ns0:val="Heading2"/>
        <ns0:bidi ns0:val="0"/>
        <ns0:jc ns0:val="start"/>
        <ns0:rPr/>
      </ns0:pPr>
      <ns0:r>
        <ns0:rPr/>
        <ns0:t>Por qué hace falta el cambio</ns0:t>
      </ns0:r>
    </ns0:p>
    <ns0:p>
      <ns0:pPr>
        <ns0:pStyle ns0:val="BodyText"/>
        <ns0:bidi ns0:val="0"/>
        <ns0:jc ns0:val="start"/>
        <ns0:rPr/>
      </ns0:pPr>
      <ns0:r>
        <ns0:rPr/>
        <ns0:t>Actualmente, cada navegador trabaja con una copia de la base. Al guardar, la aplicación reemplaza el archivo JSON completo del área, aunque se haya modificado una sola tarea. Ese mecanismo no coordina de forma fiable las escrituras desde distintas computadoras.</ns0:t>
      </ns0:r>
    </ns0:p>
    <ns0:tbl>
      <ns0:tblPr>
        <ns0:tblW ns0:w="9600" ns0:type="dxa"/>
        <ns0:jc ns0:val="start"/>
        <ns0:tblInd ns0:w="0" ns0:type="dxa"/>
        <ns0:tblLayout ns0:type="fixed"/>
        <ns0:tblCellMar>
          <ns0:top ns0:w="28" ns0:type="dxa"/>
          <ns0:start ns0:w="28" ns0:type="dxa"/>
          <ns0:bottom ns0:w="28" ns0:type="dxa"/>
          <ns0:end ns0:w="28" ns0:type="dxa"/>
        </ns0:tblCellMar>
      </ns0:tblPr>
      <ns0:tblGrid>
        <ns0:gridCol ns0:w="2300"/>
        <ns0:gridCol ns0:w="3650"/>
        <ns0:gridCol ns0:w="3650"/>
      </ns0:tblGrid>
      <ns0:tr>
        <ns0:trPr/>
        <ns0:tc>
          <ns0:tcPr>
            <ns0:tcW ns0:w="2300" ns0:type="dxa"/>
            <ns0:tcBorders/>
            <ns0:vAlign ns0:val="center"/>
          </ns0:tcPr>
          <ns0:p>
            <ns0:pPr>
              <ns0:pStyle ns0:val="TableHeading"/>
              <ns0:suppressLineNumbers/>
              <ns0:shd ns0:fill="12365A" ns0:val="clear"/>
              <ns0:bidi ns0:val="0"/>
              <ns0:spacing ns0:before="120" ns0:after="120"/>
              <ns0:jc ns0:val="start"/>
              <ns0:rPr/>
            </ns0:pPr>
            <ns0:r>
              <ns0:rPr/>
              <ns0:t>Necesidad</ns0:t>
            </ns0:r>
          </ns0:p>
        </ns0:tc>
        <ns0:tc>
          <ns0:tcPr>
            <ns0:tcW ns0:w="3650" ns0:type="dxa"/>
            <ns0:tcBorders/>
            <ns0:vAlign ns0:val="center"/>
          </ns0:tcPr>
          <ns0:p>
            <ns0:pPr>
              <ns0:pStyle ns0:val="TableHeading"/>
              <ns0:suppressLineNumbers/>
              <ns0:shd ns0:fill="12365A" ns0:val="clear"/>
              <ns0:bidi ns0:val="0"/>
              <ns0:spacing ns0:before="120" ns0:after="120"/>
              <ns0:jc ns0:val="start"/>
              <ns0:rPr/>
            </ns0:pPr>
            <ns0:r>
              <ns0:rPr/>
              <ns0:t>Situación actual</ns0:t>
            </ns0:r>
          </ns0:p>
        </ns0:tc>
        <ns0:tc>
          <ns0:tcPr>
            <ns0:tcW ns0:w="3650" ns0:type="dxa"/>
            <ns0:tcBorders/>
            <ns0:vAlign ns0:val="center"/>
          </ns0:tcPr>
          <ns0:p>
            <ns0:pPr>
              <ns0:pStyle ns0:val="TableHeading"/>
              <ns0:suppressLineNumbers/>
              <ns0:shd ns0:fill="12365A" ns0:val="clear"/>
              <ns0:bidi ns0:val="0"/>
              <ns0:spacing ns0:before="120" ns0:after="120"/>
              <ns0:jc ns0:val="start"/>
              <ns0:rPr/>
            </ns0:pPr>
            <ns0:r>
              <ns0:rPr/>
              <ns0:t>Resultado buscado</ns0:t>
            </ns0:r>
          </ns0:p>
        </ns0:tc>
      </ns0:tr>
      <ns0:tr>
        <ns0:trPr/>
        <ns0:tc>
          <ns0:tcPr>
            <ns0:tcW ns0:w="2300" ns0:type="dxa"/>
            <ns0:tcBorders/>
            <ns0:vAlign ns0:val="center"/>
          </ns0:tcPr>
          <ns0:p>
            <ns0:pPr>
              <ns0:pStyle ns0:val="TableContents"/>
              <ns0:bidi ns0:val="0"/>
              <ns0:spacing ns0:before="120" ns0:after="120"/>
              <ns0:jc ns0:val="start"/>
              <ns0:rPr/>
            </ns0:pPr>
            <ns0:r>
              <ns0:rPr/>
              <ns0:t>Editar tareas diferentes a la vez</ns0:t>
            </ns0:r>
          </ns0:p>
        </ns0:tc>
        <ns0:tc>
          <ns0:tcPr>
            <ns0:tcW ns0:w="3650" ns0:type="dxa"/>
            <ns0:tcBorders/>
            <ns0:vAlign ns0:val="center"/>
          </ns0:tcPr>
          <ns0:p>
            <ns0:pPr>
              <ns0:pStyle ns0:val="TableContents"/>
              <ns0:bidi ns0:val="0"/>
              <ns0:spacing ns0:before="120" ns0:after="120"/>
              <ns0:jc ns0:val="start"/>
              <ns0:rPr/>
            </ns0:pPr>
            <ns0:r>
              <ns0:rPr/>
              <ns0:t>Una copia completa puede reemplazar cambios ajenos.</ns0:t>
            </ns0:r>
          </ns0:p>
        </ns0:tc>
        <ns0:tc>
          <ns0:tcPr>
            <ns0:tcW ns0:w="3650" ns0:type="dxa"/>
            <ns0:tcBorders/>
            <ns0:vAlign ns0:val="center"/>
          </ns0:tcPr>
          <ns0:p>
            <ns0:pPr>
              <ns0:pStyle ns0:val="TableContents"/>
              <ns0:bidi ns0:val="0"/>
              <ns0:spacing ns0:before="120" ns0:after="120"/>
              <ns0:jc ns0:val="start"/>
              <ns0:rPr/>
            </ns0:pPr>
            <ns0:r>
              <ns0:rPr/>
              <ns0:t>Guardar cada operación sobre el registro correspondiente.</ns0:t>
            </ns0:r>
          </ns0:p>
        </ns0:tc>
      </ns0:tr>
      <ns0:tr>
        <ns0:trPr/>
        <ns0:tc>
          <ns0:tcPr>
            <ns0:tcW ns0:w="2300" ns0:type="dxa"/>
            <ns0:tcBorders/>
            <ns0:vAlign ns0:val="center"/>
          </ns0:tcPr>
          <ns0:p>
            <ns0:pPr>
              <ns0:pStyle ns0:val="TableContents"/>
              <ns0:bidi ns0:val="0"/>
              <ns0:spacing ns0:before="120" ns0:after="120"/>
              <ns0:jc ns0:val="start"/>
              <ns0:rPr/>
            </ns0:pPr>
            <ns0:r>
              <ns0:rPr/>
              <ns0:t>Editar la misma tarea</ns0:t>
            </ns0:r>
          </ns0:p>
        </ns0:tc>
        <ns0:tc>
          <ns0:tcPr>
            <ns0:tcW ns0:w="3650" ns0:type="dxa"/>
            <ns0:tcBorders/>
            <ns0:vAlign ns0:val="center"/>
          </ns0:tcPr>
          <ns0:p>
            <ns0:pPr>
              <ns0:pStyle ns0:val="TableContents"/>
              <ns0:bidi ns0:val="0"/>
              <ns0:spacing ns0:before="120" ns0:after="120"/>
              <ns0:jc ns0:val="start"/>
              <ns0:rPr/>
            </ns0:pPr>
            <ns0:r>
              <ns0:rPr/>
              <ns0:t>Hay detección parcial de conflictos, sin coordinación central.</ns0:t>
            </ns0:r>
          </ns0:p>
        </ns0:tc>
        <ns0:tc>
          <ns0:tcPr>
            <ns0:tcW ns0:w="3650" ns0:type="dxa"/>
            <ns0:tcBorders/>
            <ns0:vAlign ns0:val="center"/>
          </ns0:tcPr>
          <ns0:p>
            <ns0:pPr>
              <ns0:pStyle ns0:val="TableContents"/>
              <ns0:bidi ns0:val="0"/>
              <ns0:spacing ns0:before="120" ns0:after="120"/>
              <ns0:jc ns0:val="start"/>
              <ns0:rPr/>
            </ns0:pPr>
            <ns0:r>
              <ns0:rPr/>
              <ns0:t>Detectar la versión desactualizada y pedir revisión antes de reemplazarla.</ns0:t>
            </ns0:r>
          </ns0:p>
        </ns0:tc>
      </ns0:tr>
      <ns0:tr>
        <ns0:trPr/>
        <ns0:tc>
          <ns0:tcPr>
            <ns0:tcW ns0:w="2300" ns0:type="dxa"/>
            <ns0:tcBorders/>
            <ns0:vAlign ns0:val="center"/>
          </ns0:tcPr>
          <ns0:p>
            <ns0:pPr>
              <ns0:pStyle ns0:val="TableContents"/>
              <ns0:bidi ns0:val="0"/>
              <ns0:spacing ns0:before="120" ns0:after="120"/>
              <ns0:jc ns0:val="start"/>
              <ns0:rPr/>
            </ns0:pPr>
            <ns0:r>
              <ns0:rPr/>
              <ns0:t>Conservar información para gestión</ns0:t>
            </ns0:r>
          </ns0:p>
        </ns0:tc>
        <ns0:tc>
          <ns0:tcPr>
            <ns0:tcW ns0:w="3650" ns0:type="dxa"/>
            <ns0:tcBorders/>
            <ns0:vAlign ns0:val="center"/>
          </ns0:tcPr>
          <ns0:p>
            <ns0:pPr>
              <ns0:pStyle ns0:val="TableContents"/>
              <ns0:bidi ns0:val="0"/>
              <ns0:spacing ns0:before="120" ns0:after="120"/>
              <ns0:jc ns0:val="start"/>
              <ns0:rPr/>
            </ns0:pPr>
            <ns0:r>
              <ns0:rPr/>
              <ns0:t>Los respaldos permiten recuperar versiones, con revisión manual.</ns0:t>
            </ns0:r>
          </ns0:p>
        </ns0:tc>
        <ns0:tc>
          <ns0:tcPr>
            <ns0:tcW ns0:w="3650" ns0:type="dxa"/>
            <ns0:tcBorders/>
            <ns0:vAlign ns0:val="center"/>
          </ns0:tcPr>
          <ns0:p>
            <ns0:pPr>
              <ns0:pStyle ns0:val="TableContents"/>
              <ns0:bidi ns0:val="0"/>
              <ns0:spacing ns0:before="120" ns0:after="120"/>
              <ns0:jc ns0:val="start"/>
              <ns0:rPr/>
            </ns0:pPr>
            <ns0:r>
              <ns0:rPr/>
              <ns0:t>Prevenir sobrescrituras y mantener respaldos para otros incidentes.</ns0:t>
            </ns0:r>
          </ns0:p>
        </ns0:tc>
      </ns0:tr>
    </ns0:tbl>
    <ns0:p>
      <ns0:pPr>
        <ns0:pStyle ns0:val="Heading2"/>
        <ns0:bidi ns0:val="0"/>
        <ns0:jc ns0:val="start"/>
        <ns0:rPr/>
      </ns0:pPr>
      <ns0:r>
        <ns0:rPr/>
        <ns0:t>Qué se propone y qué se conserva</ns0:t>
      </ns0:r>
    </ns0:p>
    <ns0:p>
      <ns0:pPr>
        <ns0:pStyle ns0:val="BodyText"/>
        <ns0:bidi ns0:val="0"/>
        <ns0:jc ns0:val="start"/>
        <ns0:rPr/>
      </ns0:pPr>
      <ns0:r>
        <ns0:rPr/>
        <ns0:t>Se propone adaptar la aplicación para que un único servicio reciba las operaciones, valide los datos y confirme cada guardado. Se conservarían la experiencia de uso, las áreas Data e IA y sus exportaciones para Power BI.</ns0:t>
      </ns0:r>
    </ns0:p>
    <ns0:p>
      <ns0:pPr>
        <ns0:pStyle ns0:val="BodyText"/>
        <ns0:bidi ns0:val="0"/>
        <ns0:jc ns0:val="start"/>
        <ns0:rPr/>
      </ns0:pPr>
      <ns0:r>
        <ns0:rPr/>
        <ns0:t>No se requiere instalar una aplicación en cada PC del equipo: los usuarios accederían a una dirección interna desde Chrome o Edge. La PC anfitriona alojaría la aplicación y los datos.</ns0:t>
      </ns0:r>
    </ns0:p>
    <ns0:p>
      <ns0:pPr>
        <ns0:pStyle ns0:val="BodyTextnote"/>
        <ns0:bidi ns0:val="0"/>
        <ns0:jc ns0:val="start"/>
        <ns0:rPr/>
      </ns0:pPr>
      <ns0:r>
        <ns0:rPr>
          <ns0:b/>
        </ns0:rPr>
        <ns0:t>Estado de la propuesta:</ns0:t>
      </ns0:r>
      <ns0:r>
        <ns0:rPr/>
        <ns0:t xml:space="preserve"> el servicio central y la migración todavía no están desarrollados ni instalados. Este documento solicita evaluar la viabilidad y autorizar un piloto; no describe una solución ya desplegada.</ns0:t>
      </ns0:r>
    </ns0:p>
    <ns0:p>
      <ns0:pPr>
        <ns0:pStyle ns0:val="BodyTextsmall"/>
        <ns0:bidi ns0:val="0"/>
        <ns0:jc ns0:val="start"/>
        <ns0:rPr/>
      </ns0:pPr>
      <ns0:r>
        <ns0:rPr/>
        <ns0:t>Fecha: 22 de septiembre de 2026 · Alcance: arquitectura de edición compartida de Dataliza.</ns0:t>
      </ns0:r>
    </ns0:p>
    <ns0:p>
      <ns0:pPr>
        <ns0:pStyle ns0:val="BodyTexteyebrow"/>
        <ns0:bidi ns0:val="0"/>
        <ns0:ind ns0:hanging="0" ns0:start="0" ns0:end="0"/>
        <ns0:jc ns0:val="start"/>
        <ns0:rPr/>
        <ns0:pageBreakBefore/>
      </ns0:pPr>
      <ns0:r>
        <ns0:rPr/>
        <ns0:t>02 · EJEMPLO DEL PROBLEMA</ns0:t>
      </ns0:r>
    </ns0:p>
    <ns0:p>
      <ns0:pPr>
        <ns0:pStyle ns0:val="Heading2"/>
        <ns0:bidi ns0:val="0"/>
        <ns0:jc ns0:val="start"/>
        <ns0:rPr/>
      </ns0:pPr>
      <ns0:r>
        <ns0:rPr/>
        <ns0:t>Dos personas cambian tareas distintas y un cambio puede perderse</ns0:t>
      </ns0:r>
    </ns0:p>
    <ns0:p>
      <ns0:pPr>
        <ns0:pStyle ns0:val="BodyText"/>
        <ns0:bidi ns0:val="0"/>
        <ns0:jc ns0:val="start"/>
        <ns0:rPr/>
      </ns0:pPr>
      <ns0:r>
        <ns0:rPr/>
        <ns0:t>Ana y Bruno abren Dataliza a las 9:00. Ambos ven la tarea A “En curso” y la tarea B con vencimiento el viernes.</ns0:t>
      </ns0:r>
    </ns0:p>
    <ns0:tbl>
      <ns0:tblPr>
        <ns0:tblW ns0:w="9600" ns0:type="dxa"/>
        <ns0:jc ns0:val="start"/>
        <ns0:tblInd ns0:w="0" ns0:type="dxa"/>
        <ns0:tblLayout ns0:type="fixed"/>
        <ns0:tblCellMar>
          <ns0:top ns0:w="28" ns0:type="dxa"/>
          <ns0:start ns0:w="28" ns0:type="dxa"/>
          <ns0:bottom ns0:w="28" ns0:type="dxa"/>
          <ns0:end ns0:w="28" ns0:type="dxa"/>
        </ns0:tblCellMar>
      </ns0:tblPr>
      <ns0:tblGrid>
        <ns0:gridCol ns0:w="2800"/>
        <ns0:gridCol ns0:w="6800"/>
      </ns0:tblGrid>
      <ns0:tr>
        <ns0:trPr/>
        <ns0:tc>
          <ns0:tcPr>
            <ns0:tcW ns0:w="2800" ns0:type="dxa"/>
            <ns0:tcBorders/>
            <ns0:vAlign ns0:val="center"/>
          </ns0:tcPr>
          <ns0:p>
            <ns0:pPr>
              <ns0:pStyle ns0:val="TableHeading"/>
              <ns0:suppressLineNumbers/>
              <ns0:shd ns0:fill="12365A" ns0:val="clear"/>
              <ns0:bidi ns0:val="0"/>
              <ns0:spacing ns0:before="120" ns0:after="120"/>
              <ns0:jc ns0:val="start"/>
              <ns0:rPr/>
            </ns0:pPr>
            <ns0:r>
              <ns0:rPr/>
              <ns0:t>Momento</ns0:t>
            </ns0:r>
          </ns0:p>
        </ns0:tc>
        <ns0:tc>
          <ns0:tcPr>
            <ns0:tcW ns0:w="6800" ns0:type="dxa"/>
            <ns0:tcBorders/>
            <ns0:vAlign ns0:val="center"/>
          </ns0:tcPr>
          <ns0:p>
            <ns0:pPr>
              <ns0:pStyle ns0:val="TableHeading"/>
              <ns0:suppressLineNumbers/>
              <ns0:shd ns0:fill="12365A" ns0:val="clear"/>
              <ns0:bidi ns0:val="0"/>
              <ns0:spacing ns0:before="120" ns0:after="120"/>
              <ns0:jc ns0:val="start"/>
              <ns0:rPr/>
            </ns0:pPr>
            <ns0:r>
              <ns0:rPr/>
              <ns0:t>Qué ocurre</ns0:t>
            </ns0:r>
          </ns0:p>
        </ns0:tc>
      </ns0:tr>
      <ns0:tr>
        <ns0:trPr/>
        <ns0:tc>
          <ns0:tcPr>
            <ns0:tcW ns0:w="2800" ns0:type="dxa"/>
            <ns0:tcBorders/>
            <ns0:vAlign ns0:val="center"/>
          </ns0:tcPr>
          <ns0:p>
            <ns0:pPr>
              <ns0:pStyle ns0:val="TableContents"/>
              <ns0:bidi ns0:val="0"/>
              <ns0:spacing ns0:before="120" ns0:after="120"/>
              <ns0:jc ns0:val="start"/>
              <ns0:rPr/>
            </ns0:pPr>
            <ns0:r>
              <ns0:rPr/>
              <ns0:t>1. Ana edita A</ns0:t>
            </ns0:r>
          </ns0:p>
        </ns0:tc>
        <ns0:tc>
          <ns0:tcPr>
            <ns0:tcW ns0:w="6800" ns0:type="dxa"/>
            <ns0:tcBorders/>
            <ns0:vAlign ns0:val="center"/>
          </ns0:tcPr>
          <ns0:p>
            <ns0:pPr>
              <ns0:pStyle ns0:val="TableContents"/>
              <ns0:bidi ns0:val="0"/>
              <ns0:spacing ns0:before="120" ns0:after="120"/>
              <ns0:jc ns0:val="start"/>
              <ns0:rPr/>
            </ns0:pPr>
            <ns0:r>
              <ns0:rPr/>
              <ns0:t>Marca la tarea A como “Finalizado”. Su copia conserva B con vencimiento el viernes.</ns0:t>
            </ns0:r>
          </ns0:p>
        </ns0:tc>
      </ns0:tr>
      <ns0:tr>
        <ns0:trPr/>
        <ns0:tc>
          <ns0:tcPr>
            <ns0:tcW ns0:w="2800" ns0:type="dxa"/>
            <ns0:tcBorders/>
            <ns0:vAlign ns0:val="center"/>
          </ns0:tcPr>
          <ns0:p>
            <ns0:pPr>
              <ns0:pStyle ns0:val="TableContents"/>
              <ns0:bidi ns0:val="0"/>
              <ns0:spacing ns0:before="120" ns0:after="120"/>
              <ns0:jc ns0:val="start"/>
              <ns0:rPr/>
            </ns0:pPr>
            <ns0:r>
              <ns0:rPr/>
              <ns0:t>2. Bruno edita B</ns0:t>
            </ns0:r>
          </ns0:p>
        </ns0:tc>
        <ns0:tc>
          <ns0:tcPr>
            <ns0:tcW ns0:w="6800" ns0:type="dxa"/>
            <ns0:tcBorders/>
            <ns0:vAlign ns0:val="center"/>
          </ns0:tcPr>
          <ns0:p>
            <ns0:pPr>
              <ns0:pStyle ns0:val="TableContents"/>
              <ns0:bidi ns0:val="0"/>
              <ns0:spacing ns0:before="120" ns0:after="120"/>
              <ns0:jc ns0:val="start"/>
              <ns0:rPr/>
            </ns0:pPr>
            <ns0:r>
              <ns0:rPr/>
              <ns0:t>Cambia el vencimiento de B al lunes. Su copia todavía conserva A “En curso”.</ns0:t>
            </ns0:r>
          </ns0:p>
        </ns0:tc>
      </ns0:tr>
      <ns0:tr>
        <ns0:trPr/>
        <ns0:tc>
          <ns0:tcPr>
            <ns0:tcW ns0:w="2800" ns0:type="dxa"/>
            <ns0:tcBorders/>
            <ns0:vAlign ns0:val="center"/>
          </ns0:tcPr>
          <ns0:p>
            <ns0:pPr>
              <ns0:pStyle ns0:val="TableContents"/>
              <ns0:bidi ns0:val="0"/>
              <ns0:spacing ns0:before="120" ns0:after="120"/>
              <ns0:jc ns0:val="start"/>
              <ns0:rPr/>
            </ns0:pPr>
            <ns0:r>
              <ns0:rPr/>
              <ns0:t>3. Ana guarda</ns0:t>
            </ns0:r>
          </ns0:p>
        </ns0:tc>
        <ns0:tc>
          <ns0:tcPr>
            <ns0:tcW ns0:w="6800" ns0:type="dxa"/>
            <ns0:tcBorders/>
            <ns0:vAlign ns0:val="center"/>
          </ns0:tcPr>
          <ns0:p>
            <ns0:pPr>
              <ns0:pStyle ns0:val="TableContents"/>
              <ns0:bidi ns0:val="0"/>
              <ns0:spacing ns0:before="120" ns0:after="120"/>
              <ns0:jc ns0:val="start"/>
              <ns0:rPr/>
            </ns0:pPr>
            <ns0:r>
              <ns0:rPr/>
              <ns0:t>Su PC escribe la base completa: A finalizada y B con vencimiento el viernes.</ns0:t>
            </ns0:r>
          </ns0:p>
        </ns0:tc>
      </ns0:tr>
      <ns0:tr>
        <ns0:trPr/>
        <ns0:tc>
          <ns0:tcPr>
            <ns0:tcW ns0:w="2800" ns0:type="dxa"/>
            <ns0:tcBorders/>
            <ns0:vAlign ns0:val="center"/>
          </ns0:tcPr>
          <ns0:p>
            <ns0:pPr>
              <ns0:pStyle ns0:val="TableContents"/>
              <ns0:bidi ns0:val="0"/>
              <ns0:spacing ns0:before="120" ns0:after="120"/>
              <ns0:jc ns0:val="start"/>
              <ns0:rPr/>
            </ns0:pPr>
            <ns0:r>
              <ns0:rPr/>
              <ns0:t>4. Bruno guarda</ns0:t>
            </ns0:r>
          </ns0:p>
        </ns0:tc>
        <ns0:tc>
          <ns0:tcPr>
            <ns0:tcW ns0:w="6800" ns0:type="dxa"/>
            <ns0:tcBorders/>
            <ns0:vAlign ns0:val="center"/>
          </ns0:tcPr>
          <ns0:p>
            <ns0:pPr>
              <ns0:pStyle ns0:val="TableContents"/>
              <ns0:bidi ns0:val="0"/>
              <ns0:spacing ns0:before="120" ns0:after="120"/>
              <ns0:jc ns0:val="start"/>
              <ns0:rPr/>
            </ns0:pPr>
            <ns0:r>
              <ns0:rPr/>
              <ns0:t>Si el conflicto no se detecta, su copia completa reemplaza la anterior: B queda para el lunes, pero A vuelve a “En curso”.</ns0:t>
            </ns0:r>
          </ns0:p>
        </ns0:tc>
      </ns0:tr>
    </ns0:tbl>
    <ns0:p>
      <ns0:pPr>
        <ns0:pStyle ns0:val="BodyText"/>
        <ns0:bidi ns0:val="0"/>
        <ns0:jc ns0:val="start"/>
        <ns0:rPr/>
      </ns0:pPr>
      <ns0:r>
        <ns0:rPr>
          <ns0:b/>
        </ns0:rPr>
        <ns0:t>Resultado posible:</ns0:t>
      </ns0:r>
      <ns0:r>
        <ns0:rPr/>
        <ns0:t xml:space="preserve"> el cambio de Ana deja de estar en la base principal, aunque Bruno nunca haya editado la tarea A.</ns0:t>
      </ns0:r>
    </ns0:p>
    <ns0:p>
      <ns0:pPr>
        <ns0:pStyle ns0:val="Heading3"/>
        <ns0:bidi ns0:val="0"/>
        <ns0:jc ns0:val="start"/>
        <ns0:rPr/>
      </ns0:pPr>
      <ns0:r>
        <ns0:rPr/>
        <ns0:t>Qué protección existe hoy</ns0:t>
      </ns0:r>
    </ns0:p>
    <ns0:p>
      <ns0:pPr>
        <ns0:pStyle ns0:val="BodyText"/>
        <ns0:bidi ns0:val="0"/>
        <ns0:jc ns0:val="start"/>
        <ns0:rPr/>
      </ns0:pPr>
      <ns0:r>
        <ns0:rPr/>
        <ns0:t>La aplicación compara la base antes de escribir e intenta bloquear guardados sobre una versión desactualizada. También conserva respaldos. Son controles útiles, pero no garantizan coordinación entre computadoras: dos guardados casi simultáneos pueden pasar las verificaciones, y una carpeta sincronizada puede demorar en mostrar los cambios de otra PC.</ns0:t>
      </ns0:r>
    </ns0:p>
    <ns0:p>
      <ns0:pPr>
        <ns0:pStyle ns0:val="BodyText"/>
        <ns0:bidi ns0:val="0"/>
        <ns0:jc ns0:val="start"/>
        <ns0:rPr/>
      </ns0:pPr>
      <ns0:r>
        <ns0:rPr/>
        <ns0:t>Si se detecta el conflicto, el segundo guardado se frena y requiere actualizar y revisar. Si no se detecta, puede ser necesario buscar el cambio en los respaldos y reconstruirlo manualmente. La pérdida no ocurre en cada guardado, pero el mecanismo actual permite ese escenario.</ns0:t>
      </ns0:r>
    </ns0:p>
    <ns0:p>
      <ns0:pPr>
        <ns0:pStyle ns0:val="Heading3"/>
        <ns0:bidi ns0:val="0"/>
        <ns0:jc ns0:val="start"/>
        <ns0:rPr/>
      </ns0:pPr>
      <ns0:r>
        <ns0:rPr/>
        <ns0:t>Cómo funcionaría con el servicio central</ns0:t>
      </ns0:r>
    </ns0:p>
    <ns0:p>
      <ns0:pPr>
        <ns0:pStyle ns0:val="BodyText"/>
        <ns0:bidi ns0:val="0"/>
        <ns0:jc ns0:val="start"/>
        <ns0:rPr/>
      </ns0:pPr>
      <ns0:r>
        <ns0:rPr/>
        <ns0:t>Ana envía el cambio de la tarea A y Bruno el de la tarea B. El servicio guarda ambas operaciones sobre sus respectivos registros. Ninguno reemplaza la base completa del otro.</ns0:t>
      </ns0:r>
    </ns0:p>
    <ns0:p>
      <ns0:pPr>
        <ns0:pStyle ns0:val="BodyText"/>
        <ns0:bidi ns0:val="0"/>
        <ns0:jc ns0:val="start"/>
        <ns0:rPr/>
      </ns0:pPr>
      <ns0:r>
        <ns0:rPr/>
        <ns0:t>Si ambos editan A, cada solicitud incluye la versión que la persona abrió. El servicio verifica esa versión y actualiza el registro en una misma transacción. Tras guardar el primer cambio, rechaza el segundo si quedó desactualizado.</ns0:t>
      </ns0:r>
    </ns0:p>
    <ns0:p>
      <ns0:pPr>
        <ns0:pStyle ns0:val="BodyTextnote"/>
        <ns0:bidi ns0:val="0"/>
        <ns0:jc ns0:val="start"/>
        <ns0:rPr/>
      </ns0:pPr>
      <ns0:r>
        <ns0:rPr>
          <ns0:b/>
        </ns0:rPr>
        <ns0:t>Mensaje esperado:</ns0:t>
      </ns0:r>
      <ns0:r>
        <ns0:rPr/>
        <ns0:t xml:space="preserve"> “Otra persona modificó esta tarea. Revisá la versión actual antes de guardar”. La interfaz debe conservar la edición pendiente para que el usuario pueda compararla y decidir. No se propone una fusión automática de campos.</ns0:t>
      </ns0:r>
    </ns0:p>
    <ns0:p>
      <ns0:pPr>
        <ns0:pStyle ns0:val="BodyTexteyebrow"/>
        <ns0:bidi ns0:val="0"/>
        <ns0:ind ns0:hanging="0" ns0:start="0" ns0:end="0"/>
        <ns0:jc ns0:val="start"/>
        <ns0:rPr/>
        <ns0:pageBreakBefore/>
      </ns0:pPr>
      <ns0:r>
        <ns0:rPr/>
        <ns0:t>03 · SOLUCIÓN PROPUESTA</ns0:t>
      </ns0:r>
    </ns0:p>
    <ns0:p>
      <ns0:pPr>
        <ns0:pStyle ns0:val="Heading2"/>
        <ns0:bidi ns0:val="0"/>
        <ns0:jc ns0:val="start"/>
        <ns0:rPr/>
      </ns0:pPr>
      <ns0:r>
        <ns0:rPr/>
        <ns0:t>Una PC coordina; el equipo utiliza el navegador</ns0:t>
      </ns0:r>
    </ns0:p>
    <ns0:p>
      <ns0:pPr>
        <ns0:pStyle ns0:val="BodyTextnote"/>
        <ns0:bidi ns0:val="0"/>
        <ns0:jc ns0:val="start"/>
        <ns0:rPr>
          <ns0:b/>
        </ns0:rPr>
      </ns0:pPr>
      <ns0:r>
        <ns0:rPr>
          <ns0:b/>
        </ns0:rPr>
        <ns0:t>PCs del equipo → red interna o VPN → servicio Dataliza en la PC anfitriona → base SQLite en disco local.</ns0:t>
      </ns0:r>
    </ns0:p>
    <ns0:tbl>
      <ns0:tblPr>
        <ns0:tblW ns0:w="9600" ns0:type="dxa"/>
        <ns0:jc ns0:val="start"/>
        <ns0:tblInd ns0:w="0" ns0:type="dxa"/>
        <ns0:tblLayout ns0:type="fixed"/>
        <ns0:tblCellMar>
          <ns0:top ns0:w="28" ns0:type="dxa"/>
          <ns0:start ns0:w="28" ns0:type="dxa"/>
          <ns0:bottom ns0:w="28" ns0:type="dxa"/>
          <ns0:end ns0:w="28" ns0:type="dxa"/>
        </ns0:tblCellMar>
      </ns0:tblPr>
      <ns0:tblGrid>
        <ns0:gridCol ns0:w="2800"/>
        <ns0:gridCol ns0:w="6800"/>
      </ns0:tblGrid>
      <ns0:tr>
        <ns0:trPr/>
        <ns0:tc>
          <ns0:tcPr>
            <ns0:tcW ns0:w="2800" ns0:type="dxa"/>
            <ns0:tcBorders/>
            <ns0:vAlign ns0:val="center"/>
          </ns0:tcPr>
          <ns0:p>
            <ns0:pPr>
              <ns0:pStyle ns0:val="TableHeading"/>
              <ns0:suppressLineNumbers/>
              <ns0:shd ns0:fill="12365A" ns0:val="clear"/>
              <ns0:bidi ns0:val="0"/>
              <ns0:spacing ns0:before="120" ns0:after="120"/>
              <ns0:jc ns0:val="start"/>
              <ns0:rPr/>
            </ns0:pPr>
            <ns0:r>
              <ns0:rPr/>
              <ns0:t>Componente</ns0:t>
            </ns0:r>
          </ns0:p>
        </ns0:tc>
        <ns0:tc>
          <ns0:tcPr>
            <ns0:tcW ns0:w="6800" ns0:type="dxa"/>
            <ns0:tcBorders/>
            <ns0:vAlign ns0:val="center"/>
          </ns0:tcPr>
          <ns0:p>
            <ns0:pPr>
              <ns0:pStyle ns0:val="TableHeading"/>
              <ns0:suppressLineNumbers/>
              <ns0:shd ns0:fill="12365A" ns0:val="clear"/>
              <ns0:bidi ns0:val="0"/>
              <ns0:spacing ns0:before="120" ns0:after="120"/>
              <ns0:jc ns0:val="start"/>
              <ns0:rPr/>
            </ns0:pPr>
            <ns0:r>
              <ns0:rPr/>
              <ns0:t>Ubicación y función</ns0:t>
            </ns0:r>
          </ns0:p>
        </ns0:tc>
      </ns0:tr>
      <ns0:tr>
        <ns0:trPr/>
        <ns0:tc>
          <ns0:tcPr>
            <ns0:tcW ns0:w="2800" ns0:type="dxa"/>
            <ns0:tcBorders/>
            <ns0:vAlign ns0:val="center"/>
          </ns0:tcPr>
          <ns0:p>
            <ns0:pPr>
              <ns0:pStyle ns0:val="TableContents"/>
              <ns0:bidi ns0:val="0"/>
              <ns0:spacing ns0:before="120" ns0:after="120"/>
              <ns0:jc ns0:val="start"/>
              <ns0:rPr/>
            </ns0:pPr>
            <ns0:r>
              <ns0:rPr/>
              <ns0:t>Python y dependencias de la aplicación</ns0:t>
            </ns0:r>
          </ns0:p>
        </ns0:tc>
        <ns0:tc>
          <ns0:tcPr>
            <ns0:tcW ns0:w="6800" ns0:type="dxa"/>
            <ns0:tcBorders/>
            <ns0:vAlign ns0:val="center"/>
          </ns0:tcPr>
          <ns0:p>
            <ns0:pPr>
              <ns0:pStyle ns0:val="TableContents"/>
              <ns0:bidi ns0:val="0"/>
              <ns0:spacing ns0:before="120" ns0:after="120"/>
              <ns0:jc ns0:val="start"/>
              <ns0:rPr/>
            </ns0:pPr>
            <ns0:r>
              <ns0:rPr/>
              <ns0:t>En la PC anfitriona. Ejecutan el servicio web; la versión y los paquetes se definirán y aprobarán para el entorno corporativo.</ns0:t>
            </ns0:r>
          </ns0:p>
        </ns0:tc>
      </ns0:tr>
      <ns0:tr>
        <ns0:trPr/>
        <ns0:tc>
          <ns0:tcPr>
            <ns0:tcW ns0:w="2800" ns0:type="dxa"/>
            <ns0:tcBorders/>
            <ns0:vAlign ns0:val="center"/>
          </ns0:tcPr>
          <ns0:p>
            <ns0:pPr>
              <ns0:pStyle ns0:val="TableContents"/>
              <ns0:bidi ns0:val="0"/>
              <ns0:spacing ns0:before="120" ns0:after="120"/>
              <ns0:jc ns0:val="start"/>
              <ns0:rPr/>
            </ns0:pPr>
            <ns0:r>
              <ns0:rPr/>
              <ns0:t>Servicio web Dataliza</ns0:t>
            </ns0:r>
          </ns0:p>
        </ns0:tc>
        <ns0:tc>
          <ns0:tcPr>
            <ns0:tcW ns0:w="6800" ns0:type="dxa"/>
            <ns0:tcBorders/>
            <ns0:vAlign ns0:val="center"/>
          </ns0:tcPr>
          <ns0:p>
            <ns0:pPr>
              <ns0:pStyle ns0:val="TableContents"/>
              <ns0:bidi ns0:val="0"/>
              <ns0:spacing ns0:before="120" ns0:after="120"/>
              <ns0:jc ns0:val="start"/>
              <ns0:rPr/>
            </ns0:pPr>
            <ns0:r>
              <ns0:rPr/>
              <ns0:t>En la PC anfitriona. Entrega la interfaz, valida solicitudes, coordina guardados y registra resultados. Debe poder arrancar automáticamente y recuperarse de fallas.</ns0:t>
            </ns0:r>
          </ns0:p>
        </ns0:tc>
      </ns0:tr>
      <ns0:tr>
        <ns0:trPr/>
        <ns0:tc>
          <ns0:tcPr>
            <ns0:tcW ns0:w="2800" ns0:type="dxa"/>
            <ns0:tcBorders/>
            <ns0:vAlign ns0:val="center"/>
          </ns0:tcPr>
          <ns0:p>
            <ns0:pPr>
              <ns0:pStyle ns0:val="TableContents"/>
              <ns0:bidi ns0:val="0"/>
              <ns0:spacing ns0:before="120" ns0:after="120"/>
              <ns0:jc ns0:val="start"/>
              <ns0:rPr/>
            </ns0:pPr>
            <ns0:r>
              <ns0:rPr/>
              <ns0:t>Base SQLite</ns0:t>
            </ns0:r>
          </ns0:p>
        </ns0:tc>
        <ns0:tc>
          <ns0:tcPr>
            <ns0:tcW ns0:w="6800" ns0:type="dxa"/>
            <ns0:tcBorders/>
            <ns0:vAlign ns0:val="center"/>
          </ns0:tcPr>
          <ns0:p>
            <ns0:pPr>
              <ns0:pStyle ns0:val="TableContents"/>
              <ns0:bidi ns0:val="0"/>
              <ns0:spacing ns0:before="120" ns0:after="120"/>
              <ns0:jc ns0:val="start"/>
              <ns0:rPr/>
            </ns0:pPr>
            <ns0:r>
              <ns0:rPr/>
              <ns0:t>Archivo local en la PC anfitriona. No requiere instalar un servidor de base de datos separado. El servicio accede a ella mediante el módulo sqlite3 de Python [1].</ns0:t>
            </ns0:r>
          </ns0:p>
        </ns0:tc>
      </ns0:tr>
      <ns0:tr>
        <ns0:trPr/>
        <ns0:tc>
          <ns0:tcPr>
            <ns0:tcW ns0:w="2800" ns0:type="dxa"/>
            <ns0:tcBorders/>
            <ns0:vAlign ns0:val="center"/>
          </ns0:tcPr>
          <ns0:p>
            <ns0:pPr>
              <ns0:pStyle ns0:val="TableContents"/>
              <ns0:bidi ns0:val="0"/>
              <ns0:spacing ns0:before="120" ns0:after="120"/>
              <ns0:jc ns0:val="start"/>
              <ns0:rPr/>
            </ns0:pPr>
            <ns0:r>
              <ns0:rPr/>
              <ns0:t>Navegador</ns0:t>
            </ns0:r>
          </ns0:p>
        </ns0:tc>
        <ns0:tc>
          <ns0:tcPr>
            <ns0:tcW ns0:w="6800" ns0:type="dxa"/>
            <ns0:tcBorders/>
            <ns0:vAlign ns0:val="center"/>
          </ns0:tcPr>
          <ns0:p>
            <ns0:pPr>
              <ns0:pStyle ns0:val="TableContents"/>
              <ns0:bidi ns0:val="0"/>
              <ns0:spacing ns0:before="120" ns0:after="120"/>
              <ns0:jc ns0:val="start"/>
              <ns0:rPr/>
            </ns0:pPr>
            <ns0:r>
              <ns0:rPr/>
              <ns0:t>En cada PC usuaria. Accede al enlace interno; no abre directamente la base de datos.</ns0:t>
            </ns0:r>
          </ns0:p>
        </ns0:tc>
      </ns0:tr>
      <ns0:tr>
        <ns0:trPr/>
        <ns0:tc>
          <ns0:tcPr>
            <ns0:tcW ns0:w="2800" ns0:type="dxa"/>
            <ns0:tcBorders/>
            <ns0:vAlign ns0:val="center"/>
          </ns0:tcPr>
          <ns0:p>
            <ns0:pPr>
              <ns0:pStyle ns0:val="TableContents"/>
              <ns0:bidi ns0:val="0"/>
              <ns0:spacing ns0:before="120" ns0:after="120"/>
              <ns0:jc ns0:val="start"/>
              <ns0:rPr/>
            </ns0:pPr>
            <ns0:r>
              <ns0:rPr/>
              <ns0:t>Respaldo y exportaciones</ns0:t>
            </ns0:r>
          </ns0:p>
        </ns0:tc>
        <ns0:tc>
          <ns0:tcPr>
            <ns0:tcW ns0:w="6800" ns0:type="dxa"/>
            <ns0:tcBorders/>
            <ns0:vAlign ns0:val="center"/>
          </ns0:tcPr>
          <ns0:p>
            <ns0:pPr>
              <ns0:pStyle ns0:val="TableContents"/>
              <ns0:bidi ns0:val="0"/>
              <ns0:spacing ns0:before="120" ns0:after="120"/>
              <ns0:jc ns0:val="start"/>
              <ns0:rPr/>
            </ns0:pPr>
            <ns0:r>
              <ns0:rPr/>
              <ns0:t>El servicio debe generar copias verificadas y exportaciones de Data e IA para los destinos autorizados.</ns0:t>
            </ns0:r>
          </ns0:p>
        </ns0:tc>
      </ns0:tr>
    </ns0:tbl>
    <ns0:p>
      <ns0:pPr>
        <ns0:pStyle ns0:val="Heading3"/>
        <ns0:bidi ns0:val="0"/>
        <ns0:jc ns0:val="start"/>
        <ns0:rPr/>
      </ns0:pPr>
      <ns0:r>
        <ns0:rPr/>
        <ns0:t>Por qué SQLite puede servir para el piloto</ns0:t>
      </ns0:r>
    </ns0:p>
    <ns0:p>
      <ns0:pPr>
        <ns0:pStyle ns0:val="BodyText"/>
        <ns0:bidi ns0:val="0"/>
        <ns0:jc ns0:val="start"/>
        <ns0:rPr/>
      </ns0:pPr>
      <ns0:r>
        <ns0:rPr/>
        <ns0:t>SQLite permite múltiples lectores y una escritura a la vez. El servicio puede atender a varios usuarios y coordinar operaciones breves; la experiencia de edición simultánea no exige que todas las escrituras físicas ocurran en el mismo instante. Su adecuación debe comprobarse con el volumen real del equipo [2, 3].</ns0:t>
      </ns0:r>
    </ns0:p>
    <ns0:p>
      <ns0:pPr>
        <ns0:pStyle ns0:val="BodyText"/>
        <ns0:bidi ns0:val="0"/>
        <ns0:jc ns0:val="start"/>
        <ns0:rPr/>
      </ns0:pPr>
      <ns0:r>
        <ns0:rPr/>
        <ns0:t>La base activa debe quedar en disco local, fuera de OneDrive y carpetas de red. Los usuarios acceden mediante el servicio; no comparten el archivo SQLite directamente. Si el volumen o la disponibilidad exigida crecen, se deberá evaluar un servidor administrado y otra base de datos [2].</ns0:t>
      </ns0:r>
    </ns0:p>
    <ns0:p>
      <ns0:pPr>
        <ns0:pStyle ns0:val="Heading3"/>
        <ns0:bidi ns0:val="0"/>
        <ns0:jc ns0:val="start"/>
        <ns0:rPr/>
      </ns0:pPr>
      <ns0:r>
        <ns0:rPr/>
        <ns0:t>Autenticación y disponibilidad</ns0:t>
      </ns0:r>
    </ns0:p>
    <ns0:p>
      <ns0:pPr>
        <ns0:pStyle ns0:val="BodyText"/>
        <ns0:bidi ns0:val="0"/>
        <ns0:jc ns0:val="start"/>
        <ns0:rPr/>
      </ns0:pPr>
      <ns0:r>
        <ns0:rPr/>
        <ns0:t>Resolver la concurrencia no exige integrar primero el inicio de sesión con Microsoft. La selección de nombre podría conservarse para un piloto si Sistemas la acepta, pero seguiría siendo una identidad declarada, no verificada. El acceso y la autenticación para uso operativo deben acordarse por separado.</ns0:t>
      </ns0:r>
    </ns0:p>
    <ns0:p>
      <ns0:pPr>
        <ns0:pStyle ns0:val="BodyText"/>
        <ns0:bidi ns0:val="0"/>
        <ns0:jc ns0:val="start"/>
        <ns0:rPr/>
      </ns0:pPr>
      <ns0:r>
        <ns0:rPr>
          <ns0:b/>
        </ns0:rPr>
        <ns0:t>La PC anfitriona es un punto único de disponibilidad:</ns0:t>
      </ns0:r>
      <ns0:r>
        <ns0:rPr/>
        <ns0:t xml:space="preserve"> si se apaga, suspende, reinicia o pierde conectividad, el equipo no podrá consultar ni guardar contra el servicio. No se propone edición desconectada ni sincronización posterior automática.</ns0:t>
      </ns0:r>
    </ns0:p>
    <ns0:p>
      <ns0:pPr>
        <ns0:pStyle ns0:val="BodyText"/>
        <ns0:bidi ns0:val="0"/>
        <ns0:jc ns0:val="start"/>
        <ns0:rPr/>
      </ns0:pPr>
      <ns0:r>
        <ns0:rPr/>
        <ns0:t>La base de datos evita ciertos errores de concurrencia, pero no sustituye los respaldos. Se deben generar copias consistentes con un mecanismo compatible con SQLite y verificar su restauración; no basta con copiar a ciegas el archivo mientras está en uso.</ns0:t>
      </ns0:r>
    </ns0:p>
    <ns0:p>
      <ns0:pPr>
        <ns0:pStyle ns0:val="BodyTexteyebrow"/>
        <ns0:bidi ns0:val="0"/>
        <ns0:ind ns0:hanging="0" ns0:start="0" ns0:end="0"/>
        <ns0:jc ns0:val="start"/>
        <ns0:rPr/>
        <ns0:pageBreakBefore/>
      </ns0:pPr>
      <ns0:r>
        <ns0:rPr/>
        <ns0:t>04 · IMPLEMENTACIÓN Y DECISIÓN</ns0:t>
      </ns0:r>
    </ns0:p>
    <ns0:p>
      <ns0:pPr>
        <ns0:pStyle ns0:val="Heading2"/>
        <ns0:bidi ns0:val="0"/>
        <ns0:jc ns0:val="start"/>
        <ns0:rPr/>
      </ns0:pPr>
      <ns0:r>
        <ns0:rPr/>
        <ns0:t>Qué hay que hacer para ponerlo en marcha</ns0:t>
      </ns0:r>
    </ns0:p>
    <ns0:tbl>
      <ns0:tblPr>
        <ns0:tblW ns0:w="9600" ns0:type="dxa"/>
        <ns0:jc ns0:val="start"/>
        <ns0:tblInd ns0:w="0" ns0:type="dxa"/>
        <ns0:tblLayout ns0:type="fixed"/>
        <ns0:tblCellMar>
          <ns0:top ns0:w="28" ns0:type="dxa"/>
          <ns0:start ns0:w="28" ns0:type="dxa"/>
          <ns0:bottom ns0:w="28" ns0:type="dxa"/>
          <ns0:end ns0:w="28" ns0:type="dxa"/>
        </ns0:tblCellMar>
      </ns0:tblPr>
      <ns0:tblGrid>
        <ns0:gridCol ns0:w="2800"/>
        <ns0:gridCol ns0:w="6800"/>
      </ns0:tblGrid>
      <ns0:tr>
        <ns0:trPr/>
        <ns0:tc>
          <ns0:tcPr>
            <ns0:tcW ns0:w="2800" ns0:type="dxa"/>
            <ns0:tcBorders/>
            <ns0:vAlign ns0:val="center"/>
          </ns0:tcPr>
          <ns0:p>
            <ns0:pPr>
              <ns0:pStyle ns0:val="TableHeading"/>
              <ns0:suppressLineNumbers/>
              <ns0:shd ns0:fill="12365A" ns0:val="clear"/>
              <ns0:bidi ns0:val="0"/>
              <ns0:spacing ns0:before="120" ns0:after="120"/>
              <ns0:jc ns0:val="start"/>
              <ns0:rPr/>
            </ns0:pPr>
            <ns0:r>
              <ns0:rPr/>
              <ns0:t>Paso y responsable</ns0:t>
            </ns0:r>
          </ns0:p>
        </ns0:tc>
        <ns0:tc>
          <ns0:tcPr>
            <ns0:tcW ns0:w="6800" ns0:type="dxa"/>
            <ns0:tcBorders/>
            <ns0:vAlign ns0:val="center"/>
          </ns0:tcPr>
          <ns0:p>
            <ns0:pPr>
              <ns0:pStyle ns0:val="TableHeading"/>
              <ns0:suppressLineNumbers/>
              <ns0:shd ns0:fill="12365A" ns0:val="clear"/>
              <ns0:bidi ns0:val="0"/>
              <ns0:spacing ns0:before="120" ns0:after="120"/>
              <ns0:jc ns0:val="start"/>
              <ns0:rPr/>
            </ns0:pPr>
            <ns0:r>
              <ns0:rPr/>
              <ns0:t>Resultado necesario</ns0:t>
            </ns0:r>
          </ns0:p>
        </ns0:tc>
      </ns0:tr>
      <ns0:tr>
        <ns0:trPr/>
        <ns0:tc>
          <ns0:tcPr>
            <ns0:tcW ns0:w="2800" ns0:type="dxa"/>
            <ns0:tcBorders/>
            <ns0:vAlign ns0:val="center"/>
          </ns0:tcPr>
          <ns0:p>
            <ns0:pPr>
              <ns0:pStyle ns0:val="TableContents"/>
              <ns0:bidi ns0:val="0"/>
              <ns0:spacing ns0:before="120" ns0:after="120"/>
              <ns0:jc ns0:val="start"/>
              <ns0:rPr/>
            </ns0:pPr>
            <ns0:r>
              <ns0:rPr/>
              <ns0:t>1. Viabilidad · Sistemas</ns0:t>
            </ns0:r>
          </ns0:p>
        </ns0:tc>
        <ns0:tc>
          <ns0:tcPr>
            <ns0:tcW ns0:w="6800" ns0:type="dxa"/>
            <ns0:tcBorders/>
            <ns0:vAlign ns0:val="center"/>
          </ns0:tcPr>
          <ns0:p>
            <ns0:pPr>
              <ns0:pStyle ns0:val="TableContents"/>
              <ns0:bidi ns0:val="0"/>
              <ns0:spacing ns0:before="120" ns0:after="120"/>
              <ns0:jc ns0:val="start"/>
              <ns0:rPr/>
            </ns0:pPr>
            <ns0:r>
              <ns0:rPr/>
              <ns0:t>Confirmar que se permite alojar el servicio en la PC Windows. Definir dirección estable, puerto, alcance de red/VPN, firewall, protección de la conexión y acceso autorizado. Sin exposición pública a Internet.</ns0:t>
            </ns0:r>
          </ns0:p>
        </ns0:tc>
      </ns0:tr>
      <ns0:tr>
        <ns0:trPr/>
        <ns0:tc>
          <ns0:tcPr>
            <ns0:tcW ns0:w="2800" ns0:type="dxa"/>
            <ns0:tcBorders/>
            <ns0:vAlign ns0:val="center"/>
          </ns0:tcPr>
          <ns0:p>
            <ns0:pPr>
              <ns0:pStyle ns0:val="TableContents"/>
              <ns0:bidi ns0:val="0"/>
              <ns0:spacing ns0:before="120" ns0:after="120"/>
              <ns0:jc ns0:val="start"/>
              <ns0:rPr/>
            </ns0:pPr>
            <ns0:r>
              <ns0:rPr/>
              <ns0:t>2. Adaptación · Desarrollo</ns0:t>
            </ns0:r>
          </ns0:p>
        </ns0:tc>
        <ns0:tc>
          <ns0:tcPr>
            <ns0:tcW ns0:w="6800" ns0:type="dxa"/>
            <ns0:tcBorders/>
            <ns0:vAlign ns0:val="center"/>
          </ns0:tcPr>
          <ns0:p>
            <ns0:pPr>
              <ns0:pStyle ns0:val="TableContents"/>
              <ns0:bidi ns0:val="0"/>
              <ns0:spacing ns0:before="120" ns0:after="120"/>
              <ns0:jc ns0:val="start"/>
              <ns0:rPr/>
            </ns0:pPr>
            <ns0:r>
              <ns0:rPr/>
              <ns0:t>Crear el servicio, persistencia por registro, validaciones y control de versión atómico. Adaptar la interfaz para manejar conflictos, errores y actualización de datos desde el servidor.</ns0:t>
            </ns0:r>
          </ns0:p>
        </ns0:tc>
      </ns0:tr>
      <ns0:tr>
        <ns0:trPr/>
        <ns0:tc>
          <ns0:tcPr>
            <ns0:tcW ns0:w="2800" ns0:type="dxa"/>
            <ns0:tcBorders/>
            <ns0:vAlign ns0:val="center"/>
          </ns0:tcPr>
          <ns0:p>
            <ns0:pPr>
              <ns0:pStyle ns0:val="TableContents"/>
              <ns0:bidi ns0:val="0"/>
              <ns0:spacing ns0:before="120" ns0:after="120"/>
              <ns0:jc ns0:val="start"/>
              <ns0:rPr/>
            </ns0:pPr>
            <ns0:r>
              <ns0:rPr/>
              <ns0:t>3. Operación · Sistemas y responsable de Dataliza</ns0:t>
            </ns0:r>
          </ns0:p>
        </ns0:tc>
        <ns0:tc>
          <ns0:tcPr>
            <ns0:tcW ns0:w="6800" ns0:type="dxa"/>
            <ns0:tcBorders/>
            <ns0:vAlign ns0:val="center"/>
          </ns0:tcPr>
          <ns0:p>
            <ns0:pPr>
              <ns0:pStyle ns0:val="TableContents"/>
              <ns0:bidi ns0:val="0"/>
              <ns0:spacing ns0:before="120" ns0:after="120"/>
              <ns0:jc ns0:val="start"/>
              <ns0:rPr/>
            </ns0:pPr>
            <ns0:r>
              <ns0:rPr/>
              <ns0:t>Configurar arranque automático, recuperación tras reinicio, horario de disponibilidad, registro de errores, respaldo independiente y responsable de soporte.</ns0:t>
            </ns0:r>
          </ns0:p>
        </ns0:tc>
      </ns0:tr>
      <ns0:tr>
        <ns0:trPr/>
        <ns0:tc>
          <ns0:tcPr>
            <ns0:tcW ns0:w="2800" ns0:type="dxa"/>
            <ns0:tcBorders/>
            <ns0:vAlign ns0:val="center"/>
          </ns0:tcPr>
          <ns0:p>
            <ns0:pPr>
              <ns0:pStyle ns0:val="TableContents"/>
              <ns0:bidi ns0:val="0"/>
              <ns0:spacing ns0:before="120" ns0:after="120"/>
              <ns0:jc ns0:val="start"/>
              <ns0:rPr/>
            </ns0:pPr>
            <ns0:r>
              <ns0:rPr/>
              <ns0:t>4. Migración · Responsable de datos y Desarrollo</ns0:t>
            </ns0:r>
          </ns0:p>
        </ns0:tc>
        <ns0:tc>
          <ns0:tcPr>
            <ns0:tcW ns0:w="6800" ns0:type="dxa"/>
            <ns0:tcBorders/>
            <ns0:vAlign ns0:val="center"/>
          </ns0:tcPr>
          <ns0:p>
            <ns0:pPr>
              <ns0:pStyle ns0:val="TableContents"/>
              <ns0:bidi ns0:val="0"/>
              <ns0:spacing ns0:before="120" ns0:after="120"/>
              <ns0:jc ns0:val="start"/>
              <ns0:rPr/>
            </ns0:pPr>
            <ns0:r>
              <ns0:rPr/>
              <ns0:t>Respaldar los JSON de Data e IA, detener temporalmente las ediciones e importar los datos. Comparar tareas, catálogos, comentarios e historial; conservar los originales.</ns0:t>
            </ns0:r>
          </ns0:p>
        </ns0:tc>
      </ns0:tr>
      <ns0:tr>
        <ns0:trPr/>
        <ns0:tc>
          <ns0:tcPr>
            <ns0:tcW ns0:w="2800" ns0:type="dxa"/>
            <ns0:tcBorders/>
            <ns0:vAlign ns0:val="center"/>
          </ns0:tcPr>
          <ns0:p>
            <ns0:pPr>
              <ns0:pStyle ns0:val="TableContents"/>
              <ns0:bidi ns0:val="0"/>
              <ns0:spacing ns0:before="120" ns0:after="120"/>
              <ns0:jc ns0:val="start"/>
              <ns0:rPr/>
            </ns0:pPr>
            <ns0:r>
              <ns0:rPr/>
              <ns0:t>5. Piloto · Equipo usuario</ns0:t>
            </ns0:r>
          </ns0:p>
        </ns0:tc>
        <ns0:tc>
          <ns0:tcPr>
            <ns0:tcW ns0:w="6800" ns0:type="dxa"/>
            <ns0:tcBorders/>
            <ns0:vAlign ns0:val="center"/>
          </ns0:tcPr>
          <ns0:p>
            <ns0:pPr>
              <ns0:pStyle ns0:val="TableContents"/>
              <ns0:bidi ns0:val="0"/>
              <ns0:spacing ns0:before="120" ns0:after="120"/>
              <ns0:jc ns0:val="start"/>
              <ns0:rPr/>
            </ns0:pPr>
            <ns0:r>
              <ns0:rPr/>
              <ns0:t>Validar desde dos PCs los casos de concurrencia, conectividad, recuperación y Power BI antes de habilitar el uso general.</ns0:t>
            </ns0:r>
          </ns0:p>
        </ns0:tc>
      </ns0:tr>
    </ns0:tbl>
    <ns0:p>
      <ns0:pPr>
        <ns0:pStyle ns0:val="Heading3"/>
        <ns0:bidi ns0:val="0"/>
        <ns0:jc ns0:val="start"/>
        <ns0:rPr/>
      </ns0:pPr>
      <ns0:r>
        <ns0:rPr/>
        <ns0:t>Criterios para aceptar el piloto</ns0:t>
      </ns0:r>
    </ns0:p>
    <ns0:p>
      <ns0:pPr>
        <ns0:pStyle ns0:val="BodyText"/>
        <ns0:numPr>
          <ns0:ilvl ns0:val="0"/>
          <ns0:numId ns0:val="1"/>
        </ns0:numPr>
        <ns0:tabs>
          <ns0:tab ns0:val="clear" ns0:pos="1134"/>
          <ns0:tab ns0:val="left" ns0:pos="829" ns0:leader="none"/>
        </ns0:tabs>
        <ns0:bidi ns0:val="0"/>
        <ns0:spacing ns0:before="120" ns0:after="0"/>
        <ns0:ind ns0:hanging="283" ns0:start="829"/>
        <ns0:jc ns0:val="start"/>
        <ns0:rPr/>
      </ns0:pPr>
      <ns0:r>
        <ns0:rPr/>
        <ns0:t xml:space="preserve">Dos usuarios editan tareas diferentes y ambos cambios se conservan. </ns0:t>
      </ns0:r>
    </ns0:p>
    <ns0:p>
      <ns0:pPr>
        <ns0:pStyle ns0:val="BodyText"/>
        <ns0:numPr>
          <ns0:ilvl ns0:val="0"/>
          <ns0:numId ns0:val="1"/>
        </ns0:numPr>
        <ns0:tabs>
          <ns0:tab ns0:val="clear" ns0:pos="1134"/>
          <ns0:tab ns0:val="left" ns0:pos="829" ns0:leader="none"/>
        </ns0:tabs>
        <ns0:bidi ns0:val="0"/>
        <ns0:spacing ns0:before="120" ns0:after="0"/>
        <ns0:ind ns0:hanging="283" ns0:start="829"/>
        <ns0:jc ns0:val="start"/>
        <ns0:rPr/>
      </ns0:pPr>
      <ns0:r>
        <ns0:rPr/>
        <ns0:t xml:space="preserve">Dos usuarios editan la misma tarea: se detecta el conflicto y se conserva la edición pendiente del segundo usuario para revisión. </ns0:t>
      </ns0:r>
    </ns0:p>
    <ns0:p>
      <ns0:pPr>
        <ns0:pStyle ns0:val="BodyText"/>
        <ns0:numPr>
          <ns0:ilvl ns0:val="0"/>
          <ns0:numId ns0:val="1"/>
        </ns0:numPr>
        <ns0:tabs>
          <ns0:tab ns0:val="clear" ns0:pos="1134"/>
          <ns0:tab ns0:val="left" ns0:pos="829" ns0:leader="none"/>
        </ns0:tabs>
        <ns0:bidi ns0:val="0"/>
        <ns0:spacing ns0:before="120" ns0:after="0"/>
        <ns0:ind ns0:hanging="283" ns0:start="829"/>
        <ns0:jc ns0:val="start"/>
        <ns0:rPr/>
      </ns0:pPr>
      <ns0:r>
        <ns0:rPr/>
        <ns0:t xml:space="preserve">Una interrupción de red no produce una confirmación falsa; los reintentos no duplican operaciones como comentarios. </ns0:t>
      </ns0:r>
    </ns0:p>
    <ns0:p>
      <ns0:pPr>
        <ns0:pStyle ns0:val="BodyText"/>
        <ns0:numPr>
          <ns0:ilvl ns0:val="0"/>
          <ns0:numId ns0:val="1"/>
        </ns0:numPr>
        <ns0:tabs>
          <ns0:tab ns0:val="clear" ns0:pos="1134"/>
          <ns0:tab ns0:val="left" ns0:pos="829" ns0:leader="none"/>
        </ns0:tabs>
        <ns0:bidi ns0:val="0"/>
        <ns0:spacing ns0:before="120" ns0:after="0"/>
        <ns0:ind ns0:hanging="283" ns0:start="829"/>
        <ns0:jc ns0:val="start"/>
        <ns0:rPr/>
      </ns0:pPr>
      <ns0:r>
        <ns0:rPr/>
        <ns0:t xml:space="preserve">Tras reiniciar la PC, el servicio vuelve a estar disponible y conserva los datos confirmados. </ns0:t>
      </ns0:r>
    </ns0:p>
    <ns0:p>
      <ns0:pPr>
        <ns0:pStyle ns0:val="BodyText"/>
        <ns0:numPr>
          <ns0:ilvl ns0:val="0"/>
          <ns0:numId ns0:val="1"/>
        </ns0:numPr>
        <ns0:tabs>
          <ns0:tab ns0:val="clear" ns0:pos="1134"/>
          <ns0:tab ns0:val="left" ns0:pos="829" ns0:leader="none"/>
        </ns0:tabs>
        <ns0:bidi ns0:val="0"/>
        <ns0:spacing ns0:before="120" ns0:after="0"/>
        <ns0:ind ns0:hanging="283" ns0:start="829"/>
        <ns0:jc ns0:val="start"/>
        <ns0:rPr/>
      </ns0:pPr>
      <ns0:r>
        <ns0:rPr/>
        <ns0:t xml:space="preserve">Se restaura un respaldo en un entorno de prueba y se comprueba su contenido. </ns0:t>
      </ns0:r>
    </ns0:p>
    <ns0:p>
      <ns0:pPr>
        <ns0:pStyle ns0:val="BodyText"/>
        <ns0:numPr>
          <ns0:ilvl ns0:val="0"/>
          <ns0:numId ns0:val="1"/>
        </ns0:numPr>
        <ns0:tabs>
          <ns0:tab ns0:val="clear" ns0:pos="1134"/>
          <ns0:tab ns0:val="left" ns0:pos="829" ns0:leader="none"/>
        </ns0:tabs>
        <ns0:bidi ns0:val="0"/>
        <ns0:ind ns0:hanging="283" ns0:start="829"/>
        <ns0:jc ns0:val="start"/>
        <ns0:rPr/>
      </ns0:pPr>
      <ns0:r>
        <ns0:rPr/>
        <ns0:t xml:space="preserve">Se regeneran y cargan las tablas de Data e IA en Power BI, manteniendo identificación de área y relaciones correctas. </ns0:t>
      </ns0:r>
    </ns0:p>
    <ns0:p>
      <ns0:pPr>
        <ns0:pStyle ns0:val="BodyText"/>
        <ns0:bidi ns0:val="0"/>
        <ns0:jc ns0:val="start"/>
        <ns0:rPr/>
      </ns0:pPr>
      <ns0:r>
        <ns0:rPr/>
        <ns0:t xml:space="preserve">Las exportaciones actuales tienen 7 dimensiones y 4 tablas de hechos por área, con </ns0:t>
      </ns0:r>
      <ns0:r>
        <ns0:rPr>
          <ns0:b/>
        </ns0:rPr>
        <ns0:t>area_id</ns0:t>
      </ns0:r>
      <ns0:r>
        <ns0:rPr/>
        <ns0:t xml:space="preserve">, </ns0:t>
      </ns0:r>
      <ns0:r>
        <ns0:rPr>
          <ns0:b/>
        </ns0:rPr>
        <ns0:t>area_nombre</ns0:t>
      </ns0:r>
      <ns0:r>
        <ns0:rPr/>
        <ns0:t xml:space="preserve"> y claves por área. La adaptación debe conservar ese contrato y publicar conjuntos consistentes. El refresco programado de Power BI Service, si se requiere, se evaluará por separado.</ns0:t>
      </ns0:r>
    </ns0:p>
    <ns0:p>
      <ns0:pPr>
        <ns0:pStyle ns0:val="BodyText"/>
        <ns0:bidi ns0:val="0"/>
        <ns0:jc ns0:val="start"/>
        <ns0:rPr/>
      </ns0:pPr>
      <ns0:r>
        <ns0:rPr>
          <ns0:b/>
        </ns0:rPr>
        <ns0:t>Decisión solicitada:</ns0:t>
      </ns0:r>
      <ns0:r>
        <ns0:rPr/>
        <ns0:t xml:space="preserve"> aprobar la evaluación técnica y un piloto en una PC designada, con responsables de operación y respaldo. Si la política corporativa no permite alojarlo allí, evaluar un servicio interno administrado que mantenga el mismo mecanismo central de guardado.</ns0:t>
      </ns0:r>
    </ns0:p>
    <ns0:p>
      <ns0:pPr>
        <ns0:pStyle ns0:val="BodyTextsmall"/>
        <ns0:bidi ns0:val="0"/>
        <ns0:jc ns0:val="start"/>
        <ns0:rPr/>
      </ns0:pPr>
      <ns0:r>
        <ns0:rPr>
          <ns0:b/>
        </ns0:rPr>
        <ns0:t>Fuentes y alcance:</ns0:t>
      </ns0:r>
      <ns0:r>
        <ns0:rPr/>
        <ns0:t xml:space="preserve"> revisión del HTML Dataliza, LEEME.md y guía local de Power BI. El código actual contiene verificación de cambios y respaldos, pero no el servicio propuesto. Fuentes técnicas consultadas el 22/09/2026:</ns0:t>
      </ns0:r>
    </ns0:p>
    <ns0:p>
      <ns0:pPr>
        <ns0:pStyle ns0:val="BodyTextsmall"/>
        <ns0:bidi ns0:val="0"/>
        <ns0:spacing ns0:before="120" ns0:after="120"/>
        <ns0:jc ns0:val="start"/>
        <ns0:rPr/>
      </ns0:pPr>
      <ns0:r>
        <ns0:rPr/>
        <ns0:t xml:space="preserve">[1] </ns0:t>
      </ns0:r>
      <ns0:hyperlink ns2:id="rId2">
        <ns0:r>
          <ns0:rPr>
            <ns0:rStyle ns0:val="Hyperlink"/>
          </ns0:rPr>
          <ns0:t>Python: módulo sqlite3</ns0:t>
        </ns0:r>
      </ns0:hyperlink>
      <ns0:r>
        <ns0:rPr/>
        <ns0:t xml:space="preserve"> · [2] </ns0:t>
      </ns0:r>
      <ns0:hyperlink ns2:id="rId3">
        <ns0:r>
          <ns0:rPr>
            <ns0:rStyle ns0:val="Hyperlink"/>
          </ns0:rPr>
          <ns0:t>SQLite: usos adecuados y límites</ns0:t>
        </ns0:r>
      </ns0:hyperlink>
      <ns0:r>
        <ns0:rPr/>
        <ns0:t xml:space="preserve"> · [3] </ns0:t>
      </ns0:r>
      <ns0:hyperlink ns2:id="rId4">
        <ns0:r>
          <ns0:rPr>
            <ns0:rStyle ns0:val="Hyperlink"/>
          </ns0:rPr>
          <ns0:t>SQLite: transacciones</ns0:t>
        </ns0:r>
      </ns0:hyperlink>
      <ns0:r>
        <ns0:rPr/>
        <ns0:t>.</ns0:t>
      </ns0:r>
    </ns0:p>
    <ns0:sectPr>
      <ns0:type ns0:val="nextPage"/>
      <ns0:pgSz ns0:w="11906" ns0:h="16838"/>
      <ns0:pgMar ns0:left="1134" ns0:right="1134" ns0:gutter="0" ns0:header="0" ns0:top="850" ns0:footer="0" ns0:bottom="850"/>
      <ns0:pgNumType ns0:fmt="decimal"/>
      <ns0:formProt ns0:val="false"/>
      <ns0:textDirection ns0:val="lrTb"/>
      <ns0:docGrid ns0:type="default" ns0:linePitch="600" ns0:charSpace="36864"/>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83"/>
    </w:pPr>
    <w:rPr>
      <w:rFonts w:ascii="Calibri;Arial;sans-serif" w:hAnsi="Calibri;Arial;sans-serif" w:eastAsia="Calibri;Arial;sans-serif" w:cs="Calibri;Arial;sans-serif"/>
      <w:color w:val="243247"/>
      <w:sz w:val="22"/>
      <w:szCs w:val="22"/>
      <w:lang w:val="en-US" w:eastAsia="zh-CN" w:bidi="hi-IN"/>
    </w:rPr>
  </w:style>
  <w:style w:type="paragraph" w:styleId="Heading1">
    <w:name w:val="heading 1"/>
    <w:basedOn w:val="Heading"/>
    <w:next w:val="BodyText"/>
    <w:qFormat/>
    <w:pPr>
      <w:spacing w:before="240" w:after="200"/>
    </w:pPr>
    <w:rPr>
      <w:b/>
      <w:bCs/>
      <w:color w:val="12365A"/>
      <w:sz w:val="50"/>
      <w:szCs w:val="50"/>
    </w:rPr>
  </w:style>
  <w:style w:type="paragraph" w:styleId="Heading2">
    <w:name w:val="heading 2"/>
    <w:basedOn w:val="Heading"/>
    <w:next w:val="BodyText"/>
    <w:qFormat/>
    <w:pPr>
      <w:spacing w:before="280" w:after="160"/>
      <w:outlineLvl w:val="1"/>
    </w:pPr>
    <w:rPr>
      <w:rFonts w:ascii="Liberation Serif" w:hAnsi="Liberation Serif" w:eastAsia="Noto Serif CJK SC" w:cs="Noto Sans Devanagari"/>
      <w:b/>
      <w:bCs/>
      <w:color w:val="12365A"/>
      <w:sz w:val="34"/>
      <w:szCs w:val="34"/>
    </w:rPr>
  </w:style>
  <w:style w:type="paragraph" w:styleId="Heading3">
    <w:name w:val="heading 3"/>
    <w:basedOn w:val="Heading"/>
    <w:next w:val="BodyText"/>
    <w:qFormat/>
    <w:pPr>
      <w:spacing w:before="140" w:after="100"/>
      <w:outlineLvl w:val="2"/>
    </w:pPr>
    <w:rPr>
      <w:rFonts w:ascii="Liberation Serif" w:hAnsi="Liberation Serif" w:eastAsia="Noto Serif CJK SC" w:cs="Noto Sans Devanagari"/>
      <w:b/>
      <w:bCs/>
      <w:color w:val="126A79"/>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26A79"/>
      <w:u w:val="single"/>
    </w:rPr>
  </w:style>
  <w:style w:type="character" w:styleId="Bullets">
    <w:name w:val="Bullets"/>
    <w:qFormat/>
    <w:rPr>
      <w:rFonts w:ascii="OpenSymbol" w:hAnsi="OpenSymbol" w:eastAsia="OpenSymbol" w:cs="OpenSymbol"/>
    </w:rPr>
  </w:style>
  <w:style w:type="character" w:styleId="FollowedHyperlink">
    <w:name w:val="FollowedHyperlink"/>
    <w:rPr>
      <w:color w:val="126A79"/>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start="120" w:end="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eyebrow">
    <w:name w:val="Body Text.eyebrow"/>
    <w:basedOn w:val="BodyText"/>
    <w:qFormat/>
    <w:pPr/>
    <w:rPr>
      <w:b/>
      <w:bCs/>
      <w:color w:val="126A79"/>
      <w:sz w:val="20"/>
      <w:szCs w:val="20"/>
    </w:rPr>
  </w:style>
  <w:style w:type="paragraph" w:styleId="BodyTextlead">
    <w:name w:val="Body Text.lead"/>
    <w:basedOn w:val="BodyText"/>
    <w:qFormat/>
    <w:pPr/>
    <w:rPr>
      <w:sz w:val="26"/>
      <w:szCs w:val="26"/>
    </w:rPr>
  </w:style>
  <w:style w:type="paragraph" w:styleId="TableHeading">
    <w:name w:val="Table Heading"/>
    <w:basedOn w:val="TableContents"/>
    <w:qFormat/>
    <w:pPr>
      <w:suppressLineNumbers/>
      <w:shd w:fill="12365A" w:val="clear"/>
      <w:jc w:val="start"/>
    </w:pPr>
    <w:rPr>
      <w:b/>
      <w:bCs/>
      <w:color w:val="FFFFFF"/>
    </w:rPr>
  </w:style>
  <w:style w:type="paragraph" w:styleId="BodyTextnote">
    <w:name w:val="Body Text.note"/>
    <w:basedOn w:val="BodyText"/>
    <w:qFormat/>
    <w:pPr>
      <w:pBdr/>
      <w:shd w:fill="EDF3F8" w:val="clear"/>
    </w:pPr>
    <w:rPr/>
  </w:style>
  <w:style w:type="paragraph" w:styleId="BodyTextsmall">
    <w:name w:val="Body Text.small"/>
    <w:basedOn w:val="BodyText"/>
    <w:qFormat/>
    <w:pPr/>
    <w:rPr>
      <w:color w:val="536477"/>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python.org/3/library/sqlite3.html" TargetMode="External"/><Relationship Id="rId3" Type="http://schemas.openxmlformats.org/officeDocument/2006/relationships/hyperlink" Target="https://www.sqlite.org/whentouse.html" TargetMode="External"/><Relationship Id="rId4" Type="http://schemas.openxmlformats.org/officeDocument/2006/relationships/hyperlink" Target="https://www.sqlite.org/lang_transaction.html"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Dataliza — Propuesta de edición multiusuario</dc:title>
</cp:coreProperties>
</file>

<file path=docProps/custom.xml><?xml version="1.0" encoding="utf-8"?>
<Properties xmlns="http://schemas.openxmlformats.org/officeDocument/2006/custom-properties" xmlns:vt="http://schemas.openxmlformats.org/officeDocument/2006/docPropsVTypes"/>
</file>