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FD1D" w14:textId="77777777" w:rsidR="00DA48F7" w:rsidRPr="00FE238A" w:rsidRDefault="00DA48F7" w:rsidP="00DA48F7">
      <w:pPr>
        <w:rPr>
          <w:b/>
          <w:bCs/>
        </w:rPr>
      </w:pPr>
      <w:r w:rsidRPr="00FE238A">
        <w:rPr>
          <w:b/>
          <w:bCs/>
        </w:rPr>
        <w:t>Conclusión de Resultados</w:t>
      </w:r>
    </w:p>
    <w:p w14:paraId="570434A0" w14:textId="77777777" w:rsidR="00DA48F7" w:rsidRPr="00FE238A" w:rsidRDefault="00DA48F7" w:rsidP="00DA48F7">
      <w:r w:rsidRPr="00FE238A">
        <w:t xml:space="preserve">El experimento realizado evidencia que ambos modelos de </w:t>
      </w:r>
      <w:proofErr w:type="spellStart"/>
      <w:r w:rsidRPr="00FE238A">
        <w:t>deep</w:t>
      </w:r>
      <w:proofErr w:type="spellEnd"/>
      <w:r w:rsidRPr="00FE238A">
        <w:t xml:space="preserve"> </w:t>
      </w:r>
      <w:proofErr w:type="spellStart"/>
      <w:r w:rsidRPr="00FE238A">
        <w:t>learning</w:t>
      </w:r>
      <w:proofErr w:type="spellEnd"/>
      <w:r w:rsidRPr="00FE238A">
        <w:t xml:space="preserve"> —LSTM y </w:t>
      </w:r>
      <w:proofErr w:type="spellStart"/>
      <w:r w:rsidRPr="00FE238A">
        <w:t>Transformer</w:t>
      </w:r>
      <w:proofErr w:type="spellEnd"/>
      <w:r w:rsidRPr="00FE238A">
        <w:t xml:space="preserve">— son capaces de capturar la evolución del deterioro crediticio (medido como proporción de deuda en </w:t>
      </w:r>
      <w:proofErr w:type="spellStart"/>
      <w:r w:rsidRPr="00FE238A">
        <w:t>Stage</w:t>
      </w:r>
      <w:proofErr w:type="spellEnd"/>
      <w:r w:rsidRPr="00FE238A">
        <w:t xml:space="preserve"> 2+3) en distintos segmentos del portafolio bancario.</w:t>
      </w:r>
    </w:p>
    <w:p w14:paraId="5763B7F7" w14:textId="77777777" w:rsidR="00DA48F7" w:rsidRPr="00CE3C8B" w:rsidRDefault="00DA48F7" w:rsidP="00DA48F7">
      <w:r w:rsidRPr="00CE3C8B">
        <w:t xml:space="preserve">El modelo </w:t>
      </w:r>
      <w:proofErr w:type="spellStart"/>
      <w:r w:rsidRPr="00CE3C8B">
        <w:t>Transformer</w:t>
      </w:r>
      <w:proofErr w:type="spellEnd"/>
      <w:r w:rsidRPr="00CE3C8B">
        <w:t xml:space="preserve"> presenta mejor desempeño general al mostrar errores absolutos y cuadrados más bajos.</w:t>
      </w:r>
    </w:p>
    <w:p w14:paraId="27955067" w14:textId="77777777" w:rsidR="00DA48F7" w:rsidRPr="00CE3C8B" w:rsidRDefault="00DA48F7" w:rsidP="00DA48F7">
      <w:r w:rsidRPr="00CE3C8B">
        <w:t xml:space="preserve">La diferencia es más notoria en segmentos con alta volatilidad (ej. préstamos comerciales en dólares), donde el mecanismo de atención del </w:t>
      </w:r>
      <w:proofErr w:type="spellStart"/>
      <w:r w:rsidRPr="00CE3C8B">
        <w:t>Transformer</w:t>
      </w:r>
      <w:proofErr w:type="spellEnd"/>
      <w:r w:rsidRPr="00CE3C8B">
        <w:t xml:space="preserve"> logra capturar mejor los cambios bruscos.</w:t>
      </w:r>
    </w:p>
    <w:p w14:paraId="263A58CF" w14:textId="77777777" w:rsidR="00DA48F7" w:rsidRPr="00BD6CC1" w:rsidRDefault="00DA48F7" w:rsidP="00DA48F7">
      <w:r w:rsidRPr="00BD6CC1">
        <w:t>En general, ambos modelos proyectan un deterioro creciente, especialmente en los segmentos comerciales y en moneda extranjera.</w:t>
      </w:r>
    </w:p>
    <w:p w14:paraId="276DCB6D" w14:textId="77777777" w:rsidR="00DA48F7" w:rsidRPr="00BD6CC1" w:rsidRDefault="00DA48F7" w:rsidP="00DA48F7">
      <w:r w:rsidRPr="00BD6CC1">
        <w:t xml:space="preserve">El </w:t>
      </w:r>
      <w:proofErr w:type="spellStart"/>
      <w:r w:rsidRPr="00BD6CC1">
        <w:t>Transformer</w:t>
      </w:r>
      <w:proofErr w:type="spellEnd"/>
      <w:r w:rsidRPr="00BD6CC1">
        <w:t xml:space="preserve"> anticipa movimientos más agresivos, alineándose mejor con contextos macroeconómicos adversos (alta inflación, devaluación, caída del consumo).</w:t>
      </w:r>
    </w:p>
    <w:p w14:paraId="3A21E05A" w14:textId="77777777" w:rsidR="00DA48F7" w:rsidRDefault="00DA48F7" w:rsidP="00DA48F7">
      <w:r w:rsidRPr="00BD6CC1">
        <w:t>El LSTM tiende a generar predicciones más conservadoras, lo cual puede ser útil para escenarios base o análisis más prudentes.</w:t>
      </w:r>
    </w:p>
    <w:p w14:paraId="40A8A8AC" w14:textId="77777777" w:rsidR="00DA48F7" w:rsidRPr="00BD6CC1" w:rsidRDefault="00DA48F7" w:rsidP="00DA48F7">
      <w:r w:rsidRPr="00B02688">
        <w:t>La inclusión de regresores exógenos —estacionalidad (</w:t>
      </w:r>
      <w:proofErr w:type="spellStart"/>
      <w:r w:rsidRPr="00B02688">
        <w:t>mes_sin</w:t>
      </w:r>
      <w:proofErr w:type="spellEnd"/>
      <w:r w:rsidRPr="00B02688">
        <w:t xml:space="preserve">, </w:t>
      </w:r>
      <w:proofErr w:type="spellStart"/>
      <w:r w:rsidRPr="00B02688">
        <w:t>mes_cos</w:t>
      </w:r>
      <w:proofErr w:type="spellEnd"/>
      <w:r w:rsidRPr="00B02688">
        <w:t>), inflación y RIPTE— permitió que las predicciones incorporaran la influencia del ciclo económico y del poder adquisitivo real sobre el deterioro, mejorando la capacidad de anticipación frente a cambios macroeconómicos.</w:t>
      </w:r>
    </w:p>
    <w:p w14:paraId="215BAF5E" w14:textId="77777777" w:rsidR="00DA48F7" w:rsidRPr="00CF06D5" w:rsidRDefault="00DA48F7" w:rsidP="00DA48F7">
      <w:r w:rsidRPr="00CF06D5">
        <w:t xml:space="preserve">Ambos modelos realizaron predicciones a 6 meses hacia adelante utilizando como input los últimos 12 meses de información histórica. El objetivo era anticipar la proporción de deuda en </w:t>
      </w:r>
      <w:proofErr w:type="spellStart"/>
      <w:r w:rsidRPr="00CF06D5">
        <w:t>Stage</w:t>
      </w:r>
      <w:proofErr w:type="spellEnd"/>
      <w:r w:rsidRPr="00CF06D5">
        <w:t xml:space="preserve"> 2+3, es decir, el deterioro crediticio futuro. A continuación, se desarrolla el análisis por bloque temático, considerando tendencias, sensibilidad y utilidad práctica.</w:t>
      </w:r>
    </w:p>
    <w:p w14:paraId="55637DAB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 xml:space="preserve"> 1. Comportamiento general del deterioro previsto</w:t>
      </w:r>
    </w:p>
    <w:p w14:paraId="64D8DEC3" w14:textId="77777777" w:rsidR="00DA48F7" w:rsidRPr="00FF149F" w:rsidRDefault="00DA48F7" w:rsidP="00DA48F7">
      <w:r w:rsidRPr="00FF149F">
        <w:t xml:space="preserve">El </w:t>
      </w:r>
      <w:proofErr w:type="spellStart"/>
      <w:r w:rsidRPr="00FF149F">
        <w:t>forecast</w:t>
      </w:r>
      <w:proofErr w:type="spellEnd"/>
      <w:r w:rsidRPr="00FF149F">
        <w:t xml:space="preserve"> muestra una tendencia mayoritaria al alza en los niveles de deterioro, especialmente en:</w:t>
      </w:r>
    </w:p>
    <w:p w14:paraId="6EE6D047" w14:textId="77777777" w:rsidR="00DA48F7" w:rsidRPr="00FF149F" w:rsidRDefault="00DA48F7" w:rsidP="00DA48F7">
      <w:pPr>
        <w:numPr>
          <w:ilvl w:val="0"/>
          <w:numId w:val="1"/>
        </w:numPr>
      </w:pPr>
      <w:r w:rsidRPr="00FF149F">
        <w:t>Segmentos comerciales, tanto en pesos como en dólares.</w:t>
      </w:r>
    </w:p>
    <w:p w14:paraId="27D13426" w14:textId="77777777" w:rsidR="00DA48F7" w:rsidRPr="00FF149F" w:rsidRDefault="00DA48F7" w:rsidP="00DA48F7">
      <w:pPr>
        <w:numPr>
          <w:ilvl w:val="0"/>
          <w:numId w:val="1"/>
        </w:numPr>
      </w:pPr>
      <w:r w:rsidRPr="00FF149F">
        <w:t>Segmentos en moneda extranjera, más sensibles a shocks externos.</w:t>
      </w:r>
    </w:p>
    <w:p w14:paraId="1FCA4F21" w14:textId="77777777" w:rsidR="00DA48F7" w:rsidRPr="00BD6CC1" w:rsidRDefault="00DA48F7" w:rsidP="00DA48F7">
      <w:r w:rsidRPr="00BD6CC1">
        <w:t>Este crecimiento proyectado puede interpretarse como una señal de alerta temprana sobre mayores niveles de riesgo crediticio en el corto plazo, algo fundamental para estrategias de mitigación, refinanciamiento o prevención.</w:t>
      </w:r>
    </w:p>
    <w:p w14:paraId="2F4A56BE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>2. Diferencias en las proyecciones entre modelos</w:t>
      </w:r>
    </w:p>
    <w:p w14:paraId="51EE81E0" w14:textId="77777777" w:rsidR="00DA48F7" w:rsidRPr="00CF06D5" w:rsidRDefault="00DA48F7" w:rsidP="00DA48F7">
      <w:r w:rsidRPr="00CF06D5">
        <w:rPr>
          <w:b/>
          <w:bCs/>
        </w:rPr>
        <w:t>LSTM</w:t>
      </w:r>
      <w:r w:rsidRPr="00CF06D5">
        <w:t>:</w:t>
      </w:r>
    </w:p>
    <w:p w14:paraId="45F959D2" w14:textId="77777777" w:rsidR="00DA48F7" w:rsidRPr="00FF149F" w:rsidRDefault="00DA48F7" w:rsidP="00DA48F7">
      <w:pPr>
        <w:numPr>
          <w:ilvl w:val="0"/>
          <w:numId w:val="2"/>
        </w:numPr>
      </w:pPr>
      <w:r w:rsidRPr="00FF149F">
        <w:t>Genera trayectorias más suaves y conservadoras, con crecimiento gradual.</w:t>
      </w:r>
    </w:p>
    <w:p w14:paraId="09F7B944" w14:textId="77777777" w:rsidR="00DA48F7" w:rsidRPr="00CF06D5" w:rsidRDefault="00DA48F7" w:rsidP="00DA48F7">
      <w:pPr>
        <w:numPr>
          <w:ilvl w:val="0"/>
          <w:numId w:val="2"/>
        </w:numPr>
      </w:pPr>
      <w:r w:rsidRPr="00CF06D5">
        <w:t xml:space="preserve">Es útil para </w:t>
      </w:r>
      <w:r w:rsidRPr="00FF149F">
        <w:t>proyecciones base</w:t>
      </w:r>
      <w:r w:rsidRPr="00CF06D5">
        <w:t xml:space="preserve"> y evita reaccionar de forma exagerada a pequeñas variaciones en la serie.</w:t>
      </w:r>
    </w:p>
    <w:p w14:paraId="7F8B0F5C" w14:textId="77777777" w:rsidR="00DA48F7" w:rsidRPr="00CF06D5" w:rsidRDefault="00DA48F7" w:rsidP="00DA48F7">
      <w:pPr>
        <w:numPr>
          <w:ilvl w:val="0"/>
          <w:numId w:val="2"/>
        </w:numPr>
      </w:pPr>
      <w:r w:rsidRPr="00CF06D5">
        <w:t>Puede resultar insuficiente cuando hay cambios bruscos en el entorno económico.</w:t>
      </w:r>
    </w:p>
    <w:p w14:paraId="14D93C54" w14:textId="77777777" w:rsidR="00DA48F7" w:rsidRPr="00CF06D5" w:rsidRDefault="00DA48F7" w:rsidP="00DA48F7">
      <w:proofErr w:type="spellStart"/>
      <w:r w:rsidRPr="00CF06D5">
        <w:rPr>
          <w:b/>
          <w:bCs/>
        </w:rPr>
        <w:t>Transformer</w:t>
      </w:r>
      <w:proofErr w:type="spellEnd"/>
      <w:r w:rsidRPr="00CF06D5">
        <w:t>:</w:t>
      </w:r>
    </w:p>
    <w:p w14:paraId="6CEC1863" w14:textId="77777777" w:rsidR="00DA48F7" w:rsidRPr="00FF149F" w:rsidRDefault="00DA48F7" w:rsidP="00DA48F7">
      <w:pPr>
        <w:numPr>
          <w:ilvl w:val="0"/>
          <w:numId w:val="3"/>
        </w:numPr>
      </w:pPr>
      <w:r w:rsidRPr="00FF149F">
        <w:t>Proyecta movimientos más agresivos y reactivos, alineados con aumentos recientes de inflación o con efectos de estacionalidad.</w:t>
      </w:r>
    </w:p>
    <w:p w14:paraId="38707ECF" w14:textId="77777777" w:rsidR="00DA48F7" w:rsidRPr="00FF149F" w:rsidRDefault="00DA48F7" w:rsidP="00DA48F7">
      <w:pPr>
        <w:numPr>
          <w:ilvl w:val="0"/>
          <w:numId w:val="3"/>
        </w:numPr>
      </w:pPr>
      <w:r w:rsidRPr="00FF149F">
        <w:lastRenderedPageBreak/>
        <w:t>Tiende a anticipar picos de deterioro, permitiendo preparar provisiones contables con mayor anticipación.</w:t>
      </w:r>
    </w:p>
    <w:p w14:paraId="4EBD93F4" w14:textId="77777777" w:rsidR="00DA48F7" w:rsidRPr="00FF149F" w:rsidRDefault="00DA48F7" w:rsidP="00DA48F7">
      <w:pPr>
        <w:numPr>
          <w:ilvl w:val="0"/>
          <w:numId w:val="3"/>
        </w:numPr>
      </w:pPr>
      <w:r w:rsidRPr="00FF149F">
        <w:t>Se adapta mejor en contextos de alta incertidumbre o transición económica.</w:t>
      </w:r>
    </w:p>
    <w:p w14:paraId="59E1DFCA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 xml:space="preserve">3. Segmentos más críticos según el </w:t>
      </w:r>
      <w:proofErr w:type="spellStart"/>
      <w:r w:rsidRPr="00CF06D5">
        <w:rPr>
          <w:b/>
          <w:bCs/>
        </w:rPr>
        <w:t>forecast</w:t>
      </w:r>
      <w:proofErr w:type="spellEnd"/>
    </w:p>
    <w:p w14:paraId="495334A7" w14:textId="77777777" w:rsidR="00DA48F7" w:rsidRPr="00CF06D5" w:rsidRDefault="00DA48F7" w:rsidP="00DA48F7">
      <w:pPr>
        <w:numPr>
          <w:ilvl w:val="0"/>
          <w:numId w:val="4"/>
        </w:numPr>
      </w:pPr>
      <w:r w:rsidRPr="00CF06D5">
        <w:rPr>
          <w:b/>
          <w:bCs/>
        </w:rPr>
        <w:t>Comercial en dólares</w:t>
      </w:r>
      <w:r w:rsidRPr="00CF06D5">
        <w:t xml:space="preserve">: </w:t>
      </w:r>
      <w:r w:rsidRPr="00FF149F">
        <w:t>ambos modelos muestran escaladas significativas en el deterioro, reflejo de empresas expuestas al riesgo cambiario, caída de actividad o encarecimiento de financiamiento.</w:t>
      </w:r>
    </w:p>
    <w:p w14:paraId="1817D691" w14:textId="77777777" w:rsidR="00DA48F7" w:rsidRPr="00CF06D5" w:rsidRDefault="00DA48F7" w:rsidP="00DA48F7">
      <w:pPr>
        <w:numPr>
          <w:ilvl w:val="0"/>
          <w:numId w:val="4"/>
        </w:numPr>
      </w:pPr>
      <w:r w:rsidRPr="00CF06D5">
        <w:rPr>
          <w:b/>
          <w:bCs/>
        </w:rPr>
        <w:t>Individuos en vivienda</w:t>
      </w:r>
      <w:r w:rsidRPr="00CF06D5">
        <w:t xml:space="preserve">: el </w:t>
      </w:r>
      <w:proofErr w:type="spellStart"/>
      <w:r w:rsidRPr="00CF06D5">
        <w:t>Transformer</w:t>
      </w:r>
      <w:proofErr w:type="spellEnd"/>
      <w:r w:rsidRPr="00CF06D5">
        <w:t xml:space="preserve"> anticipa una suba importante, posiblemente afectado por la </w:t>
      </w:r>
      <w:r w:rsidRPr="00432A48">
        <w:t>actualización de cuotas por inflación, ingresos reales deprimidos y contexto de tasas altas.</w:t>
      </w:r>
    </w:p>
    <w:p w14:paraId="658F41BB" w14:textId="77777777" w:rsidR="00DA48F7" w:rsidRPr="00CF06D5" w:rsidRDefault="00DA48F7" w:rsidP="00DA48F7">
      <w:pPr>
        <w:numPr>
          <w:ilvl w:val="0"/>
          <w:numId w:val="4"/>
        </w:numPr>
      </w:pPr>
      <w:r w:rsidRPr="00CF06D5">
        <w:rPr>
          <w:b/>
          <w:bCs/>
        </w:rPr>
        <w:t>Personales en pesos</w:t>
      </w:r>
      <w:r w:rsidRPr="00CF06D5">
        <w:t>: se observa un incremento más moderado pero constante, reflejando tensión en el segmento de consumo.</w:t>
      </w:r>
    </w:p>
    <w:p w14:paraId="43D98098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>4. Valor agregado de las proyecciones</w:t>
      </w:r>
    </w:p>
    <w:p w14:paraId="0A272302" w14:textId="77777777" w:rsidR="00DA48F7" w:rsidRPr="00930F99" w:rsidRDefault="00DA48F7" w:rsidP="00DA48F7">
      <w:r w:rsidRPr="00930F99">
        <w:t>Estas proyecciones no solo son descriptivas, sino que constituyen insumos claves para decisiones operativas y estratégicas:</w:t>
      </w:r>
    </w:p>
    <w:p w14:paraId="1A76CAC3" w14:textId="77777777" w:rsidR="00DA48F7" w:rsidRPr="00930F99" w:rsidRDefault="00DA48F7" w:rsidP="00DA48F7">
      <w:pPr>
        <w:numPr>
          <w:ilvl w:val="0"/>
          <w:numId w:val="5"/>
        </w:numPr>
      </w:pPr>
      <w:r w:rsidRPr="00930F99">
        <w:t>A nivel táctico, permiten anticipar necesidades de provisión (IFRS 9) por subsegmento.</w:t>
      </w:r>
    </w:p>
    <w:p w14:paraId="5A4D55CF" w14:textId="77777777" w:rsidR="00DA48F7" w:rsidRPr="00930F99" w:rsidRDefault="00DA48F7" w:rsidP="00DA48F7">
      <w:pPr>
        <w:numPr>
          <w:ilvl w:val="0"/>
          <w:numId w:val="5"/>
        </w:numPr>
      </w:pPr>
      <w:r w:rsidRPr="00930F99">
        <w:t xml:space="preserve">A nivel estratégico, ayudan a diseñar políticas de riesgo diferenciado, como límites de crédito, </w:t>
      </w:r>
      <w:proofErr w:type="spellStart"/>
      <w:r w:rsidRPr="00930F99">
        <w:t>scoring</w:t>
      </w:r>
      <w:proofErr w:type="spellEnd"/>
      <w:r w:rsidRPr="00930F99">
        <w:t xml:space="preserve">, </w:t>
      </w:r>
      <w:proofErr w:type="spellStart"/>
      <w:r w:rsidRPr="00930F99">
        <w:t>pricing</w:t>
      </w:r>
      <w:proofErr w:type="spellEnd"/>
      <w:r w:rsidRPr="00930F99">
        <w:t xml:space="preserve"> y campañas de recobro preventivo.</w:t>
      </w:r>
    </w:p>
    <w:p w14:paraId="63E1BE2A" w14:textId="77777777" w:rsidR="00DA48F7" w:rsidRPr="00930F99" w:rsidRDefault="00DA48F7" w:rsidP="00DA48F7">
      <w:pPr>
        <w:numPr>
          <w:ilvl w:val="0"/>
          <w:numId w:val="5"/>
        </w:numPr>
      </w:pPr>
      <w:r w:rsidRPr="00930F99">
        <w:t>En planeamiento financiero, pueden alimentar escenarios de stress y análisis de solvencia por tipo de cartera.</w:t>
      </w:r>
    </w:p>
    <w:p w14:paraId="5558C364" w14:textId="77777777" w:rsidR="00452A13" w:rsidRDefault="00452A13"/>
    <w:sectPr w:rsidR="0045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B0796"/>
    <w:multiLevelType w:val="multilevel"/>
    <w:tmpl w:val="5AF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E490E"/>
    <w:multiLevelType w:val="multilevel"/>
    <w:tmpl w:val="E19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C201C"/>
    <w:multiLevelType w:val="multilevel"/>
    <w:tmpl w:val="169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87671"/>
    <w:multiLevelType w:val="multilevel"/>
    <w:tmpl w:val="58D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82363"/>
    <w:multiLevelType w:val="multilevel"/>
    <w:tmpl w:val="6DE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966225">
    <w:abstractNumId w:val="2"/>
  </w:num>
  <w:num w:numId="2" w16cid:durableId="21786452">
    <w:abstractNumId w:val="0"/>
  </w:num>
  <w:num w:numId="3" w16cid:durableId="47071218">
    <w:abstractNumId w:val="1"/>
  </w:num>
  <w:num w:numId="4" w16cid:durableId="501164700">
    <w:abstractNumId w:val="4"/>
  </w:num>
  <w:num w:numId="5" w16cid:durableId="625427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F7"/>
    <w:rsid w:val="00312572"/>
    <w:rsid w:val="00452A13"/>
    <w:rsid w:val="00875422"/>
    <w:rsid w:val="008F0023"/>
    <w:rsid w:val="00DA48F7"/>
    <w:rsid w:val="00F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4001"/>
  <w15:chartTrackingRefBased/>
  <w15:docId w15:val="{19E44D37-8F4F-4583-8C30-E55812FB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8F7"/>
  </w:style>
  <w:style w:type="paragraph" w:styleId="Heading1">
    <w:name w:val="heading 1"/>
    <w:basedOn w:val="Normal"/>
    <w:next w:val="Normal"/>
    <w:link w:val="Heading1Char"/>
    <w:uiPriority w:val="9"/>
    <w:qFormat/>
    <w:rsid w:val="00DA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Tomeo</dc:creator>
  <cp:keywords/>
  <dc:description/>
  <cp:lastModifiedBy>Nicolas Tomeo</cp:lastModifiedBy>
  <cp:revision>1</cp:revision>
  <dcterms:created xsi:type="dcterms:W3CDTF">2025-08-11T03:05:00Z</dcterms:created>
  <dcterms:modified xsi:type="dcterms:W3CDTF">2025-08-11T03:05:00Z</dcterms:modified>
</cp:coreProperties>
</file>