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-313900</wp:posOffset>
                </wp:positionH>
                <wp:positionV relativeFrom="paragraph">
                  <wp:posOffset>38311</wp:posOffset>
                </wp:positionV>
                <wp:extent cx="6238875" cy="1562100"/>
                <wp:effectExtent b="0" l="0" r="0" t="0"/>
                <wp:wrapNone/>
                <wp:docPr id="54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226550" y="2998950"/>
                          <a:ext cx="6238875" cy="1562100"/>
                          <a:chOff x="2226550" y="2998950"/>
                          <a:chExt cx="6238900" cy="1562100"/>
                        </a:xfrm>
                      </wpg:grpSpPr>
                      <wpg:grpSp>
                        <wpg:cNvGrpSpPr/>
                        <wpg:grpSpPr>
                          <a:xfrm>
                            <a:off x="2226563" y="2998950"/>
                            <a:ext cx="6238875" cy="1562100"/>
                            <a:chOff x="0" y="0"/>
                            <a:chExt cx="5991225" cy="156210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5991225" cy="15621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" name="Shape 4"/>
                          <wps:spPr>
                            <a:xfrm>
                              <a:off x="1024671" y="299473"/>
                              <a:ext cx="4966554" cy="126262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ff0000"/>
                                    <w:sz w:val="48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1f3864"/>
                                    <w:sz w:val="48"/>
                                    <w:vertAlign w:val="baseline"/>
                                  </w:rPr>
                                  <w:t xml:space="preserve">Guía3. Informe final Proyecto APT 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1f3864"/>
                                    <w:sz w:val="48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1f3864"/>
                                    <w:sz w:val="48"/>
                                    <w:vertAlign w:val="baseline"/>
                                  </w:rPr>
                                  <w:t xml:space="preserve">Asignatura Capstone</w:t>
                                </w:r>
                              </w:p>
                            </w:txbxContent>
                          </wps:txbx>
                          <wps:bodyPr anchorCtr="0" anchor="t" bIns="45700" lIns="91425" spcFirstLastPara="1" rIns="91425" wrap="square" tIns="45700">
                            <a:noAutofit/>
                          </wps:bodyPr>
                        </wps:wsp>
                        <wps:wsp>
                          <wps:cNvSpPr/>
                          <wps:cNvPr id="5" name="Shape 5"/>
                          <wps:spPr>
                            <a:xfrm>
                              <a:off x="0" y="0"/>
                              <a:ext cx="993140" cy="1486894"/>
                            </a:xfrm>
                            <a:prstGeom prst="rect">
                              <a:avLst/>
                            </a:prstGeom>
                            <a:solidFill>
                              <a:srgbClr val="1F3864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-313900</wp:posOffset>
                </wp:positionH>
                <wp:positionV relativeFrom="paragraph">
                  <wp:posOffset>38311</wp:posOffset>
                </wp:positionV>
                <wp:extent cx="6238875" cy="1562100"/>
                <wp:effectExtent b="0" l="0" r="0" t="0"/>
                <wp:wrapNone/>
                <wp:docPr id="54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238875" cy="15621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Calibri" w:cs="Calibri" w:eastAsia="Calibri" w:hAnsi="Calibri"/>
          <w:b w:val="1"/>
          <w:bCs w:val="1"/>
          <w:color w:val="2f5496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Calibri" w:cs="Calibri" w:eastAsia="Calibri" w:hAnsi="Calibri"/>
          <w:b w:val="1"/>
          <w:bCs w:val="1"/>
          <w:color w:val="2f5496"/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781.0" w:type="dxa"/>
        <w:jc w:val="left"/>
        <w:tblInd w:w="-572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9781"/>
        <w:tblGridChange w:id="0">
          <w:tblGrid>
            <w:gridCol w:w="9781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8">
            <w:pPr>
              <w:rPr>
                <w:b w:val="1"/>
                <w:bCs w:val="1"/>
                <w:color w:val="1f3864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3864"/>
                <w:sz w:val="28"/>
                <w:szCs w:val="28"/>
                <w:rtl w:val="0"/>
              </w:rPr>
              <w:t xml:space="preserve">1. Informe final Proyecto APT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El objetivo de este informe es que describas los aspectos más relevantes de tu Proyecto APT. Es importante que fundamentes las decisiones que tuviste que tomar a lo largo del proceso. </w:t>
            </w:r>
          </w:p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 continuación, encontrarás distintos campos que deberás completar con la información solicitada, los que dan cuenta del resumen de tu proyecto APT y sus principales resultados.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781.0" w:type="dxa"/>
        <w:jc w:val="left"/>
        <w:tblInd w:w="-572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3159"/>
        <w:gridCol w:w="6622"/>
        <w:tblGridChange w:id="0">
          <w:tblGrid>
            <w:gridCol w:w="3159"/>
            <w:gridCol w:w="6622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E">
            <w:pPr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Nombre del proyecto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F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  <w:t xml:space="preserve">Kyo Vantage — Plataforma de Gestión Financiera Inteligente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18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0">
            <w:pPr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Área (s) de desempeño(s)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1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  <w:t xml:space="preserve">Ingeniería de software; desarrollo de aplicaciones web SPA/PWA; arquitectura de software y bases de datos; integración de servicios; aseguramiento de calidad (QA); gestión ágil de proyectos. Denominaciones referenciales: validar contra el plan de estudios oficial.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2">
            <w:pPr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Competencias </w:t>
            </w:r>
          </w:p>
          <w:p w:rsidR="00000000" w:rsidDel="00000000" w:rsidP="00000000" w:rsidRDefault="00000000" w:rsidRPr="00000000" w14:paraId="00000013">
            <w:pPr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4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  <w:t xml:space="preserve">Levantamiento y especificación de requerimientos; modelamiento y diseño de soluciones; programación frontend y conexión a servicios; diseño y gestión de datos; pruebas funcionales y de integración; documentación técnica; gestión Scrum y colaboración multidisciplinaria. Validar los nombres formales de competencias con la malla de la carrera.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781.0" w:type="dxa"/>
        <w:jc w:val="left"/>
        <w:tblInd w:w="-572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3001"/>
        <w:gridCol w:w="6780"/>
        <w:tblGridChange w:id="0">
          <w:tblGrid>
            <w:gridCol w:w="3001"/>
            <w:gridCol w:w="6780"/>
          </w:tblGrid>
        </w:tblGridChange>
      </w:tblGrid>
      <w:tr>
        <w:trPr>
          <w:cantSplit w:val="0"/>
          <w:trHeight w:val="388" w:hRule="atLeast"/>
          <w:tblHeader w:val="0"/>
        </w:trPr>
        <w:tc>
          <w:tcPr>
            <w:gridSpan w:val="2"/>
            <w:shd w:fill="d9d9d9" w:val="clear"/>
            <w:vAlign w:val="center"/>
          </w:tcPr>
          <w:p w:rsidR="00000000" w:rsidDel="00000000" w:rsidP="00000000" w:rsidRDefault="00000000" w:rsidRPr="00000000" w14:paraId="00000016">
            <w:pPr>
              <w:rPr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3864"/>
                <w:sz w:val="18"/>
                <w:szCs w:val="18"/>
                <w:rtl w:val="0"/>
              </w:rPr>
              <w:t xml:space="preserve">Contenidos del informe final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6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8">
            <w:pPr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1. Relevancia del proyecto APT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9">
            <w:pPr>
              <w:jc w:val="both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  <w:t xml:space="preserve">Kyo Vantage aborda la dificultad de los adultos jóvenes en Chile para conocer su disponibilidad financiera real, especialmente cuando utilizan distintas cuentas, tarjetas y compromisos de pago. El problema se manifiesta en información fragmentada, presupuestos difíciles de mantener y escasa anticipación de cobros futuros. La propuesta reúne billetera, tarjetas, presupuestos, metas y agenda en una PWA. Su aporte es ofrecer una visión centralizada del dinero disponible y de las obligaciones próximas, apoyando decisiones financieras cotidianas. El proyecto resulta pertinente a la ingeniería informática por requerir análisis de necesidades, arquitectura, seguridad, experiencia de usuario, integración y pruebas. La solución está orientada principalmente a adultos jóvenes; los indicadores de contexto utilizados en la presentación requieren mantener sus fuentes originales.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38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A">
            <w:pPr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2. Objetivos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B">
            <w:pPr>
              <w:jc w:val="both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  <w:t xml:space="preserve">Objetivo general: desarrollar una plataforma web progresiva que unifique la gestión financiera personal y permita visualizar compromisos futuros y disponibilidad real de fondos.</w:t>
              <w:br w:type="textWrapping"/>
              <w:t xml:space="preserve">Objetivos específicos: (1) separar entornos y fortalecer la estructura de datos; (2) unificar Billetera, Tarjetas y Planificación en una SPA segura; (3) implementar Agenda Financiera y Dashboard integrados; (4) incorporar soporte PWA y notificaciones Web Push; (5) verificar funcionalidad, documentar impedimentos y validar incrementos con el Product Owner; (6) preparar las siguientes etapas de inteligencia financiera, optimización y despliegue.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C">
            <w:pPr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3. Metodología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D">
            <w:pPr>
              <w:jc w:val="both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  <w:t xml:space="preserve">Se aplicó Scrum, organizado en Product Backlog, Sprint Planning, reuniones de sincronización Interday, seguimiento mediante Sprint Backlog y Burndown Chart, Sprint Review y retrospectiva. Nicolás Vargas ejerció funciones de Product Owner y desarrollo; Bruno Seguel, Scrum Master, QA y documentación; Ángel Gómez, desarrollo e integración. La metodología permitió entregar incrementos verificables y adaptar el alcance, como ocurrió con la incorporación de la vista administrativa. El trabajo se estructuró en Sprint 0 (infraestructura y base de datos), Sprint 1 (Core SPA), Sprint 2 (Agenda, Dashboard y Web Push) y etapas siguientes de IA, optimización y despliegue. Se eligió Scrum por la necesidad de coordinación técnica, validación periódica y control de impedimentos.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1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E">
            <w:pPr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4. Desarrollo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F">
            <w:pPr>
              <w:jc w:val="both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  <w:t xml:space="preserve">Etapas desarrolladas y resultados documentados:</w:t>
              <w:br w:type="textWrapping"/>
              <w:t xml:space="preserve">• Sprint 0: separación de entornos de Staging y Producción, configuración de infraestructura y reestructuración de base de datos.</w:t>
              <w:br w:type="textWrapping"/>
              <w:t xml:space="preserve">• Sprint 1: migración a React 19 y Vite; Root Guard de sesión; unificación de Billetera, Tarjetas y Planificación; validación E2E del Core SPA. Se resolvió IMP-01, un problema de enrutamiento.</w:t>
              <w:br w:type="textWrapping"/>
              <w:t xml:space="preserve">• Sprint 2: 14 tareas (SP2-01 a SP2-14), 100 horas planificadas en 21 días; desarrollo de Agenda Financiera, Dashboard, soporte PWA/Web Push, optimizaciones y vista administrativa. Se resolvió IMP2-01 de /agenda. El equipo confirmó la aprobación del incremento por el Product Owner.</w:t>
              <w:br w:type="textWrapping"/>
              <w:t xml:space="preserve">Facilitadores: trabajo coordinado, revisiones frecuentes y entornos separados. Dificultades: fallos de enrutamiento e incorporación de nuevo alcance. Ajustes: correcciones técnicas, actualización de Carta Gantt y backlog, y mejoras propuestas para notificaciones y rendimiento. Los Sprints 3 y 4 están contemplados en la planificación, sin evidencia aquí de su cierre.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1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0">
            <w:pPr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5. Evidencias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1">
            <w:pPr>
              <w:jc w:val="both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  <w:t xml:space="preserve">Evidencias a adjuntar o enlazar en GitHub (Fase 2 / Evidencias Proyecto):</w:t>
              <w:br w:type="textWrapping"/>
              <w:t xml:space="preserve">• Product Backlog, historias de usuario, requerimientos, arquitectura y modelo de datos.</w:t>
              <w:br w:type="textWrapping"/>
              <w:t xml:space="preserve">• Sprint Backlog, Kanban Board, Burndown Chart, Interday Sync Meetings y Log de Impedimentos de cada Sprint aplicable.</w:t>
              <w:br w:type="textWrapping"/>
              <w:t xml:space="preserve">• Actas de Sprint Review, retrospectivas y conformidad del Product Owner (firmadas cuando corresponda).</w:t>
              <w:br w:type="textWrapping"/>
              <w:t xml:space="preserve">• Carta Gantt actualizada, plan de pruebas, resultados QA y capturas de módulos en Staging.</w:t>
              <w:br w:type="textWrapping"/>
              <w:t xml:space="preserve">• Código de la aplicación y esquema/migraciones de base de datos, junto con demostración del incremento en hosting público.</w:t>
              <w:br w:type="textWrapping"/>
              <w:t xml:space="preserve">Estas son referencias de evidencia; antes de entregar debe comprobarse que cada archivo exista y que las firmas y enlaces estén incorporados. No se adjuntan pruebas dentro de esta guía.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4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2">
            <w:pPr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6. Intereses y proyecciones profesionales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3">
            <w:pPr>
              <w:jc w:val="both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  <w:t xml:space="preserve">El proyecto permitió fortalecer competencias de desarrollo web, arquitectura, integración, pruebas y gestión ágil. La experiencia evidenció que la calidad del software depende tanto de la implementación técnica como del seguimiento, la documentación y la validación con usuarios responsables. Desde QA y Scrum se profundizó en la trazabilidad de tareas, la resolución de impedimentos y la preparación de entregables; desde desarrolló, en la integración de módulos y en decisiones de arquitectura. Como proyección profesional, el equipo puede continuar profundizando en ingeniería de software, QA, documentación técnica, desarrollo full stack e inteligencia artificial aplicada a finanzas.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line="276" w:lineRule="auto"/>
        <w:ind w:left="-426" w:right="-568" w:firstLine="0"/>
        <w:jc w:val="both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line="276" w:lineRule="auto"/>
        <w:ind w:left="-426" w:right="-568" w:firstLine="0"/>
        <w:jc w:val="both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sectPr>
      <w:headerReference r:id="rId8" w:type="default"/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Century Gothic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8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  <w:tbl>
    <w:tblPr>
      <w:tblStyle w:val="Table4"/>
      <w:tblW w:w="9923.0" w:type="dxa"/>
      <w:jc w:val="left"/>
      <w:tblInd w:w="-709.0" w:type="dxa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707"/>
      <w:gridCol w:w="4216"/>
      <w:tblGridChange w:id="0">
        <w:tblGrid>
          <w:gridCol w:w="5707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29">
          <w:pPr>
            <w:spacing w:after="0" w:lineRule="auto"/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Guía Estudiante – Informe Final Proyecto APT </w:t>
          </w:r>
        </w:p>
        <w:p w:rsidR="00000000" w:rsidDel="00000000" w:rsidP="00000000" w:rsidRDefault="00000000" w:rsidRPr="00000000" w14:paraId="0000002A">
          <w:pPr>
            <w:spacing w:after="0" w:lineRule="auto"/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2</w:t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2B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55" name="image1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2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f3863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character" w:styleId="Ttulo3Car" w:customStyle="1">
    <w:name w:val="Título 3 Car"/>
    <w:basedOn w:val="Fuentedeprrafopredeter"/>
    <w:link w:val="Ttulo3"/>
    <w:uiPriority w:val="9"/>
    <w:rsid w:val="001202BF"/>
    <w:rPr>
      <w:rFonts w:asciiTheme="majorHAnsi" w:cstheme="majorBidi" w:eastAsiaTheme="majorEastAsia" w:hAnsiTheme="majorHAnsi"/>
      <w:color w:val="1f3763" w:themeColor="accent1" w:themeShade="00007F"/>
    </w:rPr>
  </w:style>
  <w:style w:type="table" w:styleId="Tablaconcuadrcula">
    <w:name w:val="Table Grid"/>
    <w:basedOn w:val="Tablanormal"/>
    <w:uiPriority w:val="39"/>
    <w:rsid w:val="001202BF"/>
    <w:rPr>
      <w:sz w:val="22"/>
      <w:szCs w:val="22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Piedepgina">
    <w:name w:val="footer"/>
    <w:basedOn w:val="Normal"/>
    <w:link w:val="PiedepginaCar"/>
    <w:uiPriority w:val="99"/>
    <w:unhideWhenUsed w:val="1"/>
    <w:rsid w:val="001202BF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1202BF"/>
    <w:rPr>
      <w:sz w:val="22"/>
      <w:szCs w:val="22"/>
    </w:rPr>
  </w:style>
  <w:style w:type="paragraph" w:styleId="Prrafodelista">
    <w:name w:val="List Paragraph"/>
    <w:basedOn w:val="Normal"/>
    <w:link w:val="PrrafodelistaCar"/>
    <w:uiPriority w:val="34"/>
    <w:qFormat w:val="1"/>
    <w:rsid w:val="001202BF"/>
    <w:pPr>
      <w:ind w:left="720"/>
      <w:contextualSpacing w:val="1"/>
    </w:pPr>
  </w:style>
  <w:style w:type="character" w:styleId="PrrafodelistaCar" w:customStyle="1">
    <w:name w:val="Párrafo de lista Car"/>
    <w:link w:val="Prrafodelista"/>
    <w:uiPriority w:val="34"/>
    <w:rsid w:val="001202BF"/>
    <w:rPr>
      <w:sz w:val="22"/>
      <w:szCs w:val="22"/>
    </w:rPr>
  </w:style>
  <w:style w:type="paragraph" w:styleId="Encabezado">
    <w:name w:val="header"/>
    <w:basedOn w:val="Normal"/>
    <w:link w:val="EncabezadoCar"/>
    <w:uiPriority w:val="99"/>
    <w:unhideWhenUsed w:val="1"/>
    <w:rsid w:val="00EE1135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EE1135"/>
    <w:rPr>
      <w:sz w:val="22"/>
      <w:szCs w:val="22"/>
    </w:rPr>
  </w:style>
  <w:style w:type="table" w:styleId="Tablaconcuadrcula1" w:customStyle="1">
    <w:name w:val="Tabla con cuadrícula1"/>
    <w:basedOn w:val="Tablanormal"/>
    <w:next w:val="Tablaconcuadrcula"/>
    <w:uiPriority w:val="39"/>
    <w:rsid w:val="005B0610"/>
    <w:rPr>
      <w:sz w:val="22"/>
      <w:szCs w:val="22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6B7645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 w:val="1"/>
    <w:unhideWhenUsed w:val="1"/>
    <w:rsid w:val="006B7645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semiHidden w:val="1"/>
    <w:rsid w:val="006B7645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6B7645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6B7645"/>
    <w:rPr>
      <w:b w:val="1"/>
      <w:bCs w:val="1"/>
      <w:sz w:val="20"/>
      <w:szCs w:val="20"/>
    </w:r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6B7645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6B7645"/>
    <w:rPr>
      <w:rFonts w:ascii="Segoe UI" w:cs="Segoe UI" w:hAnsi="Segoe UI"/>
      <w:sz w:val="18"/>
      <w:szCs w:val="18"/>
    </w:rPr>
  </w:style>
  <w:style w:type="paragraph" w:styleId="paragraph" w:customStyle="1">
    <w:name w:val="paragraph"/>
    <w:basedOn w:val="Normal"/>
    <w:rsid w:val="00B4008E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normaltextrun" w:customStyle="1">
    <w:name w:val="normaltextrun"/>
    <w:basedOn w:val="Fuentedeprrafopredeter"/>
    <w:rsid w:val="00B4008E"/>
  </w:style>
  <w:style w:type="character" w:styleId="eop" w:customStyle="1">
    <w:name w:val="eop"/>
    <w:basedOn w:val="Fuentedeprrafopredeter"/>
    <w:rsid w:val="00B4008E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enturyGothic-regular.ttf"/><Relationship Id="rId2" Type="http://schemas.openxmlformats.org/officeDocument/2006/relationships/font" Target="fonts/CenturyGothic-bold.ttf"/><Relationship Id="rId3" Type="http://schemas.openxmlformats.org/officeDocument/2006/relationships/font" Target="fonts/CenturyGothic-italic.ttf"/><Relationship Id="rId4" Type="http://schemas.openxmlformats.org/officeDocument/2006/relationships/font" Target="fonts/CenturyGothic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ell7BvAQSK0VOuygarP9peCLcJA==">CgMxLjA4AHIhMU9PM2ZVYVdFdW9WNmZxUUF2Yi00ZEZWUUxDQXVqclFV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2022-08-24T18:22:00Z</dcterms:created>
  <dc:creator>Cecilia Godoy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0x010100E96778489EE7714D8BD12CC105EB918B</vt:lpwstr>
  </property>
  <property fmtid="{D5CDD505-2E9C-101B-9397-08002B2CF9AE}" pid="3" name="MediaServiceImageTags">
    <vt:lpwstr/>
  </property>
</Properties>
</file>