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id65xivxcee" w:id="0"/>
      <w:bookmarkEnd w:id="0"/>
      <w:r w:rsidDel="00000000" w:rsidR="00000000" w:rsidRPr="00000000">
        <w:rPr>
          <w:rtl w:val="0"/>
        </w:rPr>
        <w:t xml:space="preserve">Log de Impedimentos </w:t>
        <w:br w:type="textWrapping"/>
        <w:t xml:space="preserve">(Sprint 0)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qr5rz6z3e0lb" w:id="1"/>
      <w:bookmarkEnd w:id="1"/>
      <w:r w:rsidDel="00000000" w:rsidR="00000000" w:rsidRPr="00000000">
        <w:rPr>
          <w:rtl w:val="0"/>
        </w:rPr>
        <w:t xml:space="preserve">Control de Incidencias y Bloqueos</w:t>
      </w:r>
    </w:p>
    <w:p w:rsidR="00000000" w:rsidDel="00000000" w:rsidP="00000000" w:rsidRDefault="00000000" w:rsidRPr="00000000" w14:paraId="00000004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Este documento registra formalmente cualquier obstáculo técnico o de gestión que haya detenido o ralentizado el flujo de trabajo del equipo durante la ejecución del Sprint 0, garantizando trazabilidad y resolución sistemática.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32jauceftrpw" w:id="2"/>
      <w:bookmarkEnd w:id="2"/>
      <w:r w:rsidDel="00000000" w:rsidR="00000000" w:rsidRPr="00000000">
        <w:rPr>
          <w:rtl w:val="0"/>
        </w:rPr>
        <w:t xml:space="preserve">Matriz de Impedimentos 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4.2519685039372"/>
        <w:gridCol w:w="7044.748031496063"/>
        <w:tblGridChange w:id="0">
          <w:tblGrid>
            <w:gridCol w:w="1984.2519685039372"/>
            <w:gridCol w:w="7044.74803149606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Código: IMP0-01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 Detección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Semana 4 (Día 7 de ejecución)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de Impedimento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Técnico / Arquitectura de Datos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Severidad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Impacto en el Sprint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Detención temporal de las pruebas de integración en el entorno de Staging debido a discrepancias entre las estructuras de datos preexistentes y las nuevas definiciones relacionales en PostgreSQL (</w:t>
            </w:r>
            <w:r w:rsidDel="00000000" w:rsidR="00000000" w:rsidRPr="00000000">
              <w:rPr>
                <w:rtl w:val="0"/>
              </w:rPr>
              <w:t xml:space="preserve">Supabase</w:t>
            </w:r>
            <w:r w:rsidDel="00000000" w:rsidR="00000000" w:rsidRPr="00000000">
              <w:rPr>
                <w:rtl w:val="0"/>
              </w:rPr>
              <w:t xml:space="preserve">).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 detallada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Durante la ejecución de las sentencias DDL en el SQL Editor de Supabase, se generó un fallo de compatibilidad en la aplicación cliente al no coincidir los tipos de identificador y existir dependencias circulares no resueltas en tablas de transacciones y billeteras. Esto provocó errores 500 y caídas en las vistas de prueba desplegadas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staging-app.kyovantage.cl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Responsable de Gestión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Nicolás Vargas y Bruno Seguel</w:t>
            </w:r>
            <w:r w:rsidDel="00000000" w:rsidR="00000000" w:rsidRPr="00000000">
              <w:rPr>
                <w:rtl w:val="0"/>
              </w:rPr>
              <w:t xml:space="preserve"> (reestructuración del DDL, normalización y aplicación de claves foráneas).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Acción de Mitigación / Resolución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1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aisló el fallo exclusivamente en la instancia Sandbox de Staging, protegiendo la integridad del entorno de Producción.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reescribió el script DDL asegurando la secuencia correcta de creación (</w:t>
            </w:r>
            <w:r w:rsidDel="00000000" w:rsidR="00000000" w:rsidRPr="00000000">
              <w:rPr>
                <w:color w:val="188038"/>
                <w:rtl w:val="0"/>
              </w:rPr>
              <w:t xml:space="preserve">DROP TABLE IF EXISTS</w:t>
            </w:r>
            <w:r w:rsidDel="00000000" w:rsidR="00000000" w:rsidRPr="00000000">
              <w:rPr>
                <w:rtl w:val="0"/>
              </w:rPr>
              <w:t xml:space="preserve"> en orden inverso de claves foráneas).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1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unificó el uso de identificadores universales (</w:t>
            </w:r>
            <w:r w:rsidDel="00000000" w:rsidR="00000000" w:rsidRPr="00000000">
              <w:rPr>
                <w:color w:val="18803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  <w:t xml:space="preserve">) mediante la extensión </w:t>
            </w:r>
            <w:r w:rsidDel="00000000" w:rsidR="00000000" w:rsidRPr="00000000">
              <w:rPr>
                <w:color w:val="188038"/>
                <w:rtl w:val="0"/>
              </w:rPr>
              <w:t xml:space="preserve">pgcrypto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color w:val="188038"/>
                <w:rtl w:val="0"/>
              </w:rPr>
              <w:t xml:space="preserve">uuid-ossp</w:t>
            </w:r>
            <w:r w:rsidDel="00000000" w:rsidR="00000000" w:rsidRPr="00000000">
              <w:rPr>
                <w:rtl w:val="0"/>
              </w:rPr>
              <w:t xml:space="preserve"> de PostgreSQL.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1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incorporó una política de generación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seed data</w:t>
            </w:r>
            <w:r w:rsidDel="00000000" w:rsidR="00000000" w:rsidRPr="00000000">
              <w:rPr>
                <w:rtl w:val="0"/>
              </w:rPr>
              <w:t xml:space="preserve"> controlada para pruebas futuras, acuerdo formalizado en la Retrospectiva del Sprint.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 Cierre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Semana 4 (Día 9 de ejecución).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Cerrado / Resuelto.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