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Kyo vantage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Kyo vantage — Plataforma y PWA de Gestión Financiera Inteligente</w:t>
            </w:r>
          </w:p>
        </w:tc>
      </w:tr>
    </w:tbl>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Sala de reunión de capstone / Sala de reunión virtual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Semana 7 de ejecución (Cierre Sprint 1), Semanas 5-7</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4">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Sprint 1 — Unificación de Módulos &amp;amp; Navegación SPA</w:t>
            </w:r>
          </w:p>
        </w:tc>
      </w:tr>
      <w:tr>
        <w:trPr>
          <w:cantSplit w:val="0"/>
          <w:tblHeader w:val="0"/>
        </w:trPr>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6">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Ángel Gómez (Dev Team - IA), Bruno Seguel</w:t>
            </w:r>
          </w:p>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Master &amp;amp; Dev Team - QA /</w:t>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Nicolás Vargas (Dev Team -</w:t>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Arquitectura / Fullstack)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Ángel Gómez (Dev Team - IA), Bruno Seguel</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Master &amp;amp; Dev Team - QA /</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Documentación), Nicolás Vargas (Dev Team -</w:t>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Arquitectura / Fullstack)</w:t>
            </w:r>
            <w:r w:rsidDel="00000000" w:rsidR="00000000" w:rsidRPr="00000000">
              <w:rPr>
                <w:rtl w:val="0"/>
              </w:rPr>
            </w:r>
          </w:p>
        </w:tc>
      </w:tr>
    </w:tbl>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numPr>
                <w:ilvl w:val="0"/>
                <w:numId w:val="1"/>
              </w:numPr>
              <w:spacing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Migración y </w:t>
            </w:r>
            <w:r w:rsidDel="00000000" w:rsidR="00000000" w:rsidRPr="00000000">
              <w:rPr>
                <w:rFonts w:ascii="Arial" w:cs="Arial" w:eastAsia="Arial" w:hAnsi="Arial"/>
                <w:sz w:val="24"/>
                <w:szCs w:val="24"/>
                <w:rtl w:val="0"/>
              </w:rPr>
              <w:t xml:space="preserve">estructuración</w:t>
            </w:r>
            <w:r w:rsidDel="00000000" w:rsidR="00000000" w:rsidRPr="00000000">
              <w:rPr>
                <w:rFonts w:ascii="Arial" w:cs="Arial" w:eastAsia="Arial" w:hAnsi="Arial"/>
                <w:sz w:val="24"/>
                <w:szCs w:val="24"/>
                <w:rtl w:val="0"/>
              </w:rPr>
              <w:t xml:space="preserve"> exitosa de la arquitectura base a React 19 </w:t>
            </w:r>
            <w:r w:rsidDel="00000000" w:rsidR="00000000" w:rsidRPr="00000000">
              <w:rPr>
                <w:rFonts w:ascii="Arial" w:cs="Arial" w:eastAsia="Arial" w:hAnsi="Arial"/>
                <w:sz w:val="24"/>
                <w:szCs w:val="24"/>
                <w:rtl w:val="0"/>
              </w:rPr>
              <w:t xml:space="preserve">con Vite</w:t>
            </w:r>
            <w:r w:rsidDel="00000000" w:rsidR="00000000" w:rsidRPr="00000000">
              <w:rPr>
                <w:rFonts w:ascii="Arial" w:cs="Arial" w:eastAsia="Arial" w:hAnsi="Arial"/>
                <w:sz w:val="24"/>
                <w:szCs w:val="24"/>
                <w:rtl w:val="0"/>
              </w:rPr>
              <w:t xml:space="preserve"> (App Shell), logrando una navegación fluida tipo SPA sin recargas de página.</w:t>
            </w:r>
          </w:p>
          <w:p w:rsidR="00000000" w:rsidDel="00000000" w:rsidP="00000000" w:rsidRDefault="00000000" w:rsidRPr="00000000" w14:paraId="0000002E">
            <w:pPr>
              <w:numPr>
                <w:ilvl w:val="0"/>
                <w:numId w:val="1"/>
              </w:numPr>
              <w:spacing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Consolidación funcional de los módulos principales: Billetera y Tarjetas de Crédito unificados, junto con el módulo de Planificación (Presupuestos por categoría y Metas de ahorro con barra de progreso).</w:t>
            </w:r>
          </w:p>
          <w:p w:rsidR="00000000" w:rsidDel="00000000" w:rsidP="00000000" w:rsidRDefault="00000000" w:rsidRPr="00000000" w14:paraId="0000002F">
            <w:pPr>
              <w:numPr>
                <w:ilvl w:val="0"/>
                <w:numId w:val="1"/>
              </w:numPr>
              <w:spacing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Cumplimiento oportuno del Hito 2 (Core Funcional Unificado en SPA) dentro del cronograma previsto.</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7">
            <w:pPr>
              <w:numPr>
                <w:ilvl w:val="0"/>
                <w:numId w:val="4"/>
              </w:numPr>
              <w:spacing w:after="0" w:before="200"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Fallo a la hora de aplicar la refactorización de la unificación de la billetera y las tarjetas, se generó un bucle infinito a la hora de cargarlos y fallo en la carga de la navegación.</w:t>
            </w:r>
          </w:p>
        </w:tc>
        <w:tc>
          <w:tcPr>
            <w:vAlign w:val="top"/>
          </w:tcPr>
          <w:p w:rsidR="00000000" w:rsidDel="00000000" w:rsidP="00000000" w:rsidRDefault="00000000" w:rsidRPr="00000000" w14:paraId="00000038">
            <w:pPr>
              <w:numPr>
                <w:ilvl w:val="0"/>
                <w:numId w:val="2"/>
              </w:numPr>
              <w:spacing w:lin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Añadir la vista de administrador al proyecto, en el desarrollo de staging.</w:t>
            </w:r>
            <w:r w:rsidDel="00000000" w:rsidR="00000000" w:rsidRPr="00000000">
              <w:rPr>
                <w:rtl w:val="0"/>
              </w:rPr>
            </w:r>
          </w:p>
          <w:p w:rsidR="00000000" w:rsidDel="00000000" w:rsidP="00000000" w:rsidRDefault="00000000" w:rsidRPr="00000000" w14:paraId="00000039">
            <w:pPr>
              <w:spacing w:line="240" w:lineRule="auto"/>
              <w:ind w:left="0" w:firstLine="0"/>
              <w:rPr>
                <w:rFonts w:ascii="Arial" w:cs="Arial" w:eastAsia="Arial" w:hAnsi="Arial"/>
                <w:sz w:val="24"/>
                <w:szCs w:val="24"/>
                <w:highlight w:val="yellow"/>
              </w:rPr>
            </w:pPr>
            <w:r w:rsidDel="00000000" w:rsidR="00000000" w:rsidRPr="00000000">
              <w:rPr>
                <w:rtl w:val="0"/>
              </w:rPr>
            </w:r>
          </w:p>
          <w:p w:rsidR="00000000" w:rsidDel="00000000" w:rsidP="00000000" w:rsidRDefault="00000000" w:rsidRPr="00000000" w14:paraId="0000003A">
            <w:pPr>
              <w:spacing w:after="200" w:line="240" w:lineRule="auto"/>
              <w:ind w:left="720" w:firstLine="0"/>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D">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r w:rsidDel="00000000" w:rsidR="00000000" w:rsidRPr="00000000">
        <w:rPr>
          <w:rtl w:val="0"/>
        </w:rPr>
      </w:r>
    </w:p>
    <w:p w:rsidR="00000000" w:rsidDel="00000000" w:rsidP="00000000" w:rsidRDefault="00000000" w:rsidRPr="00000000" w14:paraId="0000003E">
      <w:pPr>
        <w:numPr>
          <w:ilvl w:val="0"/>
          <w:numId w:val="3"/>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r w:rsidDel="00000000" w:rsidR="00000000" w:rsidRPr="00000000">
        <w:rPr>
          <w:rtl w:val="0"/>
        </w:rPr>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5688965" cy="23876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88965" cy="238760"/>
                      </a:xfrm>
                      <a:prstGeom prst="rect"/>
                      <a:ln/>
                    </pic:spPr>
                  </pic:pic>
                </a:graphicData>
              </a:graphic>
            </wp:anchor>
          </w:drawing>
        </mc:Fallback>
      </mc:AlternateConten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-40637</wp:posOffset>
              </wp:positionH>
              <wp:positionV relativeFrom="paragraph">
                <wp:posOffset>158115</wp:posOffset>
              </wp:positionV>
              <wp:extent cx="7954645" cy="23876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54645" cy="238760"/>
                      </a:xfrm>
                      <a:prstGeom prst="rect"/>
                      <a:ln/>
                    </pic:spPr>
                  </pic:pic>
                </a:graphicData>
              </a:graphic>
            </wp:anchor>
          </w:drawing>
        </mc:Fallback>
      </mc:AlternateConten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K+4sOa2WnK4LCSTdRtJAVSpI1w==">CgMxLjA4AHIhMTEwNVRSQjJvNElnMEFlZFQwdm9ZMnM3eU53dVJIN0xS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