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EDUBÍO 360</w:t>
      </w:r>
    </w:p>
    <w:p>
      <w:pPr>
        <w:pStyle w:val="Subtitle"/>
        <w:jc w:val="left"/>
      </w:pPr>
      <w:r>
        <w:t>Informe de pruebas unitarias y cobertura</w:t>
      </w:r>
    </w:p>
    <w:p>
      <w:r>
        <w:t>Evaluación Parcial 2  |  DSY1104 Desarrollo Fullstack II</w:t>
      </w:r>
    </w:p>
    <w:p>
      <w:r>
        <w:t>Versión del proyecto: React, Vite y TypeScript</w:t>
      </w:r>
    </w:p>
    <w:p>
      <w:r>
        <w:t>Fecha de resultados: 26 de octubre de 2026</w:t>
      </w:r>
    </w:p>
    <w:p>
      <w:r>
        <w:t>Este documento presenta las pruebas unitarias ejecutadas, su función, los posibles errores que permiten descubrir y los resultados obtenidos. Las imágenes corresponden a resúmenes generados a partir de la ejecución de Vitest y de su reporte de cobertura.</w:t>
      </w:r>
    </w:p>
    <w:p>
      <w:pPr>
        <w:keepNext/>
        <w:jc w:val="center"/>
      </w:pPr>
      <w:r>
        <w:drawing>
          <wp:inline xmlns:a="http://schemas.openxmlformats.org/drawingml/2006/main" xmlns:pic="http://schemas.openxmlformats.org/drawingml/2006/picture">
            <wp:extent cx="5832000" cy="3540857"/>
            <wp:docPr id="1" name="Picture 1"/>
            <wp:cNvGraphicFramePr>
              <a:graphicFrameLocks noChangeAspect="1"/>
            </wp:cNvGraphicFramePr>
            <a:graphic>
              <a:graphicData uri="http://schemas.openxmlformats.org/drawingml/2006/picture">
                <pic:pic>
                  <pic:nvPicPr>
                    <pic:cNvPr id="0" name="01_resumen_vitest.png"/>
                    <pic:cNvPicPr/>
                  </pic:nvPicPr>
                  <pic:blipFill>
                    <a:blip r:embed="rId10"/>
                    <a:stretch>
                      <a:fillRect/>
                    </a:stretch>
                  </pic:blipFill>
                  <pic:spPr>
                    <a:xfrm>
                      <a:off x="0" y="0"/>
                      <a:ext cx="5832000" cy="3540857"/>
                    </a:xfrm>
                    <a:prstGeom prst="rect"/>
                  </pic:spPr>
                </pic:pic>
              </a:graphicData>
            </a:graphic>
          </wp:inline>
        </w:drawing>
      </w:r>
    </w:p>
    <w:p>
      <w:pPr>
        <w:spacing w:before="40" w:after="200"/>
        <w:jc w:val="center"/>
      </w:pPr>
      <w:r>
        <w:rPr>
          <w:rFonts w:ascii="Calibri" w:hAnsi="Calibri"/>
          <w:i/>
          <w:sz w:val="17"/>
        </w:rPr>
        <w:t>Figura 1. Resumen de archivos y pruebas aprobadas. Datos obtenidos de Vitest.</w:t>
      </w:r>
    </w:p>
    <w:p>
      <w:r>
        <w:br w:type="page"/>
      </w:r>
    </w:p>
    <w:p>
      <w:pPr>
        <w:pStyle w:val="Heading1"/>
      </w:pPr>
      <w:r>
        <w:t>Índice</w:t>
      </w:r>
    </w:p>
    <w:p>
      <w:pPr>
        <w:tabs>
          <w:tab w:pos="9354" w:val="right" w:leader="dot"/>
        </w:tabs>
        <w:spacing w:after="120"/>
      </w:pPr>
      <w:r>
        <w:t>1. Objetivo y requisitos de la pauta</w:t>
      </w:r>
      <w:r>
        <w:tab/>
        <w:t>3</w:t>
      </w:r>
    </w:p>
    <w:p>
      <w:pPr>
        <w:tabs>
          <w:tab w:pos="9354" w:val="right" w:leader="dot"/>
        </w:tabs>
        <w:spacing w:after="120"/>
      </w:pPr>
      <w:r>
        <w:t>2. Herramientas y ejecución de pruebas</w:t>
      </w:r>
      <w:r>
        <w:tab/>
        <w:t>3</w:t>
      </w:r>
    </w:p>
    <w:p>
      <w:pPr>
        <w:tabs>
          <w:tab w:pos="9354" w:val="right" w:leader="dot"/>
        </w:tabs>
        <w:spacing w:after="120"/>
      </w:pPr>
      <w:r>
        <w:t>3. Resultados obtenidos</w:t>
      </w:r>
      <w:r>
        <w:tab/>
        <w:t>3</w:t>
      </w:r>
    </w:p>
    <w:p>
      <w:pPr>
        <w:tabs>
          <w:tab w:pos="9354" w:val="right" w:leader="dot"/>
        </w:tabs>
        <w:spacing w:after="120"/>
      </w:pPr>
      <w:r>
        <w:t>4. Casos explicados para la presentación</w:t>
      </w:r>
      <w:r>
        <w:tab/>
        <w:t>3</w:t>
      </w:r>
    </w:p>
    <w:p>
      <w:pPr>
        <w:tabs>
          <w:tab w:pos="9354" w:val="right" w:leader="dot"/>
        </w:tabs>
        <w:spacing w:after="120"/>
      </w:pPr>
      <w:r>
        <w:t>5. Registro numerado de las 78 pruebas</w:t>
      </w:r>
      <w:r>
        <w:tab/>
        <w:t>5</w:t>
      </w:r>
    </w:p>
    <w:p>
      <w:pPr>
        <w:tabs>
          <w:tab w:pos="9354" w:val="right" w:leader="dot"/>
        </w:tabs>
        <w:spacing w:after="120"/>
      </w:pPr>
      <w:r>
        <w:t>6. Evidencias gráficas</w:t>
      </w:r>
      <w:r>
        <w:tab/>
        <w:t>10</w:t>
      </w:r>
    </w:p>
    <w:p>
      <w:pPr>
        <w:tabs>
          <w:tab w:pos="9354" w:val="right" w:leader="dot"/>
        </w:tabs>
        <w:spacing w:after="120"/>
      </w:pPr>
      <w:r>
        <w:t>7. Cobertura y archivos evaluados</w:t>
      </w:r>
      <w:r>
        <w:tab/>
        <w:t>11</w:t>
      </w:r>
    </w:p>
    <w:p>
      <w:pPr>
        <w:tabs>
          <w:tab w:pos="9354" w:val="right" w:leader="dot"/>
        </w:tabs>
        <w:spacing w:after="120"/>
      </w:pPr>
      <w:r>
        <w:t>8. Posibles fallos y comportamientos pendientes</w:t>
      </w:r>
      <w:r>
        <w:tab/>
        <w:t>12</w:t>
      </w:r>
    </w:p>
    <w:p>
      <w:pPr>
        <w:tabs>
          <w:tab w:pos="9354" w:val="right" w:leader="dot"/>
        </w:tabs>
        <w:spacing w:after="120"/>
      </w:pPr>
      <w:r>
        <w:t>9. Conclusión</w:t>
      </w:r>
      <w:r>
        <w:tab/>
        <w:t>12</w:t>
      </w:r>
    </w:p>
    <w:p>
      <w:r>
        <w:t>Los códigos P01 a P78 identifican pruebas distintas. La columna «Posible fallo» describe el error que la prueba ayudaría a detectar; no significa que haya ocurrido en esta ejecución.</w:t>
      </w:r>
    </w:p>
    <w:p>
      <w:r>
        <w:br w:type="page"/>
      </w:r>
    </w:p>
    <w:p>
      <w:pPr>
        <w:pStyle w:val="Heading1"/>
      </w:pPr>
      <w:r>
        <w:t>1. Objetivo y requisitos de la pauta</w:t>
      </w:r>
    </w:p>
    <w:p>
      <w:r>
        <w:t>Comprobar que las funcionalidades migradas desde la primera evaluación responden como se espera. Se revisan renderizado, propiedades, listas, eventos, validaciones, condiciones, filtros, navegación, estado, roles y las cuatro operaciones CRUD.</w:t>
      </w:r>
    </w:p>
    <w:p>
      <w:r>
        <w:t>El indicador IE2.2.1 exige al menos 15 pruebas distintas, pertinentes y aprobadas. El indicador IE2.3.1 pide proceso reproducible, resultados, cobertura, casos pendientes y uso adecuado de mocks o espías. La pauta no exige 100 % de cobertura.</w:t>
      </w:r>
    </w:p>
    <w:p>
      <w:pPr>
        <w:pStyle w:val="Heading1"/>
      </w:pPr>
      <w:r>
        <w:t>2. Herramientas y ejecución de pruebas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2438"/>
        <w:gridCol w:w="6917"/>
      </w:tblGrid>
      <w:tr>
        <w:trPr>
          <w:tblHeader w:val="true"/>
        </w:trPr>
        <w:tc>
          <w:tcPr>
            <w:tcW w:type="dxa" w:w="2438"/>
            <w:shd w:fill="E6ECEF"/>
            <w:tcMar>
              <w:top w:w="100" w:type="dxa"/>
              <w:bottom w:w="100" w:type="dxa"/>
              <w:left w:w="100" w:type="dxa"/>
              <w:right w:w="100" w:type="dxa"/>
            </w:tcMar>
          </w:tcPr>
          <w:p>
            <w:pPr>
              <w:spacing w:after="0"/>
            </w:pPr>
            <w:r>
              <w:rPr>
                <w:rFonts w:ascii="Calibri" w:hAnsi="Calibri"/>
                <w:b/>
                <w:sz w:val="17"/>
              </w:rPr>
              <w:t>Herramienta</w:t>
            </w:r>
          </w:p>
        </w:tc>
        <w:tc>
          <w:tcPr>
            <w:tcW w:type="dxa" w:w="6917"/>
            <w:shd w:fill="E6ECEF"/>
            <w:tcMar>
              <w:top w:w="100" w:type="dxa"/>
              <w:bottom w:w="100" w:type="dxa"/>
              <w:left w:w="100" w:type="dxa"/>
              <w:right w:w="100" w:type="dxa"/>
            </w:tcMar>
          </w:tcPr>
          <w:p>
            <w:pPr>
              <w:spacing w:after="0"/>
            </w:pPr>
            <w:r>
              <w:rPr>
                <w:rFonts w:ascii="Calibri" w:hAnsi="Calibri"/>
                <w:b/>
                <w:sz w:val="17"/>
              </w:rPr>
              <w:t>Función dentro de las pruebas</w:t>
            </w:r>
          </w:p>
        </w:tc>
      </w:tr>
      <w:tr>
        <w:trPr>
          <w:cantSplit/>
        </w:trPr>
        <w:tc>
          <w:tcPr>
            <w:tcW w:type="dxa" w:w="2438"/>
            <w:vAlign w:val="center"/>
            <w:tcMar>
              <w:top w:w="100" w:type="dxa"/>
              <w:bottom w:w="100" w:type="dxa"/>
              <w:left w:w="100" w:type="dxa"/>
              <w:right w:w="100" w:type="dxa"/>
            </w:tcMar>
          </w:tcPr>
          <w:p>
            <w:pPr>
              <w:spacing w:after="0" w:line="271" w:lineRule="auto"/>
              <w:jc w:val="center"/>
            </w:pPr>
            <w:r>
              <w:rPr>
                <w:rFonts w:ascii="Calibri" w:hAnsi="Calibri"/>
                <w:sz w:val="17"/>
              </w:rPr>
              <w:t>Vitest</w:t>
            </w:r>
          </w:p>
        </w:tc>
        <w:tc>
          <w:tcPr>
            <w:tcW w:type="dxa" w:w="6917"/>
            <w:vAlign w:val="center"/>
            <w:tcMar>
              <w:top w:w="100" w:type="dxa"/>
              <w:bottom w:w="100" w:type="dxa"/>
              <w:left w:w="100" w:type="dxa"/>
              <w:right w:w="100" w:type="dxa"/>
            </w:tcMar>
          </w:tcPr>
          <w:p>
            <w:pPr>
              <w:spacing w:after="0" w:line="271" w:lineRule="auto"/>
              <w:jc w:val="center"/>
            </w:pPr>
            <w:r>
              <w:rPr>
                <w:rFonts w:ascii="Calibri" w:hAnsi="Calibri"/>
                <w:sz w:val="17"/>
              </w:rPr>
              <w:t>Ejecuta los casos y registra sus resultados.</w:t>
            </w:r>
          </w:p>
        </w:tc>
      </w:tr>
      <w:tr>
        <w:trPr>
          <w:cantSplit/>
        </w:trPr>
        <w:tc>
          <w:tcPr>
            <w:tcW w:type="dxa" w:w="2438"/>
            <w:vAlign w:val="center"/>
            <w:tcMar>
              <w:top w:w="100" w:type="dxa"/>
              <w:bottom w:w="100" w:type="dxa"/>
              <w:left w:w="100" w:type="dxa"/>
              <w:right w:w="100" w:type="dxa"/>
            </w:tcMar>
            <w:shd w:fill="F7F9FA"/>
          </w:tcPr>
          <w:p>
            <w:pPr>
              <w:spacing w:after="0" w:line="271" w:lineRule="auto"/>
              <w:jc w:val="center"/>
            </w:pPr>
            <w:r>
              <w:rPr>
                <w:rFonts w:ascii="Calibri" w:hAnsi="Calibri"/>
                <w:sz w:val="17"/>
              </w:rPr>
              <w:t>React Testing Library</w:t>
            </w:r>
          </w:p>
        </w:tc>
        <w:tc>
          <w:tcPr>
            <w:tcW w:type="dxa" w:w="6917"/>
            <w:vAlign w:val="center"/>
            <w:tcMar>
              <w:top w:w="100" w:type="dxa"/>
              <w:bottom w:w="100" w:type="dxa"/>
              <w:left w:w="100" w:type="dxa"/>
              <w:right w:w="100" w:type="dxa"/>
            </w:tcMar>
            <w:shd w:fill="F7F9FA"/>
          </w:tcPr>
          <w:p>
            <w:pPr>
              <w:spacing w:after="0" w:line="271" w:lineRule="auto"/>
              <w:jc w:val="center"/>
            </w:pPr>
            <w:r>
              <w:rPr>
                <w:rFonts w:ascii="Calibri" w:hAnsi="Calibri"/>
                <w:sz w:val="17"/>
              </w:rPr>
              <w:t>Muestra los componentes y permite comprobar su comportamiento.</w:t>
            </w:r>
          </w:p>
        </w:tc>
      </w:tr>
      <w:tr>
        <w:trPr>
          <w:cantSplit/>
        </w:trPr>
        <w:tc>
          <w:tcPr>
            <w:tcW w:type="dxa" w:w="2438"/>
            <w:vAlign w:val="center"/>
            <w:tcMar>
              <w:top w:w="100" w:type="dxa"/>
              <w:bottom w:w="100" w:type="dxa"/>
              <w:left w:w="100" w:type="dxa"/>
              <w:right w:w="100" w:type="dxa"/>
            </w:tcMar>
          </w:tcPr>
          <w:p>
            <w:pPr>
              <w:spacing w:after="0" w:line="271" w:lineRule="auto"/>
              <w:jc w:val="center"/>
            </w:pPr>
            <w:r>
              <w:rPr>
                <w:rFonts w:ascii="Calibri" w:hAnsi="Calibri"/>
                <w:sz w:val="17"/>
              </w:rPr>
              <w:t>jsdom</w:t>
            </w:r>
          </w:p>
        </w:tc>
        <w:tc>
          <w:tcPr>
            <w:tcW w:type="dxa" w:w="6917"/>
            <w:vAlign w:val="center"/>
            <w:tcMar>
              <w:top w:w="100" w:type="dxa"/>
              <w:bottom w:w="100" w:type="dxa"/>
              <w:left w:w="100" w:type="dxa"/>
              <w:right w:w="100" w:type="dxa"/>
            </w:tcMar>
          </w:tcPr>
          <w:p>
            <w:pPr>
              <w:spacing w:after="0" w:line="271" w:lineRule="auto"/>
              <w:jc w:val="center"/>
            </w:pPr>
            <w:r>
              <w:rPr>
                <w:rFonts w:ascii="Calibri" w:hAnsi="Calibri"/>
                <w:sz w:val="17"/>
              </w:rPr>
              <w:t>Simula las funciones básicas del navegador.</w:t>
            </w:r>
          </w:p>
        </w:tc>
      </w:tr>
      <w:tr>
        <w:trPr>
          <w:cantSplit/>
        </w:trPr>
        <w:tc>
          <w:tcPr>
            <w:tcW w:type="dxa" w:w="2438"/>
            <w:vAlign w:val="center"/>
            <w:tcMar>
              <w:top w:w="100" w:type="dxa"/>
              <w:bottom w:w="100" w:type="dxa"/>
              <w:left w:w="100" w:type="dxa"/>
              <w:right w:w="100" w:type="dxa"/>
            </w:tcMar>
            <w:shd w:fill="F7F9FA"/>
          </w:tcPr>
          <w:p>
            <w:pPr>
              <w:spacing w:after="0" w:line="271" w:lineRule="auto"/>
              <w:jc w:val="center"/>
            </w:pPr>
            <w:r>
              <w:rPr>
                <w:rFonts w:ascii="Calibri" w:hAnsi="Calibri"/>
                <w:sz w:val="17"/>
              </w:rPr>
              <w:t>user-event y fireEvent</w:t>
            </w:r>
          </w:p>
        </w:tc>
        <w:tc>
          <w:tcPr>
            <w:tcW w:type="dxa" w:w="6917"/>
            <w:vAlign w:val="center"/>
            <w:tcMar>
              <w:top w:w="100" w:type="dxa"/>
              <w:bottom w:w="100" w:type="dxa"/>
              <w:left w:w="100" w:type="dxa"/>
              <w:right w:w="100" w:type="dxa"/>
            </w:tcMar>
            <w:shd w:fill="F7F9FA"/>
          </w:tcPr>
          <w:p>
            <w:pPr>
              <w:spacing w:after="0" w:line="271" w:lineRule="auto"/>
              <w:jc w:val="center"/>
            </w:pPr>
            <w:r>
              <w:rPr>
                <w:rFonts w:ascii="Calibri" w:hAnsi="Calibri"/>
                <w:sz w:val="17"/>
              </w:rPr>
              <w:t>Representan acciones como escribir, pulsar y seleccionar.</w:t>
            </w:r>
          </w:p>
        </w:tc>
      </w:tr>
      <w:tr>
        <w:trPr>
          <w:cantSplit/>
        </w:trPr>
        <w:tc>
          <w:tcPr>
            <w:tcW w:type="dxa" w:w="2438"/>
            <w:vAlign w:val="center"/>
            <w:tcMar>
              <w:top w:w="100" w:type="dxa"/>
              <w:bottom w:w="100" w:type="dxa"/>
              <w:left w:w="100" w:type="dxa"/>
              <w:right w:w="100" w:type="dxa"/>
            </w:tcMar>
          </w:tcPr>
          <w:p>
            <w:pPr>
              <w:spacing w:after="0" w:line="271" w:lineRule="auto"/>
              <w:jc w:val="center"/>
            </w:pPr>
            <w:r>
              <w:rPr>
                <w:rFonts w:ascii="Calibri" w:hAnsi="Calibri"/>
                <w:sz w:val="17"/>
              </w:rPr>
              <w:t>Espías de Vitest</w:t>
            </w:r>
          </w:p>
        </w:tc>
        <w:tc>
          <w:tcPr>
            <w:tcW w:type="dxa" w:w="6917"/>
            <w:vAlign w:val="center"/>
            <w:tcMar>
              <w:top w:w="100" w:type="dxa"/>
              <w:bottom w:w="100" w:type="dxa"/>
              <w:left w:w="100" w:type="dxa"/>
              <w:right w:w="100" w:type="dxa"/>
            </w:tcMar>
          </w:tcPr>
          <w:p>
            <w:pPr>
              <w:spacing w:after="0" w:line="271" w:lineRule="auto"/>
              <w:jc w:val="center"/>
            </w:pPr>
            <w:r>
              <w:rPr>
                <w:rFonts w:ascii="Calibri" w:hAnsi="Calibri"/>
                <w:sz w:val="17"/>
              </w:rPr>
              <w:t>Verifican llamadas como la escritura en localStorage.</w:t>
            </w:r>
          </w:p>
        </w:tc>
      </w:tr>
      <w:tr>
        <w:trPr>
          <w:cantSplit/>
        </w:trPr>
        <w:tc>
          <w:tcPr>
            <w:tcW w:type="dxa" w:w="2438"/>
            <w:vAlign w:val="center"/>
            <w:tcMar>
              <w:top w:w="100" w:type="dxa"/>
              <w:bottom w:w="100" w:type="dxa"/>
              <w:left w:w="100" w:type="dxa"/>
              <w:right w:w="100" w:type="dxa"/>
            </w:tcMar>
            <w:shd w:fill="F7F9FA"/>
          </w:tcPr>
          <w:p>
            <w:pPr>
              <w:spacing w:after="0" w:line="271" w:lineRule="auto"/>
              <w:jc w:val="center"/>
            </w:pPr>
            <w:r>
              <w:rPr>
                <w:rFonts w:ascii="Calibri" w:hAnsi="Calibri"/>
                <w:sz w:val="17"/>
              </w:rPr>
              <w:t>Cobertura v8</w:t>
            </w:r>
          </w:p>
        </w:tc>
        <w:tc>
          <w:tcPr>
            <w:tcW w:type="dxa" w:w="6917"/>
            <w:vAlign w:val="center"/>
            <w:tcMar>
              <w:top w:w="100" w:type="dxa"/>
              <w:bottom w:w="100" w:type="dxa"/>
              <w:left w:w="100" w:type="dxa"/>
              <w:right w:w="100" w:type="dxa"/>
            </w:tcMar>
            <w:shd w:fill="F7F9FA"/>
          </w:tcPr>
          <w:p>
            <w:pPr>
              <w:spacing w:after="0" w:line="271" w:lineRule="auto"/>
              <w:jc w:val="center"/>
            </w:pPr>
            <w:r>
              <w:rPr>
                <w:rFonts w:ascii="Calibri" w:hAnsi="Calibri"/>
                <w:sz w:val="17"/>
              </w:rPr>
              <w:t>Calcula ejecución de líneas, sentencias, ramas y funciones.</w:t>
            </w:r>
          </w:p>
        </w:tc>
      </w:tr>
    </w:tbl>
    <w:p>
      <w:pPr>
        <w:spacing w:after="0"/>
      </w:pPr>
    </w:p>
    <w:p>
      <w:r>
        <w:t>Para repetir la ejecución, desde la carpeta ep2 se instalan las dependencias con npm ci y luego se usa npm run test:coverage. El reporte visual se abre en coverage/index.html. La aplicación se verifica adicionalmente con npm run build.</w:t>
      </w:r>
    </w:p>
    <w:p>
      <w:pPr>
        <w:pStyle w:val="Heading1"/>
      </w:pPr>
      <w:r>
        <w:t>3. Resultados obtenidos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6576"/>
        <w:gridCol w:w="2778"/>
      </w:tblGrid>
      <w:tr>
        <w:trPr>
          <w:tblHeader w:val="true"/>
        </w:trPr>
        <w:tc>
          <w:tcPr>
            <w:tcW w:type="dxa" w:w="6576"/>
            <w:shd w:fill="E6ECEF"/>
            <w:tcMar>
              <w:top w:w="100" w:type="dxa"/>
              <w:bottom w:w="100" w:type="dxa"/>
              <w:left w:w="100" w:type="dxa"/>
              <w:right w:w="100" w:type="dxa"/>
            </w:tcMar>
          </w:tcPr>
          <w:p>
            <w:pPr>
              <w:spacing w:after="0"/>
            </w:pPr>
            <w:r>
              <w:rPr>
                <w:rFonts w:ascii="Calibri" w:hAnsi="Calibri"/>
                <w:b/>
                <w:sz w:val="17"/>
              </w:rPr>
              <w:t>Indicador</w:t>
            </w:r>
          </w:p>
        </w:tc>
        <w:tc>
          <w:tcPr>
            <w:tcW w:type="dxa" w:w="2778"/>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6576"/>
            <w:vAlign w:val="center"/>
            <w:tcMar>
              <w:top w:w="100" w:type="dxa"/>
              <w:bottom w:w="100" w:type="dxa"/>
              <w:left w:w="100" w:type="dxa"/>
              <w:right w:w="100" w:type="dxa"/>
            </w:tcMar>
          </w:tcPr>
          <w:p>
            <w:pPr>
              <w:spacing w:after="0" w:line="271" w:lineRule="auto"/>
              <w:jc w:val="center"/>
            </w:pPr>
            <w:r>
              <w:rPr>
                <w:rFonts w:ascii="Calibri" w:hAnsi="Calibri"/>
                <w:sz w:val="17"/>
              </w:rPr>
              <w:t>Archivos con pruebas</w:t>
            </w:r>
          </w:p>
        </w:tc>
        <w:tc>
          <w:tcPr>
            <w:tcW w:type="dxa" w:w="2778"/>
            <w:vAlign w:val="center"/>
            <w:tcMar>
              <w:top w:w="100" w:type="dxa"/>
              <w:bottom w:w="100" w:type="dxa"/>
              <w:left w:w="100" w:type="dxa"/>
              <w:right w:w="100" w:type="dxa"/>
            </w:tcMar>
          </w:tcPr>
          <w:p>
            <w:pPr>
              <w:spacing w:after="0" w:line="271" w:lineRule="auto"/>
              <w:jc w:val="center"/>
            </w:pPr>
            <w:r>
              <w:rPr>
                <w:rFonts w:ascii="Calibri" w:hAnsi="Calibri"/>
                <w:sz w:val="17"/>
              </w:rPr>
              <w:t>15</w:t>
            </w:r>
          </w:p>
        </w:tc>
      </w:tr>
      <w:tr>
        <w:trPr>
          <w:cantSplit/>
        </w:trPr>
        <w:tc>
          <w:tcPr>
            <w:tcW w:type="dxa" w:w="6576"/>
            <w:vAlign w:val="center"/>
            <w:tcMar>
              <w:top w:w="100" w:type="dxa"/>
              <w:bottom w:w="100" w:type="dxa"/>
              <w:left w:w="100" w:type="dxa"/>
              <w:right w:w="100" w:type="dxa"/>
            </w:tcMar>
            <w:shd w:fill="F7F9FA"/>
          </w:tcPr>
          <w:p>
            <w:pPr>
              <w:spacing w:after="0" w:line="271" w:lineRule="auto"/>
              <w:jc w:val="center"/>
            </w:pPr>
            <w:r>
              <w:rPr>
                <w:rFonts w:ascii="Calibri" w:hAnsi="Calibri"/>
                <w:sz w:val="17"/>
              </w:rPr>
              <w:t>Pruebas ejecutadas</w:t>
            </w:r>
          </w:p>
        </w:tc>
        <w:tc>
          <w:tcPr>
            <w:tcW w:type="dxa" w:w="2778"/>
            <w:vAlign w:val="center"/>
            <w:tcMar>
              <w:top w:w="100" w:type="dxa"/>
              <w:bottom w:w="100" w:type="dxa"/>
              <w:left w:w="100" w:type="dxa"/>
              <w:right w:w="100" w:type="dxa"/>
            </w:tcMar>
            <w:shd w:fill="F7F9FA"/>
          </w:tcPr>
          <w:p>
            <w:pPr>
              <w:spacing w:after="0" w:line="271" w:lineRule="auto"/>
              <w:jc w:val="center"/>
            </w:pPr>
            <w:r>
              <w:rPr>
                <w:rFonts w:ascii="Calibri" w:hAnsi="Calibri"/>
                <w:sz w:val="17"/>
              </w:rPr>
              <w:t>78</w:t>
            </w:r>
          </w:p>
        </w:tc>
      </w:tr>
      <w:tr>
        <w:trPr>
          <w:cantSplit/>
        </w:trPr>
        <w:tc>
          <w:tcPr>
            <w:tcW w:type="dxa" w:w="6576"/>
            <w:vAlign w:val="center"/>
            <w:tcMar>
              <w:top w:w="100" w:type="dxa"/>
              <w:bottom w:w="100" w:type="dxa"/>
              <w:left w:w="100" w:type="dxa"/>
              <w:right w:w="100" w:type="dxa"/>
            </w:tcMar>
          </w:tcPr>
          <w:p>
            <w:pPr>
              <w:spacing w:after="0" w:line="271" w:lineRule="auto"/>
              <w:jc w:val="center"/>
            </w:pPr>
            <w:r>
              <w:rPr>
                <w:rFonts w:ascii="Calibri" w:hAnsi="Calibri"/>
                <w:sz w:val="17"/>
              </w:rPr>
              <w:t>Pruebas aprobadas</w:t>
            </w:r>
          </w:p>
        </w:tc>
        <w:tc>
          <w:tcPr>
            <w:tcW w:type="dxa" w:w="2778"/>
            <w:vAlign w:val="center"/>
            <w:tcMar>
              <w:top w:w="100" w:type="dxa"/>
              <w:bottom w:w="100" w:type="dxa"/>
              <w:left w:w="100" w:type="dxa"/>
              <w:right w:w="100" w:type="dxa"/>
            </w:tcMar>
          </w:tcPr>
          <w:p>
            <w:pPr>
              <w:spacing w:after="0" w:line="271" w:lineRule="auto"/>
              <w:jc w:val="center"/>
            </w:pPr>
            <w:r>
              <w:rPr>
                <w:rFonts w:ascii="Calibri" w:hAnsi="Calibri"/>
                <w:sz w:val="17"/>
              </w:rPr>
              <w:t>78</w:t>
            </w:r>
          </w:p>
        </w:tc>
      </w:tr>
      <w:tr>
        <w:trPr>
          <w:cantSplit/>
        </w:trPr>
        <w:tc>
          <w:tcPr>
            <w:tcW w:type="dxa" w:w="6576"/>
            <w:vAlign w:val="center"/>
            <w:tcMar>
              <w:top w:w="100" w:type="dxa"/>
              <w:bottom w:w="100" w:type="dxa"/>
              <w:left w:w="100" w:type="dxa"/>
              <w:right w:w="100" w:type="dxa"/>
            </w:tcMar>
            <w:shd w:fill="F7F9FA"/>
          </w:tcPr>
          <w:p>
            <w:pPr>
              <w:spacing w:after="0" w:line="271" w:lineRule="auto"/>
              <w:jc w:val="center"/>
            </w:pPr>
            <w:r>
              <w:rPr>
                <w:rFonts w:ascii="Calibri" w:hAnsi="Calibri"/>
                <w:sz w:val="17"/>
              </w:rPr>
              <w:t>Pruebas fallidas</w:t>
            </w:r>
          </w:p>
        </w:tc>
        <w:tc>
          <w:tcPr>
            <w:tcW w:type="dxa" w:w="2778"/>
            <w:vAlign w:val="center"/>
            <w:tcMar>
              <w:top w:w="100" w:type="dxa"/>
              <w:bottom w:w="100" w:type="dxa"/>
              <w:left w:w="100" w:type="dxa"/>
              <w:right w:w="100" w:type="dxa"/>
            </w:tcMar>
            <w:shd w:fill="F7F9FA"/>
          </w:tcPr>
          <w:p>
            <w:pPr>
              <w:spacing w:after="0" w:line="271" w:lineRule="auto"/>
              <w:jc w:val="center"/>
            </w:pPr>
            <w:r>
              <w:rPr>
                <w:rFonts w:ascii="Calibri" w:hAnsi="Calibri"/>
                <w:sz w:val="17"/>
              </w:rPr>
              <w:t>0</w:t>
            </w:r>
          </w:p>
        </w:tc>
      </w:tr>
      <w:tr>
        <w:trPr>
          <w:cantSplit/>
        </w:trPr>
        <w:tc>
          <w:tcPr>
            <w:tcW w:type="dxa" w:w="6576"/>
            <w:vAlign w:val="center"/>
            <w:tcMar>
              <w:top w:w="100" w:type="dxa"/>
              <w:bottom w:w="100" w:type="dxa"/>
              <w:left w:w="100" w:type="dxa"/>
              <w:right w:w="100" w:type="dxa"/>
            </w:tcMar>
          </w:tcPr>
          <w:p>
            <w:pPr>
              <w:spacing w:after="0" w:line="271" w:lineRule="auto"/>
              <w:jc w:val="center"/>
            </w:pPr>
            <w:r>
              <w:rPr>
                <w:rFonts w:ascii="Calibri" w:hAnsi="Calibri"/>
                <w:sz w:val="17"/>
              </w:rPr>
              <w:t>Líneas y sentencias cubiertas</w:t>
            </w:r>
          </w:p>
        </w:tc>
        <w:tc>
          <w:tcPr>
            <w:tcW w:type="dxa" w:w="2778"/>
            <w:vAlign w:val="center"/>
            <w:tcMar>
              <w:top w:w="100" w:type="dxa"/>
              <w:bottom w:w="100" w:type="dxa"/>
              <w:left w:w="100" w:type="dxa"/>
              <w:right w:w="100" w:type="dxa"/>
            </w:tcMar>
          </w:tcPr>
          <w:p>
            <w:pPr>
              <w:spacing w:after="0" w:line="271" w:lineRule="auto"/>
              <w:jc w:val="center"/>
            </w:pPr>
            <w:r>
              <w:rPr>
                <w:rFonts w:ascii="Calibri" w:hAnsi="Calibri"/>
                <w:sz w:val="17"/>
              </w:rPr>
              <w:t>92,25 %</w:t>
            </w:r>
          </w:p>
        </w:tc>
      </w:tr>
      <w:tr>
        <w:trPr>
          <w:cantSplit/>
        </w:trPr>
        <w:tc>
          <w:tcPr>
            <w:tcW w:type="dxa" w:w="6576"/>
            <w:vAlign w:val="center"/>
            <w:tcMar>
              <w:top w:w="100" w:type="dxa"/>
              <w:bottom w:w="100" w:type="dxa"/>
              <w:left w:w="100" w:type="dxa"/>
              <w:right w:w="100" w:type="dxa"/>
            </w:tcMar>
            <w:shd w:fill="F7F9FA"/>
          </w:tcPr>
          <w:p>
            <w:pPr>
              <w:spacing w:after="0" w:line="271" w:lineRule="auto"/>
              <w:jc w:val="center"/>
            </w:pPr>
            <w:r>
              <w:rPr>
                <w:rFonts w:ascii="Calibri" w:hAnsi="Calibri"/>
                <w:sz w:val="17"/>
              </w:rPr>
              <w:t>Ramas cubiertas</w:t>
            </w:r>
          </w:p>
        </w:tc>
        <w:tc>
          <w:tcPr>
            <w:tcW w:type="dxa" w:w="2778"/>
            <w:vAlign w:val="center"/>
            <w:tcMar>
              <w:top w:w="100" w:type="dxa"/>
              <w:bottom w:w="100" w:type="dxa"/>
              <w:left w:w="100" w:type="dxa"/>
              <w:right w:w="100" w:type="dxa"/>
            </w:tcMar>
            <w:shd w:fill="F7F9FA"/>
          </w:tcPr>
          <w:p>
            <w:pPr>
              <w:spacing w:after="0" w:line="271" w:lineRule="auto"/>
              <w:jc w:val="center"/>
            </w:pPr>
            <w:r>
              <w:rPr>
                <w:rFonts w:ascii="Calibri" w:hAnsi="Calibri"/>
                <w:sz w:val="17"/>
              </w:rPr>
              <w:t>82,27 %</w:t>
            </w:r>
          </w:p>
        </w:tc>
      </w:tr>
      <w:tr>
        <w:trPr>
          <w:cantSplit/>
        </w:trPr>
        <w:tc>
          <w:tcPr>
            <w:tcW w:type="dxa" w:w="6576"/>
            <w:vAlign w:val="center"/>
            <w:tcMar>
              <w:top w:w="100" w:type="dxa"/>
              <w:bottom w:w="100" w:type="dxa"/>
              <w:left w:w="100" w:type="dxa"/>
              <w:right w:w="100" w:type="dxa"/>
            </w:tcMar>
          </w:tcPr>
          <w:p>
            <w:pPr>
              <w:spacing w:after="0" w:line="271" w:lineRule="auto"/>
              <w:jc w:val="center"/>
            </w:pPr>
            <w:r>
              <w:rPr>
                <w:rFonts w:ascii="Calibri" w:hAnsi="Calibri"/>
                <w:sz w:val="17"/>
              </w:rPr>
              <w:t>Funciones cubiertas</w:t>
            </w:r>
          </w:p>
        </w:tc>
        <w:tc>
          <w:tcPr>
            <w:tcW w:type="dxa" w:w="2778"/>
            <w:vAlign w:val="center"/>
            <w:tcMar>
              <w:top w:w="100" w:type="dxa"/>
              <w:bottom w:w="100" w:type="dxa"/>
              <w:left w:w="100" w:type="dxa"/>
              <w:right w:w="100" w:type="dxa"/>
            </w:tcMar>
          </w:tcPr>
          <w:p>
            <w:pPr>
              <w:spacing w:after="0" w:line="271" w:lineRule="auto"/>
              <w:jc w:val="center"/>
            </w:pPr>
            <w:r>
              <w:rPr>
                <w:rFonts w:ascii="Calibri" w:hAnsi="Calibri"/>
                <w:sz w:val="17"/>
              </w:rPr>
              <w:t>83,01 %</w:t>
            </w:r>
          </w:p>
        </w:tc>
      </w:tr>
    </w:tbl>
    <w:p>
      <w:pPr>
        <w:spacing w:after="0"/>
      </w:pPr>
    </w:p>
    <w:p>
      <w:r>
        <w:t>El resultado de cada caso fue aprobado. Los escenarios de fallo descritos a continuación representan defectos posibles que las comprobaciones ayudarían a identificar.</w:t>
      </w:r>
    </w:p>
    <w:p>
      <w:pPr>
        <w:pStyle w:val="Heading1"/>
      </w:pPr>
      <w:r>
        <w:t>4. Casos explicados para la presentación</w:t>
      </w:r>
    </w:p>
    <w:p>
      <w:r>
        <w:t>En los siguientes ejemplos se indica la preparación, la acción y la comprobación de la prueba, tal como solicita el indicador individual IE2.2.2.</w:t>
      </w:r>
    </w:p>
    <w:p>
      <w:pPr>
        <w:pStyle w:val="Heading2"/>
      </w:pPr>
      <w:r>
        <w:t>P24. Crea una oferta y la incorpora a la lista</w:t>
      </w:r>
    </w:p>
    <w:p>
      <w:r>
        <w:rPr>
          <w:b/>
        </w:rPr>
        <w:t xml:space="preserve">Preparación: </w:t>
      </w:r>
      <w:r>
        <w:t xml:space="preserve">Partir de un repositorio con sus ofertas. </w:t>
      </w:r>
      <w:r>
        <w:rPr>
          <w:b/>
        </w:rPr>
        <w:t xml:space="preserve">Acción: </w:t>
      </w:r>
      <w:r>
        <w:t xml:space="preserve">Crear una oferta con identificador nuevo. </w:t>
      </w:r>
      <w:r>
        <w:rPr>
          <w:b/>
        </w:rPr>
        <w:t xml:space="preserve">Resultado esperado: </w:t>
      </w:r>
      <w:r>
        <w:t xml:space="preserve">La nueva oferta queda disponible en el listado. </w:t>
      </w:r>
      <w:r>
        <w:rPr>
          <w:b/>
        </w:rPr>
        <w:t xml:space="preserve">Posible fallo: </w:t>
      </w:r>
      <w:r>
        <w:t xml:space="preserve">El registro creado no figura en la lista. </w:t>
      </w:r>
      <w:r>
        <w:rPr>
          <w:b/>
        </w:rPr>
        <w:t>Resultado real: APROBADA.</w:t>
      </w:r>
    </w:p>
    <w:p>
      <w:pPr>
        <w:pStyle w:val="Heading2"/>
      </w:pPr>
      <w:r>
        <w:t>P23. Lee una oferta por identificador</w:t>
      </w:r>
    </w:p>
    <w:p>
      <w:r>
        <w:rPr>
          <w:b/>
        </w:rPr>
        <w:t xml:space="preserve">Preparación: </w:t>
      </w:r>
      <w:r>
        <w:t xml:space="preserve">Disponer de una oferta almacenada. </w:t>
      </w:r>
      <w:r>
        <w:rPr>
          <w:b/>
        </w:rPr>
        <w:t xml:space="preserve">Acción: </w:t>
      </w:r>
      <w:r>
        <w:t xml:space="preserve">Consultar el identificador de esa oferta. </w:t>
      </w:r>
      <w:r>
        <w:rPr>
          <w:b/>
        </w:rPr>
        <w:t xml:space="preserve">Resultado esperado: </w:t>
      </w:r>
      <w:r>
        <w:t xml:space="preserve">Se obtiene el registro correspondiente. </w:t>
      </w:r>
      <w:r>
        <w:rPr>
          <w:b/>
        </w:rPr>
        <w:t xml:space="preserve">Posible fallo: </w:t>
      </w:r>
      <w:r>
        <w:t xml:space="preserve">La consulta entrega otra oferta o ninguna. </w:t>
      </w:r>
      <w:r>
        <w:rPr>
          <w:b/>
        </w:rPr>
        <w:t>Resultado real: APROBADA.</w:t>
      </w:r>
    </w:p>
    <w:p>
      <w:pPr>
        <w:pStyle w:val="Heading2"/>
      </w:pPr>
      <w:r>
        <w:t>P26. Actualiza una oferta sin cambiar las demás</w:t>
      </w:r>
    </w:p>
    <w:p>
      <w:r>
        <w:rPr>
          <w:b/>
        </w:rPr>
        <w:t xml:space="preserve">Preparación: </w:t>
      </w:r>
      <w:r>
        <w:t xml:space="preserve">Cargar varias ofertas existentes. </w:t>
      </w:r>
      <w:r>
        <w:rPr>
          <w:b/>
        </w:rPr>
        <w:t xml:space="preserve">Acción: </w:t>
      </w:r>
      <w:r>
        <w:t xml:space="preserve">Editar solamente una oferta. </w:t>
      </w:r>
      <w:r>
        <w:rPr>
          <w:b/>
        </w:rPr>
        <w:t xml:space="preserve">Resultado esperado: </w:t>
      </w:r>
      <w:r>
        <w:t xml:space="preserve">Cambia el registro elegido y los otros se conservan. </w:t>
      </w:r>
      <w:r>
        <w:rPr>
          <w:b/>
        </w:rPr>
        <w:t xml:space="preserve">Posible fallo: </w:t>
      </w:r>
      <w:r>
        <w:t xml:space="preserve">La edición altera registros diferentes. </w:t>
      </w:r>
      <w:r>
        <w:rPr>
          <w:b/>
        </w:rPr>
        <w:t>Resultado real: APROBADA.</w:t>
      </w:r>
    </w:p>
    <w:p>
      <w:pPr>
        <w:pStyle w:val="Heading2"/>
      </w:pPr>
      <w:r>
        <w:t>P27. Elimina una oferta y ya no permite consultarla</w:t>
      </w:r>
    </w:p>
    <w:p>
      <w:r>
        <w:rPr>
          <w:b/>
        </w:rPr>
        <w:t xml:space="preserve">Preparación: </w:t>
      </w:r>
      <w:r>
        <w:t xml:space="preserve">Preparar una oferta existente. </w:t>
      </w:r>
      <w:r>
        <w:rPr>
          <w:b/>
        </w:rPr>
        <w:t xml:space="preserve">Acción: </w:t>
      </w:r>
      <w:r>
        <w:t xml:space="preserve">Eliminarla y volver a consultarla. </w:t>
      </w:r>
      <w:r>
        <w:rPr>
          <w:b/>
        </w:rPr>
        <w:t xml:space="preserve">Resultado esperado: </w:t>
      </w:r>
      <w:r>
        <w:t xml:space="preserve">La oferta deja de existir en el repositorio. </w:t>
      </w:r>
      <w:r>
        <w:rPr>
          <w:b/>
        </w:rPr>
        <w:t xml:space="preserve">Posible fallo: </w:t>
      </w:r>
      <w:r>
        <w:t xml:space="preserve">Un registro eliminado continúa disponible. </w:t>
      </w:r>
      <w:r>
        <w:rPr>
          <w:b/>
        </w:rPr>
        <w:t>Resultado real: APROBADA.</w:t>
      </w:r>
    </w:p>
    <w:p>
      <w:pPr>
        <w:pStyle w:val="Heading2"/>
      </w:pPr>
      <w:r>
        <w:t>P42. Filtra por texto y actualiza las tarjetas</w:t>
      </w:r>
    </w:p>
    <w:p>
      <w:r>
        <w:rPr>
          <w:b/>
        </w:rPr>
        <w:t xml:space="preserve">Preparación: </w:t>
      </w:r>
      <w:r>
        <w:t xml:space="preserve">Mostrar el catálogo completo. </w:t>
      </w:r>
      <w:r>
        <w:rPr>
          <w:b/>
        </w:rPr>
        <w:t xml:space="preserve">Acción: </w:t>
      </w:r>
      <w:r>
        <w:t xml:space="preserve">Ingresar una búsqueda en la interfaz. </w:t>
      </w:r>
      <w:r>
        <w:rPr>
          <w:b/>
        </w:rPr>
        <w:t xml:space="preserve">Resultado esperado: </w:t>
      </w:r>
      <w:r>
        <w:t xml:space="preserve">Las tarjetas se actualizan según las coincidencias. </w:t>
      </w:r>
      <w:r>
        <w:rPr>
          <w:b/>
        </w:rPr>
        <w:t xml:space="preserve">Posible fallo: </w:t>
      </w:r>
      <w:r>
        <w:t xml:space="preserve">La búsqueda no actualiza las tarjetas. </w:t>
      </w:r>
      <w:r>
        <w:rPr>
          <w:b/>
        </w:rPr>
        <w:t>Resultado real: APROBADA.</w:t>
      </w:r>
    </w:p>
    <w:p>
      <w:pPr>
        <w:pStyle w:val="Heading2"/>
      </w:pPr>
      <w:r>
        <w:t>P64. Combina filtros por área y comuna</w:t>
      </w:r>
    </w:p>
    <w:p>
      <w:r>
        <w:rPr>
          <w:b/>
        </w:rPr>
        <w:t xml:space="preserve">Preparación: </w:t>
      </w:r>
      <w:r>
        <w:t xml:space="preserve">Contar con ofertas de distintas áreas y comunas. </w:t>
      </w:r>
      <w:r>
        <w:rPr>
          <w:b/>
        </w:rPr>
        <w:t xml:space="preserve">Acción: </w:t>
      </w:r>
      <w:r>
        <w:t xml:space="preserve">Aplicar los dos criterios de búsqueda. </w:t>
      </w:r>
      <w:r>
        <w:rPr>
          <w:b/>
        </w:rPr>
        <w:t xml:space="preserve">Resultado esperado: </w:t>
      </w:r>
      <w:r>
        <w:t xml:space="preserve">Solo se devuelven las ofertas que satisfacen ambos. </w:t>
      </w:r>
      <w:r>
        <w:rPr>
          <w:b/>
        </w:rPr>
        <w:t xml:space="preserve">Posible fallo: </w:t>
      </w:r>
      <w:r>
        <w:t xml:space="preserve">Se ignora alguno de los filtros combinados. </w:t>
      </w:r>
      <w:r>
        <w:rPr>
          <w:b/>
        </w:rPr>
        <w:t>Resultado real: APROBADA.</w:t>
      </w:r>
    </w:p>
    <w:p>
      <w:pPr>
        <w:pStyle w:val="Heading2"/>
      </w:pPr>
      <w:r>
        <w:t>P36. Impide guardar una oferta con datos inválidos</w:t>
      </w:r>
    </w:p>
    <w:p>
      <w:r>
        <w:rPr>
          <w:b/>
        </w:rPr>
        <w:t xml:space="preserve">Preparación: </w:t>
      </w:r>
      <w:r>
        <w:t xml:space="preserve">Abrir el formulario administrativo. </w:t>
      </w:r>
      <w:r>
        <w:rPr>
          <w:b/>
        </w:rPr>
        <w:t xml:space="preserve">Acción: </w:t>
      </w:r>
      <w:r>
        <w:t xml:space="preserve">Completarlo con valores no válidos e intentar guardar. </w:t>
      </w:r>
      <w:r>
        <w:rPr>
          <w:b/>
        </w:rPr>
        <w:t xml:space="preserve">Resultado esperado: </w:t>
      </w:r>
      <w:r>
        <w:t xml:space="preserve">Se muestra la validación y no se crea el registro. </w:t>
      </w:r>
      <w:r>
        <w:rPr>
          <w:b/>
        </w:rPr>
        <w:t xml:space="preserve">Posible fallo: </w:t>
      </w:r>
      <w:r>
        <w:t xml:space="preserve">Se guarda una oferta con datos obligatorios erróneos. </w:t>
      </w:r>
      <w:r>
        <w:rPr>
          <w:b/>
        </w:rPr>
        <w:t>Resultado real: APROBADA.</w:t>
      </w:r>
    </w:p>
    <w:p>
      <w:pPr>
        <w:pStyle w:val="Heading2"/>
      </w:pPr>
      <w:r>
        <w:t>P29. Guarda las ofertas con la clave correcta del almacenamiento</w:t>
      </w:r>
    </w:p>
    <w:p>
      <w:r>
        <w:rPr>
          <w:b/>
        </w:rPr>
        <w:t xml:space="preserve">Preparación: </w:t>
      </w:r>
      <w:r>
        <w:t xml:space="preserve">Preparar almacenamiento local y espiar setItem. </w:t>
      </w:r>
      <w:r>
        <w:rPr>
          <w:b/>
        </w:rPr>
        <w:t xml:space="preserve">Acción: </w:t>
      </w:r>
      <w:r>
        <w:t xml:space="preserve">Guardar cambios por medio del repositorio. </w:t>
      </w:r>
      <w:r>
        <w:rPr>
          <w:b/>
        </w:rPr>
        <w:t xml:space="preserve">Resultado esperado: </w:t>
      </w:r>
      <w:r>
        <w:t xml:space="preserve">Se invoca la clave esperada y se conserva el contenido. </w:t>
      </w:r>
      <w:r>
        <w:rPr>
          <w:b/>
        </w:rPr>
        <w:t xml:space="preserve">Posible fallo: </w:t>
      </w:r>
      <w:r>
        <w:t xml:space="preserve">Se guarda bajo otra clave o no se llama al almacenamiento. </w:t>
      </w:r>
      <w:r>
        <w:rPr>
          <w:b/>
        </w:rPr>
        <w:t>Resultado real: APROBADA.</w:t>
      </w:r>
    </w:p>
    <w:p>
      <w:pPr>
        <w:pStyle w:val="Heading2"/>
      </w:pPr>
      <w:r>
        <w:t>P37. Organiza el formulario con columnas responsivas de Bootstrap</w:t>
      </w:r>
    </w:p>
    <w:p>
      <w:r>
        <w:rPr>
          <w:b/>
        </w:rPr>
        <w:t xml:space="preserve">Preparación: </w:t>
      </w:r>
      <w:r>
        <w:t xml:space="preserve">Renderizar el formulario de edición de ofertas. </w:t>
      </w:r>
      <w:r>
        <w:rPr>
          <w:b/>
        </w:rPr>
        <w:t xml:space="preserve">Acción: </w:t>
      </w:r>
      <w:r>
        <w:t xml:space="preserve">Inspeccionar las clases de sus columnas. </w:t>
      </w:r>
      <w:r>
        <w:rPr>
          <w:b/>
        </w:rPr>
        <w:t xml:space="preserve">Resultado esperado: </w:t>
      </w:r>
      <w:r>
        <w:t xml:space="preserve">Están presentes las clases responsive verificadas. </w:t>
      </w:r>
      <w:r>
        <w:rPr>
          <w:b/>
        </w:rPr>
        <w:t xml:space="preserve">Posible fallo: </w:t>
      </w:r>
      <w:r>
        <w:t xml:space="preserve">Faltan clases de columna de Bootstrap. </w:t>
      </w:r>
      <w:r>
        <w:rPr>
          <w:b/>
        </w:rPr>
        <w:t>Resultado real: APROBADA.</w:t>
      </w:r>
    </w:p>
    <w:p>
      <w:pPr>
        <w:pStyle w:val="Heading2"/>
      </w:pPr>
      <w:r>
        <w:t>P55. Muestra error contextual al enviar Contacto vacío</w:t>
      </w:r>
    </w:p>
    <w:p>
      <w:r>
        <w:rPr>
          <w:b/>
        </w:rPr>
        <w:t xml:space="preserve">Preparación: </w:t>
      </w:r>
      <w:r>
        <w:t xml:space="preserve">Abrir el formulario de contacto. </w:t>
      </w:r>
      <w:r>
        <w:rPr>
          <w:b/>
        </w:rPr>
        <w:t xml:space="preserve">Acción: </w:t>
      </w:r>
      <w:r>
        <w:t xml:space="preserve">Intentar enviarlo sin completar los campos. </w:t>
      </w:r>
      <w:r>
        <w:rPr>
          <w:b/>
        </w:rPr>
        <w:t xml:space="preserve">Resultado esperado: </w:t>
      </w:r>
      <w:r>
        <w:t xml:space="preserve">Se muestran los mensajes de error correspondientes. </w:t>
      </w:r>
      <w:r>
        <w:rPr>
          <w:b/>
        </w:rPr>
        <w:t xml:space="preserve">Posible fallo: </w:t>
      </w:r>
      <w:r>
        <w:t xml:space="preserve">Se omiten errores al enviar un contacto vacío. </w:t>
      </w:r>
      <w:r>
        <w:rPr>
          <w:b/>
        </w:rPr>
        <w:t>Resultado real: APROBADA.</w:t>
      </w:r>
    </w:p>
    <w:p>
      <w:pPr>
        <w:pStyle w:val="Heading1"/>
      </w:pPr>
      <w:r>
        <w:t>5. Registro numerado de las 78 pruebas</w:t>
      </w:r>
    </w:p>
    <w:p>
      <w:r>
        <w:t>Se presenta el conjunto completo, agrupado según la funcionalidad evaluada. Todos los casos quedaron aprobados; las fallas de la tabla son situaciones hipotéticas que indican qué se busca prevenir.</w:t>
      </w:r>
    </w:p>
    <w:p>
      <w:pPr>
        <w:pStyle w:val="Heading2"/>
      </w:pPr>
      <w:r>
        <w:t>Navegación y páginas públicas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P01</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la portada y la navegación principal</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portada o el menú no aparecen.</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P02</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Muestra la página Nosotros</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ruta Nosotros no muestra el contenido.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P03</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ambas novedades y acceso a detalles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Falta una novedad o su enlace de detalle.</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P04</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Muestra ruta de página inexistente</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Una dirección desconocida deja la pantalla en blanco.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Estado y comparación de ofertas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P05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Agrega a comparar y evita duplicados al pulsar dos veces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Una oferta se añade dos veces a la comparación.</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P06</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Actualiza inmediatamente las listas al crear una oferta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listado no refleja la oferta recién creada.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P07</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Persiste selección de comparación en LocalStorage</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selección se pierde al recuperar el almacenamiento.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P08</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Permite comparar como máximo tres ofertas equivalentes como en EP1</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permiten más de tres ofertas comparables.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P09</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No mezcla carreras de distintos grupos de comparación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comparan carreras de grupos incompatibles.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P10</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Actualiza las ofertas cuando otra pestaña modifica el almacenamiento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Los cambios de otra pestaña no se reflejan.</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Datos iniciales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P11</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Conserva las 21 ofertas y sus identificadores originales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Faltan ofertas o cambian sus identificadores.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P12</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Incluye cuentas de ejemplo de los tres roles del proyecto original</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Falta un usuario de alguno de los tres roles.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Sesiones y roles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P13</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Inicia sesión con una cuenta activa y dirige al panel de su rol</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Una cuenta activa no puede acceder a su panel.</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P14</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Rechaza contraseñas incorrectas y cuentas inactivas</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admite una clave incorrecta o una cuenta inactiva.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P15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Cierra la sesión y no recupera cuentas eliminadas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sesión sigue abierta o reaparece una cuenta eliminada.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Solicitudes de orientación</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P16</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Crea la solicitud con estado pendiente, historial y notificación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solicitud no queda pendiente ni registra su historial.</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P17</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Solo permite a un orientador tomar solicitudes disponibles</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 usuario sin el rol requerido toma la solicitud.</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P18</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No permite a otros estudiantes cancelar solicitudes ajenas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Un estudiante modifica solicitudes ajenas.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P19</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Valida fecha futura y resultado antes de finalizar</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acepta una fecha anterior o se cierra sin resultado.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P20</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Permite reprogramar con una fecha válida y marcar las notificaciones leídas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admite fecha inválida o no se marcan avisos leídos.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P21</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Conserva las ofertas comparadas al solicitar orientación</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solicitud pierde las ofertas comparadas.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Repositorios y operaciones CRUD</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P22</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Entrega ofertas iniciales al comenzar con almacenamiento vacío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aparecen los datos iniciales con almacenamiento vacío.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P23</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Lee una oferta por identificador</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consulta entrega otra oferta o ninguna.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P24</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Crea una oferta y la incorpora a la lista</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El registro creado no figura en la lista.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P25</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Rechaza un identificador de oferta duplicado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aceptan dos ofertas con el mismo identificador.</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P26</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Actualiza una oferta sin cambiar las demás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edición altera registros diferentes.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P27</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Elimina una oferta y ya no permite consultarla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 registro eliminado continúa disponible.</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P28</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Persiste cambios entre nuevas instancias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Los datos se pierden al crear una nueva instancia.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P29</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Guarda las ofertas con la clave correcta del almacenamiento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guarda bajo otra clave o no se llama al almacenamiento.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P30</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Recupera datos iniciales si el almacenamiento contiene JSON inválido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Un JSON dañado bloquea la carga de ofertas.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P31</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Rechaza campos inválidos almacenados sin romper el catálogo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Registros inválidos se muestran o rompen la carga.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P32</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Crea y recupera un usuario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El usuario creado no puede recuperarse.</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P33</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Actualiza rol de un usuario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nuevo rol no queda guardado.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P34</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Elimina un usuario y conserva el resto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eliminación borra otro usuario o no borra el indicado.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Mantenedor de ofertas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el listado e inicia el flujo de eliminación confirmado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aparece el listado o se elimina sin confirmación.</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P36</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Impide guardar una oferta con datos inválidos</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guarda una oferta con datos obligatorios erróneos.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P37</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Organiza el formulario con columnas responsivas de Bootstrap</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Faltan clases de columna de Bootstrap.</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P38</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Crea una oferta desde el formulario y actualiza el listado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formulario no incorpora la nueva oferta al listado.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P39</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Edita una oferta existente y refleja el nombre actualizado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edición no modifica el nombre mostrado.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P40</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Permite actualizar los cupos disponibles de una oferta original</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Los cupos editados no quedan actualizados.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Catálogo y filtros visuales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P41</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Renderiza todas las ofertas iniciales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se muestran todas las ofertas iniciales.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P42</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Filtra por texto y actualiza las tarjetas</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búsqueda no actualiza las tarjetas.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P43</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estado vacío y permite limpiar filtros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aparece el mensaje vacío o falla limpiar filtros.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P44</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Muestra estado no encontrado para identificador inexistente</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detalle inexistente muestra datos incorrectos.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Pantalla de comparación</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P45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Explica qué hacer cuando aún no hay ofertas seleccionadas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pantalla vacía no orienta al usuario.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P46</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Permite eliminar una oferta previamente agregada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Una oferta quitada sigue apareciendo.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Flujos de estudiante y orientador</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P47</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Protege la vista de estudiante cuando no existe sesión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El panel estudiantil queda accesible sin sesión.</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P48</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Permite iniciar sesión como estudiante y abrir su panel</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estudiante no accede a su panel tras entrar.</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P49</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las sedes que ya existían en el mapa EP1</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El mapa omite sedes presentes en el proyecto original.</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P50</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Envía una consulta desde la vista de estudiante y muestra el historial</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consulta no figura en el historial.</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P51</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Permite que el orientador tome una solicitud y cierre la atención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El orientador no puede tomar o cerrar una solicitud.</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P52</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Impide que un estudiante entre al panel administrativo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 estudiante ingresa al panel administrativo.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P53</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Actualiza el mapa y el enlace al catálogo al seleccionar una sede</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Cambiar de sede no actualiza el mapa o el enlace.</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P54</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Mantiene las dos alternativas del comparador dentro de la solicitud</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solicitud no conserva las dos ofertas seleccionadas.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2"/>
      </w:pPr>
      <w:r>
        <w:t>Formularios y mensajes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P55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error contextual al enviar Contacto vacío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omiten errores al enviar un contacto vacío.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P56</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Muestra éxito al ingresar datos correctos en Contacto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 formulario válido no confirma el envío.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P57</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No simula un login exitoso con correo inválido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acepta un correo inválido como ingreso correcto.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Registro y mantención de usuarios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P58</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Cambia las comunas al elegir región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Las comunas no corresponden a la región escogida.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P59</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Bloquea registro con RUN inválido y muestra mensaje contextual</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registra un RUN inválido o falta su advertencia.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P60</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usuarios y elimina uno con confirmación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se listan usuarios o falla la baja confirmada.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P61</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Edita el rol de un usuario en el mantenedor</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El rol elegido no aparece actualizado.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P62</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Permite desactivar y volver a activar un usuario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cambia el estado activo del usuario.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Filtros de búsqueda</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P63</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Encuentra carreras ignorando mayúsculas y tildes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búsqueda distingue tildes o mayúsculas indebidamente.</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P64</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Combina filtros por área y comuna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ignora alguno de los filtros combinados.</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P65</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Devuelve lista vacía para una búsqueda sin coincidencias</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muestran registros para una búsqueda sin resultados.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Reglas de validación</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P66</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Acepta un RUN con dígito verificador correcto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rechaza un RUN válido.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P67</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Rechaza un RUN con dígito verificador incorrecto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acepta un dígito verificador incorrecto.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P68</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Valida correo y contraseña obligatorios en Login</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omiten errores de correo o contraseña vacíos.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P69</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Acepta login con correo válido y contraseña de rango permitido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rechazan credenciales con formato permitido.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P70</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Detecta comentario vacío sin marcar el resto de Contacto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No se avisa de un comentario vacío.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P71</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Acepta formulario de contacto completo</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rechaza un contacto correctamente completado.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P72</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Detecta registro sin comuna ni RUN válido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acepta registro sin comuna o con RUN inválido.</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P73</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Rechaza arancel negativo en una oferta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Se admite un arancel negativo.</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P74</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Rechaza una oferta sin carrera y con duración inválida</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admite una oferta sin carrera o duración válida.</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P75</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Acepta una oferta académica completa</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Una oferta completa es rechazada.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P76</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Rechaza cupos negativos y un umbral de cupos que no sea entero</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Se admiten cupos negativos o cantidades decimales.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bl>
    <w:p>
      <w:pPr>
        <w:spacing w:after="0"/>
      </w:pPr>
    </w:p>
    <w:p>
      <w:pPr>
        <w:pStyle w:val="Heading2"/>
      </w:pPr>
      <w:r>
        <w:t>Tarjeta de oferta y propiedades</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737"/>
        <w:gridCol w:w="4025"/>
        <w:gridCol w:w="3458"/>
        <w:gridCol w:w="1134"/>
      </w:tblGrid>
      <w:tr>
        <w:trPr>
          <w:tblHeader w:val="true"/>
        </w:trPr>
        <w:tc>
          <w:tcPr>
            <w:tcW w:type="dxa" w:w="737"/>
            <w:shd w:fill="E6ECEF"/>
            <w:tcMar>
              <w:top w:w="100" w:type="dxa"/>
              <w:bottom w:w="100" w:type="dxa"/>
              <w:left w:w="100" w:type="dxa"/>
              <w:right w:w="100" w:type="dxa"/>
            </w:tcMar>
          </w:tcPr>
          <w:p>
            <w:pPr>
              <w:spacing w:after="0"/>
            </w:pPr>
            <w:r>
              <w:rPr>
                <w:rFonts w:ascii="Calibri" w:hAnsi="Calibri"/>
                <w:b/>
                <w:sz w:val="17"/>
              </w:rPr>
              <w:t>N.º</w:t>
            </w:r>
          </w:p>
        </w:tc>
        <w:tc>
          <w:tcPr>
            <w:tcW w:type="dxa" w:w="4025"/>
            <w:shd w:fill="E6ECEF"/>
            <w:tcMar>
              <w:top w:w="100" w:type="dxa"/>
              <w:bottom w:w="100" w:type="dxa"/>
              <w:left w:w="100" w:type="dxa"/>
              <w:right w:w="100" w:type="dxa"/>
            </w:tcMar>
          </w:tcPr>
          <w:p>
            <w:pPr>
              <w:spacing w:after="0"/>
            </w:pPr>
            <w:r>
              <w:rPr>
                <w:rFonts w:ascii="Calibri" w:hAnsi="Calibri"/>
                <w:b/>
                <w:sz w:val="17"/>
              </w:rPr>
              <w:t>Función y comportamiento esperado</w:t>
            </w:r>
          </w:p>
        </w:tc>
        <w:tc>
          <w:tcPr>
            <w:tcW w:type="dxa" w:w="3458"/>
            <w:shd w:fill="E6ECEF"/>
            <w:tcMar>
              <w:top w:w="100" w:type="dxa"/>
              <w:bottom w:w="100" w:type="dxa"/>
              <w:left w:w="100" w:type="dxa"/>
              <w:right w:w="100" w:type="dxa"/>
            </w:tcMar>
          </w:tcPr>
          <w:p>
            <w:pPr>
              <w:spacing w:after="0"/>
            </w:pPr>
            <w:r>
              <w:rPr>
                <w:rFonts w:ascii="Calibri" w:hAnsi="Calibri"/>
                <w:b/>
                <w:sz w:val="17"/>
              </w:rPr>
              <w:t>Posible fallo detectado</w:t>
            </w:r>
          </w:p>
        </w:tc>
        <w:tc>
          <w:tcPr>
            <w:tcW w:type="dxa" w:w="1134"/>
            <w:shd w:fill="E6ECEF"/>
            <w:tcMar>
              <w:top w:w="100" w:type="dxa"/>
              <w:bottom w:w="100" w:type="dxa"/>
              <w:left w:w="100" w:type="dxa"/>
              <w:right w:w="100" w:type="dxa"/>
            </w:tcMar>
          </w:tcPr>
          <w:p>
            <w:pPr>
              <w:spacing w:after="0"/>
            </w:pPr>
            <w:r>
              <w:rPr>
                <w:rFonts w:ascii="Calibri" w:hAnsi="Calibri"/>
                <w:b/>
                <w:sz w:val="17"/>
              </w:rPr>
              <w:t>Resultado</w:t>
            </w:r>
          </w:p>
        </w:tc>
      </w:tr>
      <w:tr>
        <w:trPr>
          <w:cantSplit/>
        </w:trPr>
        <w:tc>
          <w:tcPr>
            <w:tcW w:type="dxa" w:w="737"/>
            <w:vAlign w:val="center"/>
            <w:tcMar>
              <w:top w:w="100" w:type="dxa"/>
              <w:bottom w:w="100" w:type="dxa"/>
              <w:left w:w="100" w:type="dxa"/>
              <w:right w:w="100" w:type="dxa"/>
            </w:tcMar>
          </w:tcPr>
          <w:p>
            <w:pPr>
              <w:spacing w:after="0" w:line="271" w:lineRule="auto"/>
              <w:jc w:val="center"/>
            </w:pPr>
            <w:r>
              <w:rPr>
                <w:rFonts w:ascii="Calibri" w:hAnsi="Calibri"/>
                <w:sz w:val="17"/>
              </w:rPr>
              <w:t>P77</w:t>
            </w:r>
          </w:p>
        </w:tc>
        <w:tc>
          <w:tcPr>
            <w:tcW w:type="dxa" w:w="4025"/>
            <w:vAlign w:val="center"/>
            <w:tcMar>
              <w:top w:w="100" w:type="dxa"/>
              <w:bottom w:w="100" w:type="dxa"/>
              <w:left w:w="100" w:type="dxa"/>
              <w:right w:w="100" w:type="dxa"/>
            </w:tcMar>
          </w:tcPr>
          <w:p>
            <w:pPr>
              <w:spacing w:after="0" w:line="271" w:lineRule="auto"/>
            </w:pPr>
            <w:r>
              <w:rPr>
                <w:rFonts w:ascii="Calibri" w:hAnsi="Calibri"/>
                <w:sz w:val="17"/>
              </w:rPr>
              <w:t>Muestra las propiedades tipadas de una oferta</w:t>
            </w:r>
          </w:p>
        </w:tc>
        <w:tc>
          <w:tcPr>
            <w:tcW w:type="dxa" w:w="3458"/>
            <w:vAlign w:val="center"/>
            <w:tcMar>
              <w:top w:w="100" w:type="dxa"/>
              <w:bottom w:w="100" w:type="dxa"/>
              <w:left w:w="100" w:type="dxa"/>
              <w:right w:w="100" w:type="dxa"/>
            </w:tcMar>
          </w:tcPr>
          <w:p>
            <w:pPr>
              <w:spacing w:after="0" w:line="271" w:lineRule="auto"/>
            </w:pPr>
            <w:r>
              <w:rPr>
                <w:rFonts w:ascii="Calibri" w:hAnsi="Calibri"/>
                <w:sz w:val="17"/>
              </w:rPr>
              <w:t>La tarjeta omite datos recibidos por propiedades.</w:t>
            </w:r>
          </w:p>
        </w:tc>
        <w:tc>
          <w:tcPr>
            <w:tcW w:type="dxa" w:w="1134"/>
            <w:vAlign w:val="center"/>
            <w:tcMar>
              <w:top w:w="100" w:type="dxa"/>
              <w:bottom w:w="100" w:type="dxa"/>
              <w:left w:w="100" w:type="dxa"/>
              <w:right w:w="100" w:type="dxa"/>
            </w:tcMar>
          </w:tcPr>
          <w:p>
            <w:pPr>
              <w:spacing w:after="0" w:line="271" w:lineRule="auto"/>
              <w:jc w:val="center"/>
            </w:pPr>
            <w:r>
              <w:rPr>
                <w:rFonts w:ascii="Calibri" w:hAnsi="Calibri"/>
                <w:sz w:val="17"/>
              </w:rPr>
              <w:t>Aprobada</w:t>
            </w:r>
          </w:p>
        </w:tc>
      </w:tr>
      <w:tr>
        <w:trPr>
          <w:cantSplit/>
        </w:trPr>
        <w:tc>
          <w:tcPr>
            <w:tcW w:type="dxa" w:w="737"/>
            <w:vAlign w:val="center"/>
            <w:tcMar>
              <w:top w:w="100" w:type="dxa"/>
              <w:bottom w:w="100" w:type="dxa"/>
              <w:left w:w="100" w:type="dxa"/>
              <w:right w:w="100" w:type="dxa"/>
            </w:tcMar>
            <w:shd w:fill="F7F9FA"/>
          </w:tcPr>
          <w:p>
            <w:pPr>
              <w:spacing w:after="0" w:line="271" w:lineRule="auto"/>
              <w:jc w:val="center"/>
            </w:pPr>
            <w:r>
              <w:rPr>
                <w:rFonts w:ascii="Calibri" w:hAnsi="Calibri"/>
                <w:sz w:val="17"/>
              </w:rPr>
              <w:t>P78</w:t>
            </w:r>
          </w:p>
        </w:tc>
        <w:tc>
          <w:tcPr>
            <w:tcW w:type="dxa" w:w="4025"/>
            <w:vAlign w:val="center"/>
            <w:tcMar>
              <w:top w:w="100" w:type="dxa"/>
              <w:bottom w:w="100" w:type="dxa"/>
              <w:left w:w="100" w:type="dxa"/>
              <w:right w:w="100" w:type="dxa"/>
            </w:tcMar>
            <w:shd w:fill="F7F9FA"/>
          </w:tcPr>
          <w:p>
            <w:pPr>
              <w:spacing w:after="0" w:line="271" w:lineRule="auto"/>
            </w:pPr>
            <w:r>
              <w:rPr>
                <w:rFonts w:ascii="Calibri" w:hAnsi="Calibri"/>
                <w:sz w:val="17"/>
              </w:rPr>
              <w:t>Marca y desmarca una oferta al comparar</w:t>
            </w:r>
          </w:p>
        </w:tc>
        <w:tc>
          <w:tcPr>
            <w:tcW w:type="dxa" w:w="3458"/>
            <w:vAlign w:val="center"/>
            <w:tcMar>
              <w:top w:w="100" w:type="dxa"/>
              <w:bottom w:w="100" w:type="dxa"/>
              <w:left w:w="100" w:type="dxa"/>
              <w:right w:w="100" w:type="dxa"/>
            </w:tcMar>
            <w:shd w:fill="F7F9FA"/>
          </w:tcPr>
          <w:p>
            <w:pPr>
              <w:spacing w:after="0" w:line="271" w:lineRule="auto"/>
            </w:pPr>
            <w:r>
              <w:rPr>
                <w:rFonts w:ascii="Calibri" w:hAnsi="Calibri"/>
                <w:sz w:val="17"/>
              </w:rPr>
              <w:t>La opción comparar no cambia al pulsarla.</w:t>
            </w:r>
          </w:p>
        </w:tc>
        <w:tc>
          <w:tcPr>
            <w:tcW w:type="dxa" w:w="1134"/>
            <w:vAlign w:val="center"/>
            <w:tcMar>
              <w:top w:w="100" w:type="dxa"/>
              <w:bottom w:w="100" w:type="dxa"/>
              <w:left w:w="100" w:type="dxa"/>
              <w:right w:w="100" w:type="dxa"/>
            </w:tcMar>
            <w:shd w:fill="F7F9FA"/>
          </w:tcPr>
          <w:p>
            <w:pPr>
              <w:spacing w:after="0" w:line="271" w:lineRule="auto"/>
              <w:jc w:val="center"/>
            </w:pPr>
            <w:r>
              <w:rPr>
                <w:rFonts w:ascii="Calibri" w:hAnsi="Calibri"/>
                <w:sz w:val="17"/>
              </w:rPr>
              <w:t>Aprobada</w:t>
            </w:r>
          </w:p>
        </w:tc>
      </w:tr>
    </w:tbl>
    <w:p>
      <w:pPr>
        <w:spacing w:after="0"/>
      </w:pPr>
    </w:p>
    <w:p>
      <w:pPr>
        <w:pStyle w:val="Heading1"/>
      </w:pPr>
      <w:r>
        <w:t>6. Evidencias gráficas</w:t>
      </w:r>
    </w:p>
    <w:p>
      <w:pPr>
        <w:keepNext/>
        <w:jc w:val="center"/>
      </w:pPr>
      <w:r>
        <w:drawing>
          <wp:inline xmlns:a="http://schemas.openxmlformats.org/drawingml/2006/main" xmlns:pic="http://schemas.openxmlformats.org/drawingml/2006/picture">
            <wp:extent cx="5832000" cy="3575571"/>
            <wp:docPr id="2" name="Picture 2"/>
            <wp:cNvGraphicFramePr>
              <a:graphicFrameLocks noChangeAspect="1"/>
            </wp:cNvGraphicFramePr>
            <a:graphic>
              <a:graphicData uri="http://schemas.openxmlformats.org/drawingml/2006/picture">
                <pic:pic>
                  <pic:nvPicPr>
                    <pic:cNvPr id="0" name="02_casos_aprobados.png"/>
                    <pic:cNvPicPr/>
                  </pic:nvPicPr>
                  <pic:blipFill>
                    <a:blip r:embed="rId11"/>
                    <a:stretch>
                      <a:fillRect/>
                    </a:stretch>
                  </pic:blipFill>
                  <pic:spPr>
                    <a:xfrm>
                      <a:off x="0" y="0"/>
                      <a:ext cx="5832000" cy="3575571"/>
                    </a:xfrm>
                    <a:prstGeom prst="rect"/>
                  </pic:spPr>
                </pic:pic>
              </a:graphicData>
            </a:graphic>
          </wp:inline>
        </w:drawing>
      </w:r>
    </w:p>
    <w:p>
      <w:pPr>
        <w:spacing w:before="40" w:after="200"/>
        <w:jc w:val="center"/>
      </w:pPr>
      <w:r>
        <w:rPr>
          <w:rFonts w:ascii="Calibri" w:hAnsi="Calibri"/>
          <w:i/>
          <w:sz w:val="17"/>
        </w:rPr>
        <w:t>Figura 2. Muestra de diez casos aprobados, obtenida de los resultados estructurados de Vitest.</w:t>
      </w:r>
    </w:p>
    <w:p>
      <w:pPr>
        <w:keepNext/>
        <w:jc w:val="center"/>
      </w:pPr>
      <w:r>
        <w:drawing>
          <wp:inline xmlns:a="http://schemas.openxmlformats.org/drawingml/2006/main" xmlns:pic="http://schemas.openxmlformats.org/drawingml/2006/picture">
            <wp:extent cx="5832000" cy="3124286"/>
            <wp:docPr id="3" name="Picture 3"/>
            <wp:cNvGraphicFramePr>
              <a:graphicFrameLocks noChangeAspect="1"/>
            </wp:cNvGraphicFramePr>
            <a:graphic>
              <a:graphicData uri="http://schemas.openxmlformats.org/drawingml/2006/picture">
                <pic:pic>
                  <pic:nvPicPr>
                    <pic:cNvPr id="0" name="03_cobertura_vitest.png"/>
                    <pic:cNvPicPr/>
                  </pic:nvPicPr>
                  <pic:blipFill>
                    <a:blip r:embed="rId12"/>
                    <a:stretch>
                      <a:fillRect/>
                    </a:stretch>
                  </pic:blipFill>
                  <pic:spPr>
                    <a:xfrm>
                      <a:off x="0" y="0"/>
                      <a:ext cx="5832000" cy="3124286"/>
                    </a:xfrm>
                    <a:prstGeom prst="rect"/>
                  </pic:spPr>
                </pic:pic>
              </a:graphicData>
            </a:graphic>
          </wp:inline>
        </w:drawing>
      </w:r>
    </w:p>
    <w:p>
      <w:pPr>
        <w:spacing w:before="40" w:after="200"/>
        <w:jc w:val="center"/>
      </w:pPr>
      <w:r>
        <w:rPr>
          <w:rFonts w:ascii="Calibri" w:hAnsi="Calibri"/>
          <w:i/>
          <w:sz w:val="17"/>
        </w:rPr>
        <w:t>Figura 3. Porcentajes y cantidades reportadas por la herramienta de cobertura v8.</w:t>
      </w:r>
    </w:p>
    <w:p>
      <w:pPr>
        <w:pStyle w:val="Heading1"/>
      </w:pPr>
      <w:r>
        <w:t>7. Cobertura y archivos evaluados</w:t>
      </w:r>
    </w:p>
    <w:p>
      <w:r>
        <w:t>Vitest calcula cobertura sobre los módulos funcionales de src. El reporte incluye líneas, sentencias, ramas y funciones ejecutadas. Quedan fuera las dependencias de terceros, archivos de configuración, recursos estáticos y salida de compilación dist.</w:t>
      </w:r>
    </w:p>
    <w:tbl>
      <w:tblPr>
        <w:tblW w:type="auto" w:w="0"/>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Pr>
      <w:tblGrid>
        <w:gridCol w:w="2835"/>
        <w:gridCol w:w="1928"/>
        <w:gridCol w:w="1928"/>
        <w:gridCol w:w="2665"/>
      </w:tblGrid>
      <w:tr>
        <w:trPr>
          <w:tblHeader w:val="true"/>
        </w:trPr>
        <w:tc>
          <w:tcPr>
            <w:tcW w:type="dxa" w:w="2835"/>
            <w:shd w:fill="E6ECEF"/>
            <w:tcMar>
              <w:top w:w="100" w:type="dxa"/>
              <w:bottom w:w="100" w:type="dxa"/>
              <w:left w:w="100" w:type="dxa"/>
              <w:right w:w="100" w:type="dxa"/>
            </w:tcMar>
          </w:tcPr>
          <w:p>
            <w:pPr>
              <w:spacing w:after="0"/>
            </w:pPr>
            <w:r>
              <w:rPr>
                <w:rFonts w:ascii="Calibri" w:hAnsi="Calibri"/>
                <w:b/>
                <w:sz w:val="17"/>
              </w:rPr>
              <w:t>Indicador</w:t>
            </w:r>
          </w:p>
        </w:tc>
        <w:tc>
          <w:tcPr>
            <w:tcW w:type="dxa" w:w="1928"/>
            <w:shd w:fill="E6ECEF"/>
            <w:tcMar>
              <w:top w:w="100" w:type="dxa"/>
              <w:bottom w:w="100" w:type="dxa"/>
              <w:left w:w="100" w:type="dxa"/>
              <w:right w:w="100" w:type="dxa"/>
            </w:tcMar>
          </w:tcPr>
          <w:p>
            <w:pPr>
              <w:spacing w:after="0"/>
            </w:pPr>
            <w:r>
              <w:rPr>
                <w:rFonts w:ascii="Calibri" w:hAnsi="Calibri"/>
                <w:b/>
                <w:sz w:val="17"/>
              </w:rPr>
              <w:t>Cubierto</w:t>
            </w:r>
          </w:p>
        </w:tc>
        <w:tc>
          <w:tcPr>
            <w:tcW w:type="dxa" w:w="1928"/>
            <w:shd w:fill="E6ECEF"/>
            <w:tcMar>
              <w:top w:w="100" w:type="dxa"/>
              <w:bottom w:w="100" w:type="dxa"/>
              <w:left w:w="100" w:type="dxa"/>
              <w:right w:w="100" w:type="dxa"/>
            </w:tcMar>
          </w:tcPr>
          <w:p>
            <w:pPr>
              <w:spacing w:after="0"/>
            </w:pPr>
            <w:r>
              <w:rPr>
                <w:rFonts w:ascii="Calibri" w:hAnsi="Calibri"/>
                <w:b/>
                <w:sz w:val="17"/>
              </w:rPr>
              <w:t>Total</w:t>
            </w:r>
          </w:p>
        </w:tc>
        <w:tc>
          <w:tcPr>
            <w:tcW w:type="dxa" w:w="2665"/>
            <w:shd w:fill="E6ECEF"/>
            <w:tcMar>
              <w:top w:w="100" w:type="dxa"/>
              <w:bottom w:w="100" w:type="dxa"/>
              <w:left w:w="100" w:type="dxa"/>
              <w:right w:w="100" w:type="dxa"/>
            </w:tcMar>
          </w:tcPr>
          <w:p>
            <w:pPr>
              <w:spacing w:after="0"/>
            </w:pPr>
            <w:r>
              <w:rPr>
                <w:rFonts w:ascii="Calibri" w:hAnsi="Calibri"/>
                <w:b/>
                <w:sz w:val="17"/>
              </w:rPr>
              <w:t>Porcentaje</w:t>
            </w:r>
          </w:p>
        </w:tc>
      </w:tr>
      <w:tr>
        <w:trPr>
          <w:cantSplit/>
        </w:trPr>
        <w:tc>
          <w:tcPr>
            <w:tcW w:type="dxa" w:w="2835"/>
            <w:vAlign w:val="center"/>
            <w:tcMar>
              <w:top w:w="100" w:type="dxa"/>
              <w:bottom w:w="100" w:type="dxa"/>
              <w:left w:w="100" w:type="dxa"/>
              <w:right w:w="100" w:type="dxa"/>
            </w:tcMar>
          </w:tcPr>
          <w:p>
            <w:pPr>
              <w:spacing w:after="0" w:line="271" w:lineRule="auto"/>
              <w:jc w:val="center"/>
            </w:pPr>
            <w:r>
              <w:rPr>
                <w:rFonts w:ascii="Calibri" w:hAnsi="Calibri"/>
                <w:sz w:val="17"/>
              </w:rPr>
              <w:t>Líneas</w:t>
            </w:r>
          </w:p>
        </w:tc>
        <w:tc>
          <w:tcPr>
            <w:tcW w:type="dxa" w:w="1928"/>
            <w:vAlign w:val="center"/>
            <w:tcMar>
              <w:top w:w="100" w:type="dxa"/>
              <w:bottom w:w="100" w:type="dxa"/>
              <w:left w:w="100" w:type="dxa"/>
              <w:right w:w="100" w:type="dxa"/>
            </w:tcMar>
          </w:tcPr>
          <w:p>
            <w:pPr>
              <w:spacing w:after="0" w:line="271" w:lineRule="auto"/>
            </w:pPr>
            <w:r>
              <w:rPr>
                <w:rFonts w:ascii="Calibri" w:hAnsi="Calibri"/>
                <w:sz w:val="17"/>
              </w:rPr>
              <w:t>2465</w:t>
            </w:r>
          </w:p>
        </w:tc>
        <w:tc>
          <w:tcPr>
            <w:tcW w:type="dxa" w:w="1928"/>
            <w:vAlign w:val="center"/>
            <w:tcMar>
              <w:top w:w="100" w:type="dxa"/>
              <w:bottom w:w="100" w:type="dxa"/>
              <w:left w:w="100" w:type="dxa"/>
              <w:right w:w="100" w:type="dxa"/>
            </w:tcMar>
          </w:tcPr>
          <w:p>
            <w:pPr>
              <w:spacing w:after="0" w:line="271" w:lineRule="auto"/>
            </w:pPr>
            <w:r>
              <w:rPr>
                <w:rFonts w:ascii="Calibri" w:hAnsi="Calibri"/>
                <w:sz w:val="17"/>
              </w:rPr>
              <w:t>2672</w:t>
            </w:r>
          </w:p>
        </w:tc>
        <w:tc>
          <w:tcPr>
            <w:tcW w:type="dxa" w:w="2665"/>
            <w:vAlign w:val="center"/>
            <w:tcMar>
              <w:top w:w="100" w:type="dxa"/>
              <w:bottom w:w="100" w:type="dxa"/>
              <w:left w:w="100" w:type="dxa"/>
              <w:right w:w="100" w:type="dxa"/>
            </w:tcMar>
          </w:tcPr>
          <w:p>
            <w:pPr>
              <w:spacing w:after="0" w:line="271" w:lineRule="auto"/>
              <w:jc w:val="center"/>
            </w:pPr>
            <w:r>
              <w:rPr>
                <w:rFonts w:ascii="Calibri" w:hAnsi="Calibri"/>
                <w:sz w:val="17"/>
              </w:rPr>
              <w:t>92.25 %</w:t>
            </w:r>
          </w:p>
        </w:tc>
      </w:tr>
      <w:tr>
        <w:trPr>
          <w:cantSplit/>
        </w:trPr>
        <w:tc>
          <w:tcPr>
            <w:tcW w:type="dxa" w:w="2835"/>
            <w:vAlign w:val="center"/>
            <w:tcMar>
              <w:top w:w="100" w:type="dxa"/>
              <w:bottom w:w="100" w:type="dxa"/>
              <w:left w:w="100" w:type="dxa"/>
              <w:right w:w="100" w:type="dxa"/>
            </w:tcMar>
            <w:shd w:fill="F7F9FA"/>
          </w:tcPr>
          <w:p>
            <w:pPr>
              <w:spacing w:after="0" w:line="271" w:lineRule="auto"/>
              <w:jc w:val="center"/>
            </w:pPr>
            <w:r>
              <w:rPr>
                <w:rFonts w:ascii="Calibri" w:hAnsi="Calibri"/>
                <w:sz w:val="17"/>
              </w:rPr>
              <w:t>Sentencias</w:t>
            </w:r>
          </w:p>
        </w:tc>
        <w:tc>
          <w:tcPr>
            <w:tcW w:type="dxa" w:w="1928"/>
            <w:vAlign w:val="center"/>
            <w:tcMar>
              <w:top w:w="100" w:type="dxa"/>
              <w:bottom w:w="100" w:type="dxa"/>
              <w:left w:w="100" w:type="dxa"/>
              <w:right w:w="100" w:type="dxa"/>
            </w:tcMar>
            <w:shd w:fill="F7F9FA"/>
          </w:tcPr>
          <w:p>
            <w:pPr>
              <w:spacing w:after="0" w:line="271" w:lineRule="auto"/>
            </w:pPr>
            <w:r>
              <w:rPr>
                <w:rFonts w:ascii="Calibri" w:hAnsi="Calibri"/>
                <w:sz w:val="17"/>
              </w:rPr>
              <w:t>2465</w:t>
            </w:r>
          </w:p>
        </w:tc>
        <w:tc>
          <w:tcPr>
            <w:tcW w:type="dxa" w:w="1928"/>
            <w:vAlign w:val="center"/>
            <w:tcMar>
              <w:top w:w="100" w:type="dxa"/>
              <w:bottom w:w="100" w:type="dxa"/>
              <w:left w:w="100" w:type="dxa"/>
              <w:right w:w="100" w:type="dxa"/>
            </w:tcMar>
            <w:shd w:fill="F7F9FA"/>
          </w:tcPr>
          <w:p>
            <w:pPr>
              <w:spacing w:after="0" w:line="271" w:lineRule="auto"/>
            </w:pPr>
            <w:r>
              <w:rPr>
                <w:rFonts w:ascii="Calibri" w:hAnsi="Calibri"/>
                <w:sz w:val="17"/>
              </w:rPr>
              <w:t>2672</w:t>
            </w:r>
          </w:p>
        </w:tc>
        <w:tc>
          <w:tcPr>
            <w:tcW w:type="dxa" w:w="2665"/>
            <w:vAlign w:val="center"/>
            <w:tcMar>
              <w:top w:w="100" w:type="dxa"/>
              <w:bottom w:w="100" w:type="dxa"/>
              <w:left w:w="100" w:type="dxa"/>
              <w:right w:w="100" w:type="dxa"/>
            </w:tcMar>
            <w:shd w:fill="F7F9FA"/>
          </w:tcPr>
          <w:p>
            <w:pPr>
              <w:spacing w:after="0" w:line="271" w:lineRule="auto"/>
              <w:jc w:val="center"/>
            </w:pPr>
            <w:r>
              <w:rPr>
                <w:rFonts w:ascii="Calibri" w:hAnsi="Calibri"/>
                <w:sz w:val="17"/>
              </w:rPr>
              <w:t>92.25 %</w:t>
            </w:r>
          </w:p>
        </w:tc>
      </w:tr>
      <w:tr>
        <w:trPr>
          <w:cantSplit/>
        </w:trPr>
        <w:tc>
          <w:tcPr>
            <w:tcW w:type="dxa" w:w="2835"/>
            <w:vAlign w:val="center"/>
            <w:tcMar>
              <w:top w:w="100" w:type="dxa"/>
              <w:bottom w:w="100" w:type="dxa"/>
              <w:left w:w="100" w:type="dxa"/>
              <w:right w:w="100" w:type="dxa"/>
            </w:tcMar>
          </w:tcPr>
          <w:p>
            <w:pPr>
              <w:spacing w:after="0" w:line="271" w:lineRule="auto"/>
              <w:jc w:val="center"/>
            </w:pPr>
            <w:r>
              <w:rPr>
                <w:rFonts w:ascii="Calibri" w:hAnsi="Calibri"/>
                <w:sz w:val="17"/>
              </w:rPr>
              <w:t>Ramas</w:t>
            </w:r>
          </w:p>
        </w:tc>
        <w:tc>
          <w:tcPr>
            <w:tcW w:type="dxa" w:w="1928"/>
            <w:vAlign w:val="center"/>
            <w:tcMar>
              <w:top w:w="100" w:type="dxa"/>
              <w:bottom w:w="100" w:type="dxa"/>
              <w:left w:w="100" w:type="dxa"/>
              <w:right w:w="100" w:type="dxa"/>
            </w:tcMar>
          </w:tcPr>
          <w:p>
            <w:pPr>
              <w:spacing w:after="0" w:line="271" w:lineRule="auto"/>
            </w:pPr>
            <w:r>
              <w:rPr>
                <w:rFonts w:ascii="Calibri" w:hAnsi="Calibri"/>
                <w:sz w:val="17"/>
              </w:rPr>
              <w:t>456</w:t>
            </w:r>
          </w:p>
        </w:tc>
        <w:tc>
          <w:tcPr>
            <w:tcW w:type="dxa" w:w="1928"/>
            <w:vAlign w:val="center"/>
            <w:tcMar>
              <w:top w:w="100" w:type="dxa"/>
              <w:bottom w:w="100" w:type="dxa"/>
              <w:left w:w="100" w:type="dxa"/>
              <w:right w:w="100" w:type="dxa"/>
            </w:tcMar>
          </w:tcPr>
          <w:p>
            <w:pPr>
              <w:spacing w:after="0" w:line="271" w:lineRule="auto"/>
            </w:pPr>
            <w:r>
              <w:rPr>
                <w:rFonts w:ascii="Calibri" w:hAnsi="Calibri"/>
                <w:sz w:val="17"/>
              </w:rPr>
              <w:t>554</w:t>
            </w:r>
          </w:p>
        </w:tc>
        <w:tc>
          <w:tcPr>
            <w:tcW w:type="dxa" w:w="2665"/>
            <w:vAlign w:val="center"/>
            <w:tcMar>
              <w:top w:w="100" w:type="dxa"/>
              <w:bottom w:w="100" w:type="dxa"/>
              <w:left w:w="100" w:type="dxa"/>
              <w:right w:w="100" w:type="dxa"/>
            </w:tcMar>
          </w:tcPr>
          <w:p>
            <w:pPr>
              <w:spacing w:after="0" w:line="271" w:lineRule="auto"/>
              <w:jc w:val="center"/>
            </w:pPr>
            <w:r>
              <w:rPr>
                <w:rFonts w:ascii="Calibri" w:hAnsi="Calibri"/>
                <w:sz w:val="17"/>
              </w:rPr>
              <w:t>82.27 %</w:t>
            </w:r>
          </w:p>
        </w:tc>
      </w:tr>
      <w:tr>
        <w:trPr>
          <w:cantSplit/>
        </w:trPr>
        <w:tc>
          <w:tcPr>
            <w:tcW w:type="dxa" w:w="2835"/>
            <w:vAlign w:val="center"/>
            <w:tcMar>
              <w:top w:w="100" w:type="dxa"/>
              <w:bottom w:w="100" w:type="dxa"/>
              <w:left w:w="100" w:type="dxa"/>
              <w:right w:w="100" w:type="dxa"/>
            </w:tcMar>
            <w:shd w:fill="F7F9FA"/>
          </w:tcPr>
          <w:p>
            <w:pPr>
              <w:spacing w:after="0" w:line="271" w:lineRule="auto"/>
              <w:jc w:val="center"/>
            </w:pPr>
            <w:r>
              <w:rPr>
                <w:rFonts w:ascii="Calibri" w:hAnsi="Calibri"/>
                <w:sz w:val="17"/>
              </w:rPr>
              <w:t>Funciones</w:t>
            </w:r>
          </w:p>
        </w:tc>
        <w:tc>
          <w:tcPr>
            <w:tcW w:type="dxa" w:w="1928"/>
            <w:vAlign w:val="center"/>
            <w:tcMar>
              <w:top w:w="100" w:type="dxa"/>
              <w:bottom w:w="100" w:type="dxa"/>
              <w:left w:w="100" w:type="dxa"/>
              <w:right w:w="100" w:type="dxa"/>
            </w:tcMar>
            <w:shd w:fill="F7F9FA"/>
          </w:tcPr>
          <w:p>
            <w:pPr>
              <w:spacing w:after="0" w:line="271" w:lineRule="auto"/>
            </w:pPr>
            <w:r>
              <w:rPr>
                <w:rFonts w:ascii="Calibri" w:hAnsi="Calibri"/>
                <w:sz w:val="17"/>
              </w:rPr>
              <w:t>132</w:t>
            </w:r>
          </w:p>
        </w:tc>
        <w:tc>
          <w:tcPr>
            <w:tcW w:type="dxa" w:w="1928"/>
            <w:vAlign w:val="center"/>
            <w:tcMar>
              <w:top w:w="100" w:type="dxa"/>
              <w:bottom w:w="100" w:type="dxa"/>
              <w:left w:w="100" w:type="dxa"/>
              <w:right w:w="100" w:type="dxa"/>
            </w:tcMar>
            <w:shd w:fill="F7F9FA"/>
          </w:tcPr>
          <w:p>
            <w:pPr>
              <w:spacing w:after="0" w:line="271" w:lineRule="auto"/>
            </w:pPr>
            <w:r>
              <w:rPr>
                <w:rFonts w:ascii="Calibri" w:hAnsi="Calibri"/>
                <w:sz w:val="17"/>
              </w:rPr>
              <w:t>159</w:t>
            </w:r>
          </w:p>
        </w:tc>
        <w:tc>
          <w:tcPr>
            <w:tcW w:type="dxa" w:w="2665"/>
            <w:vAlign w:val="center"/>
            <w:tcMar>
              <w:top w:w="100" w:type="dxa"/>
              <w:bottom w:w="100" w:type="dxa"/>
              <w:left w:w="100" w:type="dxa"/>
              <w:right w:w="100" w:type="dxa"/>
            </w:tcMar>
            <w:shd w:fill="F7F9FA"/>
          </w:tcPr>
          <w:p>
            <w:pPr>
              <w:spacing w:after="0" w:line="271" w:lineRule="auto"/>
              <w:jc w:val="center"/>
            </w:pPr>
            <w:r>
              <w:rPr>
                <w:rFonts w:ascii="Calibri" w:hAnsi="Calibri"/>
                <w:sz w:val="17"/>
              </w:rPr>
              <w:t>83.01 %</w:t>
            </w:r>
          </w:p>
        </w:tc>
      </w:tr>
    </w:tbl>
    <w:p>
      <w:pPr>
        <w:spacing w:after="0"/>
      </w:pPr>
    </w:p>
    <w:p>
      <w:r>
        <w:t>El resultado de 82,27 % en ramas indica que todavía existen caminos alternativos no ejecutados por los casos actuales. Por ello la cifra de cobertura se interpreta junto con las comprobaciones concretas, no como una garantía de ausencia de defectos.</w:t>
      </w:r>
    </w:p>
    <w:p>
      <w:r>
        <w:br w:type="page"/>
      </w:r>
    </w:p>
    <w:p>
      <w:pPr>
        <w:pStyle w:val="Heading1"/>
      </w:pPr>
      <w:r>
        <w:t>8. Posibles fallos y comportamientos pendientes</w:t>
      </w:r>
    </w:p>
    <w:p>
      <w:pPr>
        <w:pStyle w:val="ListBullet"/>
      </w:pPr>
      <w:r>
        <w:t>Verificar de forma visual en navegador los cambios de tamaño móvil, tableta y computador. La prueba de Bootstrap confirma clases, no el resultado gráfico en todos los equipos.</w:t>
      </w:r>
    </w:p>
    <w:p>
      <w:pPr>
        <w:pStyle w:val="ListBullet"/>
      </w:pPr>
      <w:r>
        <w:t>Probar en un navegador real la sincronización entre pestañas y las rutas de navegación completas.</w:t>
      </w:r>
    </w:p>
    <w:p>
      <w:pPr>
        <w:pStyle w:val="ListBullet"/>
      </w:pPr>
      <w:r>
        <w:t>Comprobar la carga de la cartografía externa en un entorno con conexión. jsdom no reproduce todo el comportamiento de OpenStreetMap.</w:t>
      </w:r>
    </w:p>
    <w:p>
      <w:pPr>
        <w:pStyle w:val="ListBullet"/>
      </w:pPr>
      <w:r>
        <w:t>Ampliar los casos de permisos, almacenamiento dañado, combinaciones de errores y edición de perfil para recorrer más ramas.</w:t>
      </w:r>
    </w:p>
    <w:p>
      <w:pPr>
        <w:pStyle w:val="ListBullet"/>
      </w:pPr>
      <w:r>
        <w:t>El proyecto utiliza una sesión de demostración y datos locales. Las pruebas actuales no certifican autenticación ni seguridad de un servidor real.</w:t>
      </w:r>
    </w:p>
    <w:p>
      <w:pPr>
        <w:pStyle w:val="ListBullet"/>
      </w:pPr>
      <w:r>
        <w:t>El funcionamiento del contenedor Docker y del servidor Nginx se valida por separado; Vitest no ejecuta ese contenedor.</w:t>
      </w:r>
    </w:p>
    <w:p>
      <w:pPr>
        <w:pStyle w:val="Heading1"/>
      </w:pPr>
      <w:r>
        <w:t>9. Conclusión</w:t>
      </w:r>
    </w:p>
    <w:p>
      <w:r>
        <w:t>Se ejecutaron 78 pruebas unitarias y de componentes distribuidas en 15 archivos, con 78 resultados aprobados y ningún fallo. Se comprobaron los casos requeridos de CRUD, filtros, estado, eventos, validación, navegación y renderizado. El reporte de cobertura quedó disponible y los comportamientos pendientes están identificados para futuras comprobaciones.</w:t>
      </w:r>
    </w:p>
    <w:sectPr w:rsidR="00FC693F" w:rsidRPr="0006063C" w:rsidSect="00034616">
      <w:footerReference w:type="default" r:id="rId9"/>
      <w:pgSz w:w="12240" w:h="15840"/>
      <w:pgMar w:top="1134" w:right="1219" w:bottom="992" w:left="1219"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EduBío 360 · Informe de pruebas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unitarias y cobertura EduBío 360 EP2</dc:title>
  <dc:subject>Resultados Vitest y casos de prueba numerados</dc:subject>
  <dc:creator>Equipo EduBío 360</dc:creator>
  <cp:keywords/>
  <dc:description>generated by python-docx</dc:description>
  <cp:lastModifiedBy/>
  <cp:revision>1</cp:revision>
  <dcterms:created xsi:type="dcterms:W3CDTF">2013-12-23T23:15:00Z</dcterms:created>
  <dcterms:modified xsi:type="dcterms:W3CDTF">2013-12-23T23:15:00Z</dcterms:modified>
  <cp:category/>
</cp:coreProperties>
</file>