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edubío-360"/>
    <w:p>
      <w:pPr>
        <w:pStyle w:val="Heading1"/>
        <w:keepNext/>
      </w:pPr>
      <w:r>
        <w:t xml:space="preserve">EduBío 360</w:t>
      </w:r>
    </w:p>
    <w:bookmarkStart w:id="29" w:name="X4d1698deb8f7fec513904b4e16ece2f64b97f66"/>
    <w:p>
      <w:pPr>
        <w:pStyle w:val="Heading2"/>
        <w:keepNext/>
      </w:pPr>
      <w:r>
        <w:t xml:space="preserve">Especificación de Requisitos de Software — Evaluación Parcial 2</w:t>
      </w:r>
    </w:p>
    <w:p>
      <w:pPr>
        <w:pStyle w:val="FirstParagraph"/>
      </w:pPr>
      <w:r>
        <w:rPr>
          <w:bCs/>
          <w:b/>
        </w:rPr>
        <w:t xml:space="preserve">Asignatura:</w:t>
      </w:r>
      <w:r>
        <w:t xml:space="preserve"> </w:t>
      </w:r>
      <w:r>
        <w:t xml:space="preserve">DSY1104 · Desarrollo Fullstack II</w:t>
      </w:r>
    </w:p>
    <w:p>
      <w:pPr>
        <w:pStyle w:val="BodyText"/>
      </w:pPr>
      <w:r>
        <w:rPr>
          <w:bCs/>
          <w:b/>
        </w:rPr>
        <w:t xml:space="preserve">Proyecto:</w:t>
      </w:r>
      <w:r>
        <w:t xml:space="preserve"> </w:t>
      </w:r>
      <w:r>
        <w:t xml:space="preserve">EduBío 360</w:t>
      </w:r>
    </w:p>
    <w:p>
      <w:pPr>
        <w:pStyle w:val="BodyText"/>
      </w:pPr>
      <w:r>
        <w:rPr>
          <w:bCs/>
          <w:b/>
        </w:rPr>
        <w:t xml:space="preserve">Versión:</w:t>
      </w:r>
      <w:r>
        <w:t xml:space="preserve"> </w:t>
      </w:r>
      <w:r>
        <w:t xml:space="preserve">EP2 · React, Vite y TypeScript</w:t>
      </w:r>
    </w:p>
    <w:p>
      <w:pPr>
        <w:pStyle w:val="BodyText"/>
      </w:pPr>
      <w:r>
        <w:rPr>
          <w:bCs/>
          <w:b/>
        </w:rPr>
        <w:t xml:space="preserve">Fecha:</w:t>
      </w:r>
      <w:r>
        <w:t xml:space="preserve"> </w:t>
      </w:r>
      <w:r>
        <w:t xml:space="preserve">26 de octubre de 2026</w:t>
      </w:r>
    </w:p>
    <w:bookmarkStart w:id="20" w:name="propósito"/>
    <w:p>
      <w:pPr>
        <w:pStyle w:val="Heading3"/>
        <w:keepNext/>
      </w:pPr>
      <w:r>
        <w:t xml:space="preserve">1. Propósito</w:t>
      </w:r>
    </w:p>
    <w:p>
      <w:pPr>
        <w:pStyle w:val="FirstParagraph"/>
      </w:pPr>
      <w:r>
        <w:t xml:space="preserve">EduBío 360 facilita la exploración y comparación de carreras de educación superior en la Región del Biobío y permite coordinar solicitudes de orientación académica. La Evaluación Parcial 2 contempla la migración del frontend desarrollado en HTML, CSS y JavaScript a React, Vite y TypeScript, conservando las funciones comprometidas en la primera evaluación.</w:t>
      </w:r>
    </w:p>
    <w:bookmarkEnd w:id="20"/>
    <w:bookmarkStart w:id="21" w:name="alcance"/>
    <w:p>
      <w:pPr>
        <w:pStyle w:val="Heading3"/>
        <w:keepNext/>
      </w:pPr>
      <w:r>
        <w:t xml:space="preserve">2. Alcance</w:t>
      </w:r>
    </w:p>
    <w:p>
      <w:pPr>
        <w:pStyle w:val="FirstParagraph"/>
      </w:pPr>
      <w:r>
        <w:t xml:space="preserve">La aplicación dispone de una interfaz pública y tres perfiles de uso: estudiante, orientador y administrador. La información y las operaciones se simulan en el navegador mediante almacenamiento local. No se contempla integración con un backend, servicios de correo, pasarelas de pago ni autenticación productiva.</w:t>
      </w:r>
    </w:p>
    <w:p>
      <w:pPr>
        <w:pStyle w:val="BodyText"/>
      </w:pPr>
      <w:r>
        <w:t xml:space="preserve">El catálogo inicial incorpora las 21 ofertas de la primera evaluación. Se presentan los valores académicos como antecedentes referenciales, sujetos a verificación con las instituciones.</w:t>
      </w:r>
    </w:p>
    <w:bookmarkEnd w:id="21"/>
    <w:bookmarkStart w:id="22" w:name="actores"/>
    <w:p>
      <w:pPr>
        <w:pStyle w:val="Heading3"/>
        <w:keepNext/>
      </w:pPr>
      <w:r>
        <w:t xml:space="preserve">3. Actores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9EB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00000"/>
                <w:sz w:val="17"/>
              </w:rPr>
              <w:t xml:space="preserve">Actor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9EB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00000"/>
                <w:sz w:val="17"/>
              </w:rPr>
              <w:t xml:space="preserve">Responsabilidades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Visitante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Consultar el catálogo, los detalles, el mapa y el comparador; registrarse o iniciar sesión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Estudiante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Gestionar su perfil, solicitar orientación, revisar estados e historial y leer notificaciones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Orientador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Tomar solicitudes disponibles, aceptar o reprogramar atenciones, registrar resultados y consultar el historial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Administrador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Mantener ofertas y usuarios mediante CRUD completo y consultar solicitudes</w:t>
            </w:r>
          </w:p>
        </w:tc>
      </w:tr>
    </w:tbl>
    <w:bookmarkEnd w:id="22"/>
    <w:bookmarkStart w:id="23" w:name="requisitos-funcionales"/>
    <w:p>
      <w:pPr>
        <w:pStyle w:val="Heading3"/>
        <w:keepNext/>
      </w:pPr>
      <w:r>
        <w:t xml:space="preserve">4. Requisitos funcionales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9EB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00000"/>
                <w:sz w:val="17"/>
              </w:rPr>
              <w:t xml:space="preserve">Código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9EB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00000"/>
                <w:sz w:val="17"/>
              </w:rPr>
              <w:t xml:space="preserve">Requisito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9EB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00000"/>
                <w:sz w:val="17"/>
              </w:rPr>
              <w:t xml:space="preserve">Criterio de aceptación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RF-01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Presentar las ofertas académicas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Mostrar las 21 ofertas iniciales y los registros creados por administración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RF-02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Buscar y filtrar ofertas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Aplicar texto, área y comuna; permitir limpiar filtros; informar cuando no haya resultados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RF-03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Visualizar detalles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Acceder por URL con identificador y mostrar un estado de oferta inexistente cuando corresponda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RF-04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Comparar ofertas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Mantener hasta tres ofertas equivalentes, mostrar costos y características y permitir quitarlas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RF-05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Consultar mapa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Seleccionar una de las cinco sedes y abrir el catálogo filtrado por comuna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RF-06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Registrar estudiantes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Validar RUN, correo, nombres, región, comuna y dirección mediante formulario controlado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RF-07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Iniciar y cerrar sesión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Validar las cuentas de demostración, mantener la sesión por pestaña y redirigir al panel del perfil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RF-08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Restringir vistas por rol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Enviar a ingreso si no existe sesión y redirigir al panel propio ante una ruta no autorizada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RF-09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Crear solicitudes de orientación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Registrar carrera, motivo y fecha no anterior al día actual; conservar las alternativas comparadas cuando corresponda; iniciar en estado pendiente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RF-10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Administrar solicitudes como estudiante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Mostrar solicitudes propias, solicitar reprogramaciones y cancelar solicitudes activas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RF-11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Gestionar solicitudes como orientador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Tomar solicitudes disponibles y registrar estado, fecha, observaciones y resultado de atención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RF-12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Conservar historial y avisos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Registrar cambios de estado y notificaciones consultables desde el panel del estudiante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RF-13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Mantener ofertas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Crear, listar, editar y eliminar ofertas, incluyendo cupos y umbral crítico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RF-14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Mantener usuarios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Crear, listar, editar y eliminar registros, asignar perfil estudiante, orientador o administrador y activar o desactivar cuentas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RF-15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Consultar contenidos institucionales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Presentar inicio, nosotros, novedades, artículos y contacto</w:t>
            </w:r>
          </w:p>
        </w:tc>
      </w:tr>
    </w:tbl>
    <w:bookmarkEnd w:id="23"/>
    <w:bookmarkStart w:id="24" w:name="requisitos-no-funcionales"/>
    <w:p>
      <w:pPr>
        <w:pStyle w:val="Heading3"/>
        <w:keepNext/>
      </w:pPr>
      <w:r>
        <w:t xml:space="preserve">5. Requisitos no funcionales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9EB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00000"/>
                <w:sz w:val="17"/>
              </w:rPr>
              <w:t xml:space="preserve">Código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9EB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00000"/>
                <w:sz w:val="17"/>
              </w:rPr>
              <w:t xml:space="preserve">Requisito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9EB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00000"/>
                <w:sz w:val="17"/>
              </w:rPr>
              <w:t xml:space="preserve">Criterio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RNF-01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Plataforma frontend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React, Vite y TypeScript con compilación de producción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RNF-02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Arquitectura de interfaz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Atomic Design, separación en átomos, moléculas, organismos y páginas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RNF-03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Patrón de diseño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Repositorios genéricos para ofertas y usuarios, separados de los componentes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RNF-04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Estado y formularios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Uso de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useState</w:t>
            </w:r>
            <w:r>
              <w:rPr>
                <w:sz w:val="17"/>
              </w:rPr>
              <w:t xml:space="preserve">, propiedades tipadas y validaciones con mensajes específicos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RNF-05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Navegación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React Router con rutas públicas, protegidas y de detalle por parámetro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RNF-06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Adaptación a dispositivos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Bootstrap con distribución flexible para móvil, tableta y escritorio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RNF-07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Calidad y pruebas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Vitest, React Testing Library, jsdom y reporte de cobertura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RNF-08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Persistencia de demostración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localStorage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para ofertas, usuarios, comparaciones y solicitudes;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sessionStorage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para sesión</w:t>
            </w:r>
          </w:p>
        </w:tc>
      </w:tr>
      <w:tr>
        <w:trPr>
          <w:cantSplit/>
        </w:trPr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RNF-09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Ejecución reproducible</w:t>
            </w:r>
          </w:p>
        </w:tc>
        <w:tc>
          <w:tcPr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7"/>
              </w:rPr>
              <w:t xml:space="preserve">Scripts npm y contenedor Docker con Nginx</w:t>
            </w:r>
          </w:p>
        </w:tc>
      </w:tr>
    </w:tbl>
    <w:bookmarkEnd w:id="24"/>
    <w:bookmarkStart w:id="25" w:name="reglas-del-negocio"/>
    <w:p>
      <w:pPr>
        <w:pStyle w:val="Heading3"/>
        <w:keepNext/>
      </w:pPr>
      <w:r>
        <w:t xml:space="preserve">6. Reglas del negocio</w:t>
      </w:r>
    </w:p>
    <w:p>
      <w:pPr>
        <w:numPr>
          <w:ilvl w:val="0"/>
          <w:numId w:val="1001"/>
        </w:numPr>
        <w:pStyle w:val="Compact"/>
      </w:pPr>
      <w:r>
        <w:t xml:space="preserve">El comparador admite tres ofertas como máximo, todas del mismo grupo académico.</w:t>
      </w:r>
    </w:p>
    <w:p>
      <w:pPr>
        <w:numPr>
          <w:ilvl w:val="0"/>
          <w:numId w:val="1001"/>
        </w:numPr>
        <w:pStyle w:val="Compact"/>
      </w:pPr>
      <w:r>
        <w:t xml:space="preserve">Solo el estudiante propietario puede cancelar o solicitar reprogramación de una solicitud activa.</w:t>
      </w:r>
    </w:p>
    <w:p>
      <w:pPr>
        <w:numPr>
          <w:ilvl w:val="0"/>
          <w:numId w:val="1001"/>
        </w:numPr>
        <w:pStyle w:val="Compact"/>
      </w:pPr>
      <w:r>
        <w:t xml:space="preserve">El orientador puede tomar solicitudes pendientes o reprogramadas que no tengan responsable.</w:t>
      </w:r>
    </w:p>
    <w:p>
      <w:pPr>
        <w:numPr>
          <w:ilvl w:val="0"/>
          <w:numId w:val="1001"/>
        </w:numPr>
        <w:pStyle w:val="Compact"/>
      </w:pPr>
      <w:r>
        <w:t xml:space="preserve">La gestión de una solicitud asignada corresponde al orientador responsable.</w:t>
      </w:r>
    </w:p>
    <w:p>
      <w:pPr>
        <w:numPr>
          <w:ilvl w:val="0"/>
          <w:numId w:val="1001"/>
        </w:numPr>
        <w:pStyle w:val="Compact"/>
      </w:pPr>
      <w:r>
        <w:t xml:space="preserve">Una atención marcada como atendida requiere registrar el resultado.</w:t>
      </w:r>
    </w:p>
    <w:p>
      <w:pPr>
        <w:numPr>
          <w:ilvl w:val="0"/>
          <w:numId w:val="1001"/>
        </w:numPr>
        <w:pStyle w:val="Compact"/>
      </w:pPr>
      <w:r>
        <w:t xml:space="preserve">Una atención finalizada o cancelada no admite nuevas modificaciones.</w:t>
      </w:r>
    </w:p>
    <w:p>
      <w:pPr>
        <w:numPr>
          <w:ilvl w:val="0"/>
          <w:numId w:val="1001"/>
        </w:numPr>
        <w:pStyle w:val="Compact"/>
      </w:pPr>
      <w:r>
        <w:t xml:space="preserve">El registro y la actualización de ofertas y usuarios se reflejan en la interfaz sin recarga manual.</w:t>
      </w:r>
    </w:p>
    <w:p>
      <w:pPr>
        <w:numPr>
          <w:ilvl w:val="0"/>
          <w:numId w:val="1001"/>
        </w:numPr>
        <w:pStyle w:val="Compact"/>
      </w:pPr>
      <w:r>
        <w:t xml:space="preserve">El mapa depende de OpenStreetMap para mostrar cartografía; el catálogo y los datos locales pueden consultarse sin ese servicio.</w:t>
      </w:r>
    </w:p>
    <w:bookmarkEnd w:id="25"/>
    <w:bookmarkStart w:id="26" w:name="datos-y-restricciones"/>
    <w:p>
      <w:pPr>
        <w:pStyle w:val="Heading3"/>
        <w:keepNext/>
      </w:pPr>
      <w:r>
        <w:t xml:space="preserve">7. Datos y restricciones</w:t>
      </w:r>
    </w:p>
    <w:p>
      <w:pPr>
        <w:pStyle w:val="FirstParagraph"/>
      </w:pPr>
      <w:r>
        <w:t xml:space="preserve">El conjunto inicial de ofertas se tomó del catálogo funcional de EP1. Contiene instituciones, comunas, áreas, jornada, duración, valores de matrícula y arancel, imágenes, cupos y grupos de comparación.</w:t>
      </w:r>
    </w:p>
    <w:p>
      <w:pPr>
        <w:pStyle w:val="BodyText"/>
      </w:pPr>
      <w:r>
        <w:t xml:space="preserve">La autenticación usa tres cuentas de demostración con clave común. No debe interpretarse como un control de seguridad equivalente a un servidor. Los datos son locales al navegador y no se sincronizan entre equipos.</w:t>
      </w:r>
    </w:p>
    <w:bookmarkEnd w:id="26"/>
    <w:bookmarkStart w:id="27" w:name="vistas-principales"/>
    <w:p>
      <w:pPr>
        <w:pStyle w:val="Heading3"/>
        <w:keepNext/>
      </w:pPr>
      <w:r>
        <w:t xml:space="preserve">8. Vistas principales</w:t>
      </w:r>
    </w:p>
    <w:p>
      <w:pPr>
        <w:pStyle w:val="FirstParagraph"/>
      </w:pPr>
      <w:r>
        <w:t xml:space="preserve">Inicio, catálogo, detalle, comparador, mapa, registro, ingreso, panel de estudiante, solicitud de orientación, solicitudes, notificaciones, perfil, panel de orientador, gestión de solicitud, panel administrativo, ofertas, usuarios, solicitudes generales, noticias, nosotros y contacto.</w:t>
      </w:r>
    </w:p>
    <w:bookmarkEnd w:id="27"/>
    <w:bookmarkStart w:id="28" w:name="condiciones-de-entrega"/>
    <w:p>
      <w:pPr>
        <w:pStyle w:val="Heading3"/>
        <w:keepNext/>
      </w:pPr>
      <w:r>
        <w:t xml:space="preserve">9. Condiciones de entrega</w:t>
      </w:r>
    </w:p>
    <w:p>
      <w:pPr>
        <w:pStyle w:val="FirstParagraph"/>
      </w:pPr>
      <w:r>
        <w:t>El proyecto se ejecuta desde la raíz del repositorio con npm ci y npm run dev. La validación técnica considera npm run build, npm run test:coverage y el flujo de GitHub Actions para construir y comprobar el contenedor Docker. El repositorio debe evidenciar cambios en ramas y aportes identificables del equipo. La defensa individual requiere explicar las decisiones y ejecutar las funciones y pruebas seleccionadas.</w:t>
      </w:r>
    </w:p>
    <w:bookmarkEnd w:id="28"/>
    <w:bookmarkEnd w:id="29"/>
    <w:bookmarkEnd w:id="30"/>
    <w:sectPr>
      <w:pgSz w:w="12240" w:h="15840"/>
      <w:pgMar w:top="1037" w:bottom="1037" w:left="1094" w:right="109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64" w:lineRule="auto"/>
    </w:pPr>
    <w:rPr>
      <w:rFonts w:ascii="Calibri" w:hAnsi="Calibri"/>
      <w:color w:val="141414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00" w:before="0"/>
      <w:jc w:val="center"/>
    </w:pPr>
    <w:rPr>
      <w:rFonts w:asciiTheme="majorHAnsi" w:cstheme="majorBidi" w:eastAsiaTheme="majorEastAsia" w:hAnsiTheme="majorHAnsi" w:ascii="Calibri" w:hAnsi="Calibr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outlineLvl w:val="0"/>
    </w:pPr>
    <w:rPr>
      <w:rFonts w:asciiTheme="majorHAnsi" w:cstheme="majorBidi" w:eastAsiaTheme="majorEastAsia" w:hAnsiTheme="majorHAnsi" w:ascii="Calibri" w:hAnsi="Calibri"/>
      <w:b/>
      <w:bCs/>
      <w:color w:val="000000"/>
      <w:sz w:val="2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00"/>
      <w:outlineLvl w:val="1"/>
    </w:pPr>
    <w:rPr>
      <w:rFonts w:asciiTheme="majorHAnsi" w:cstheme="majorBidi" w:eastAsiaTheme="majorEastAsia" w:hAnsiTheme="majorHAnsi" w:ascii="Calibri" w:hAnsi="Calibri"/>
      <w:b/>
      <w:bCs/>
      <w:color w:val="000000"/>
      <w:sz w:val="22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 w:ascii="Calibri" w:hAnsi="Calibri"/>
      <w:b/>
      <w:bCs/>
      <w:color w:val="000000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2026-10-27T01:44:57Z</dcterms:created>
  <dcterms:modified xsi:type="dcterms:W3CDTF">2026-10-27T01:44:57Z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