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Arial" w:cs="Arial" w:eastAsia="Arial" w:hAnsi="Arial"/>
          <w:b/>
          <w:bCs/>
          <w:color w:val="7F7F7F"/>
          <w:spacing w:val="40"/>
          <w:sz w:val="20"/>
          <w:szCs w:val="20"/>
        </w:rPr>
        <w:t xml:space="preserve">ENROLLMENT TO GRADUATION</w:t>
      </w:r>
    </w:p>
    <w:p>
      <w:pPr>
        <w:spacing w:after="60"/>
      </w:pPr>
      <w:r>
        <w:rPr>
          <w:rFonts w:ascii="Arial" w:cs="Arial" w:eastAsia="Arial" w:hAnsi="Arial"/>
          <w:b/>
          <w:bCs/>
          <w:color w:val="1F3864"/>
          <w:sz w:val="48"/>
          <w:szCs w:val="48"/>
        </w:rPr>
        <w:t xml:space="preserve">Tableau Guide Addendum: CR-001</w:t>
      </w:r>
    </w:p>
    <w:p>
      <w:pPr>
        <w:pBdr>
          <w:bottom w:val="single" w:color="1F3864" w:sz="12" w:space="6"/>
        </w:pBdr>
        <w:spacing w:after="240"/>
      </w:pPr>
      <w:r>
        <w:rPr>
          <w:rFonts w:ascii="Arial" w:cs="Arial" w:eastAsia="Arial" w:hAnsi="Arial"/>
          <w:color w:val="595959"/>
          <w:sz w:val="24"/>
          <w:szCs w:val="24"/>
        </w:rPr>
        <w:t xml:space="preserve">U.S. College Enrollment &amp; Outcomes Analytics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Applies to</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Tableau Build and LOD Guide v1.0 (baseline) after approval of CR-001</w:t>
            </w:r>
          </w:p>
        </w:tc>
      </w:tr>
      <w:tr>
        <w:tc>
          <w:tcPr>
            <w:tcW w:type="dxa" w:w="26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Use with</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Data extract v1.1 (4 CSV files); FRD v1.1 (FR-27 to FR-34); workbook v1.1</w:t>
            </w:r>
          </w:p>
        </w:tc>
      </w:tr>
      <w:tr>
        <w:tc>
          <w:tcPr>
            <w:tcW w:type="dxa" w:w="26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Adds</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Funding table and aid fields, KPI-11 to KPI-15, Dashboard 4 (Aid and Funding), LOD Lab demo E, demo C2</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0B84C" w:sz="4"/>
              <w:left w:val="single" w:color="E0B84C" w:sz="12"/>
              <w:bottom w:val="single" w:color="E0B84C" w:sz="4"/>
              <w:right w:val="single" w:color="E0B84C" w:sz="4"/>
            </w:tcBorders>
            <w:shd w:fill="FFF4D6" w:color="auto" w:val="clear"/>
            <w:tcMar>
              <w:top w:type="dxa" w:w="100"/>
              <w:left w:type="dxa" w:w="160"/>
              <w:bottom w:type="dxa" w:w="100"/>
              <w:right w:type="dxa" w:w="160"/>
            </w:tcMar>
          </w:tcPr>
          <w:p>
            <w:pPr>
              <w:spacing w:after="0" w:line="264"/>
            </w:pPr>
            <w:r>
              <w:rPr>
                <w:rFonts w:ascii="Arial" w:cs="Arial" w:eastAsia="Arial" w:hAnsi="Arial"/>
                <w:b/>
                <w:bCs/>
                <w:sz w:val="19"/>
                <w:szCs w:val="19"/>
              </w:rPr>
              <w:t xml:space="preserve">Data design note. </w:t>
            </w:r>
            <w:r>
              <w:rPr>
                <w:rFonts w:ascii="Arial" w:cs="Arial" w:eastAsia="Arial" w:hAnsi="Arial"/>
                <w:sz w:val="19"/>
                <w:szCs w:val="19"/>
              </w:rPr>
              <w:t xml:space="preserve">The synthetic generator builds in a positive link between aid coverage and completion (as well as field, college and GPA effects). The pattern on the aid coverage chart is therefore expected. With real data you would need to control for prior GPA and income before drawing conclusions.</w:t>
            </w:r>
          </w:p>
        </w:tc>
      </w:tr>
    </w:tbl>
    <w:p>
      <w:pPr>
        <w:pStyle w:val="Heading1"/>
        <w:keepNext/>
        <w:pBdr>
          <w:bottom w:val="single" w:color="1F3864" w:sz="6" w:space="2"/>
        </w:pBdr>
        <w:spacing w:after="140" w:before="320"/>
      </w:pPr>
      <w:r>
        <w:rPr>
          <w:rFonts w:ascii="Arial" w:cs="Arial" w:eastAsia="Arial" w:hAnsi="Arial"/>
          <w:b/>
          <w:bCs/>
          <w:color w:val="1F3864"/>
          <w:sz w:val="30"/>
          <w:szCs w:val="30"/>
        </w:rPr>
        <w:t xml:space="preserve">Part E. Add the CR-001 Data and Fields</w:t>
      </w:r>
    </w:p>
    <w:p>
      <w:pPr>
        <w:pStyle w:val="ListParagraph"/>
        <w:numPr>
          <w:ilvl w:val="0"/>
          <w:numId w:val="2"/>
        </w:numPr>
        <w:spacing w:after="60" w:line="276"/>
      </w:pPr>
      <w:r>
        <w:rPr>
          <w:rFonts w:ascii="Arial" w:cs="Arial" w:eastAsia="Arial" w:hAnsi="Arial"/>
          <w:b/>
          <w:bCs/>
          <w:sz w:val="21"/>
          <w:szCs w:val="21"/>
        </w:rPr>
        <w:t xml:space="preserve">E1. Swap in extract v1.1. </w:t>
      </w:r>
      <w:r>
        <w:rPr>
          <w:rFonts w:ascii="Arial" w:cs="Arial" w:eastAsia="Arial" w:hAnsi="Arial"/>
          <w:sz w:val="21"/>
          <w:szCs w:val="21"/>
        </w:rPr>
        <w:t xml:space="preserve">Close Tableau (or work in a copy). On the Data Source tab, right-click each table and choose Replace Data Source, pointing to the files in data/extract_v1.1. fact_students gains six fields; the other two tables are identical to v1.0.</w:t>
      </w:r>
    </w:p>
    <w:p>
      <w:pPr>
        <w:pStyle w:val="ListParagraph"/>
        <w:numPr>
          <w:ilvl w:val="0"/>
          <w:numId w:val="2"/>
        </w:numPr>
        <w:spacing w:after="60" w:line="276"/>
      </w:pPr>
      <w:r>
        <w:rPr>
          <w:rFonts w:ascii="Arial" w:cs="Arial" w:eastAsia="Arial" w:hAnsi="Arial"/>
          <w:b/>
          <w:bCs/>
          <w:sz w:val="21"/>
          <w:szCs w:val="21"/>
        </w:rPr>
        <w:t xml:space="preserve">E2. Add the funding table. </w:t>
      </w:r>
      <w:r>
        <w:rPr>
          <w:rFonts w:ascii="Arial" w:cs="Arial" w:eastAsia="Arial" w:hAnsi="Arial"/>
          <w:sz w:val="21"/>
          <w:szCs w:val="21"/>
        </w:rPr>
        <w:t xml:space="preserve">Drag fact_college_funding.csv onto the canvas. Relate it to dim_college on College ID (not to students). Performance Options: dim_college One, funding Many. Convert Fiscal Year to a Dimension.</w:t>
      </w:r>
    </w:p>
    <w:p>
      <w:pPr>
        <w:pStyle w:val="ListParagraph"/>
        <w:numPr>
          <w:ilvl w:val="0"/>
          <w:numId w:val="2"/>
        </w:numPr>
        <w:spacing w:after="60" w:line="276"/>
      </w:pPr>
      <w:r>
        <w:rPr>
          <w:rFonts w:ascii="Arial" w:cs="Arial" w:eastAsia="Arial" w:hAnsi="Arial"/>
          <w:b/>
          <w:bCs/>
          <w:sz w:val="21"/>
          <w:szCs w:val="21"/>
        </w:rPr>
        <w:t xml:space="preserve">E3. Rename the new fields </w:t>
      </w:r>
      <w:r>
        <w:rPr>
          <w:rFonts w:ascii="Arial" w:cs="Arial" w:eastAsia="Arial" w:hAnsi="Arial"/>
          <w:sz w:val="21"/>
          <w:szCs w:val="21"/>
        </w:rPr>
        <w:t xml:space="preserve">to match the Data Mapping sheet: Annual Tuition USD, Scholarship Type, Annual Scholarship USD, Annual Grant USD, Annual Loan USD, Annual Net Cost USD; Total Enrollment Est, State Appropriation USD, Federal Research Grants USD, Endowment Payout USD, Net Tuition Revenue USD, Scholarship Awarded USD, Scholarship Budget USD.</w:t>
      </w:r>
    </w:p>
    <w:p>
      <w:pPr>
        <w:pStyle w:val="ListParagraph"/>
        <w:numPr>
          <w:ilvl w:val="0"/>
          <w:numId w:val="2"/>
        </w:numPr>
        <w:spacing w:after="60" w:line="276"/>
      </w:pPr>
      <w:r>
        <w:rPr>
          <w:rFonts w:ascii="Arial" w:cs="Arial" w:eastAsia="Arial" w:hAnsi="Arial"/>
          <w:b/>
          <w:bCs/>
          <w:sz w:val="21"/>
          <w:szCs w:val="21"/>
        </w:rPr>
        <w:t xml:space="preserve">E4. Regression check first. </w:t>
      </w:r>
      <w:r>
        <w:rPr>
          <w:rFonts w:ascii="Arial" w:cs="Arial" w:eastAsia="Arial" w:hAnsi="Arial"/>
          <w:sz w:val="21"/>
          <w:szCs w:val="21"/>
        </w:rPr>
        <w:t xml:space="preserve">Before building anything, confirm that KPI-01 to KPI-10 and reconciliation checks REC-01 to REC-17 still match the v1.0 values. If anything moved, stop and fix the data source.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00"/>
        <w:gridCol w:w="4580"/>
      </w:tblGrid>
      <w:tr>
        <w:trPr>
          <w:tblHeader/>
        </w:trPr>
        <w:tc>
          <w:tcPr>
            <w:tcW w:type="dxa" w:w="5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KPI (must be unchanged)</w:t>
            </w:r>
          </w:p>
        </w:tc>
        <w:tc>
          <w:tcPr>
            <w:tcW w:type="dxa" w:w="45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Expected</w:t>
            </w:r>
          </w:p>
        </w:tc>
      </w:tr>
      <w:tr>
        <w:trPr>
          <w:cantSplit/>
        </w:trPr>
        <w:tc>
          <w:tcPr>
            <w:tcW w:type="dxa" w:w="5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KPI-01 Total Applications</w:t>
            </w:r>
          </w:p>
        </w:tc>
        <w:tc>
          <w:tcPr>
            <w:tcW w:type="dxa" w:w="45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92,555</w:t>
            </w:r>
          </w:p>
        </w:tc>
      </w:tr>
      <w:tr>
        <w:trPr>
          <w:cantSplit/>
        </w:trPr>
        <w:tc>
          <w:tcPr>
            <w:tcW w:type="dxa" w:w="55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KPI-02 Admit Rate</w:t>
            </w:r>
          </w:p>
        </w:tc>
        <w:tc>
          <w:tcPr>
            <w:tcW w:type="dxa" w:w="45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69.5%</w:t>
            </w:r>
          </w:p>
        </w:tc>
      </w:tr>
      <w:tr>
        <w:trPr>
          <w:cantSplit/>
        </w:trPr>
        <w:tc>
          <w:tcPr>
            <w:tcW w:type="dxa" w:w="5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KPI-03 Yield Rate</w:t>
            </w:r>
          </w:p>
        </w:tc>
        <w:tc>
          <w:tcPr>
            <w:tcW w:type="dxa" w:w="45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35.9%</w:t>
            </w:r>
          </w:p>
        </w:tc>
      </w:tr>
      <w:tr>
        <w:trPr>
          <w:cantSplit/>
        </w:trPr>
        <w:tc>
          <w:tcPr>
            <w:tcW w:type="dxa" w:w="55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KPI-04 Enrolled Students</w:t>
            </w:r>
          </w:p>
        </w:tc>
        <w:tc>
          <w:tcPr>
            <w:tcW w:type="dxa" w:w="45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23,121</w:t>
            </w:r>
          </w:p>
        </w:tc>
      </w:tr>
      <w:tr>
        <w:trPr>
          <w:cantSplit/>
        </w:trPr>
        <w:tc>
          <w:tcPr>
            <w:tcW w:type="dxa" w:w="5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KPI-05 Graduation Rate (6-yr)</w:t>
            </w:r>
          </w:p>
        </w:tc>
        <w:tc>
          <w:tcPr>
            <w:tcW w:type="dxa" w:w="45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70.5%</w:t>
            </w:r>
          </w:p>
        </w:tc>
      </w:tr>
      <w:tr>
        <w:trPr>
          <w:cantSplit/>
        </w:trPr>
        <w:tc>
          <w:tcPr>
            <w:tcW w:type="dxa" w:w="55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KPI-06 Dropout Rate (completed)</w:t>
            </w:r>
          </w:p>
        </w:tc>
        <w:tc>
          <w:tcPr>
            <w:tcW w:type="dxa" w:w="45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29.5%</w:t>
            </w:r>
          </w:p>
        </w:tc>
      </w:tr>
      <w:tr>
        <w:trPr>
          <w:cantSplit/>
        </w:trPr>
        <w:tc>
          <w:tcPr>
            <w:tcW w:type="dxa" w:w="5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KPI-07 Attrition to Date</w:t>
            </w:r>
          </w:p>
        </w:tc>
        <w:tc>
          <w:tcPr>
            <w:tcW w:type="dxa" w:w="45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25.6%</w:t>
            </w:r>
          </w:p>
        </w:tc>
      </w:tr>
      <w:tr>
        <w:trPr>
          <w:cantSplit/>
        </w:trPr>
        <w:tc>
          <w:tcPr>
            <w:tcW w:type="dxa" w:w="55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KPI-08 First-Year Retention</w:t>
            </w:r>
          </w:p>
        </w:tc>
        <w:tc>
          <w:tcPr>
            <w:tcW w:type="dxa" w:w="45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87.0%</w:t>
            </w:r>
          </w:p>
        </w:tc>
      </w:tr>
      <w:tr>
        <w:trPr>
          <w:cantSplit/>
        </w:trPr>
        <w:tc>
          <w:tcPr>
            <w:tcW w:type="dxa" w:w="5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KPI-09 Top Performance Index</w:t>
            </w:r>
          </w:p>
        </w:tc>
        <w:tc>
          <w:tcPr>
            <w:tcW w:type="dxa" w:w="45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University of Upland 83.3</w:t>
            </w:r>
          </w:p>
        </w:tc>
      </w:tr>
      <w:tr>
        <w:trPr>
          <w:cantSplit/>
        </w:trPr>
        <w:tc>
          <w:tcPr>
            <w:tcW w:type="dxa" w:w="55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KPI-10 Top channel by yield</w:t>
            </w:r>
          </w:p>
        </w:tc>
        <w:tc>
          <w:tcPr>
            <w:tcW w:type="dxa" w:w="45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Campus Visit / Open House 53.1%</w:t>
            </w:r>
          </w:p>
        </w:tc>
      </w:tr>
    </w:tbl>
    <w:p>
      <w:pPr>
        <w:pStyle w:val="Heading2"/>
        <w:keepNext/>
        <w:spacing w:after="100" w:before="220"/>
      </w:pPr>
      <w:r>
        <w:rPr>
          <w:rFonts w:ascii="Arial" w:cs="Arial" w:eastAsia="Arial" w:hAnsi="Arial"/>
          <w:b/>
          <w:bCs/>
          <w:color w:val="2F5597"/>
          <w:sz w:val="24"/>
          <w:szCs w:val="24"/>
        </w:rPr>
        <w:t xml:space="preserve">E5. Aid helper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Field</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Formula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Has Scholarship</w:t>
            </w:r>
          </w:p>
        </w:tc>
        <w:tc>
          <w:tcPr>
            <w:tcW w:type="dxa" w:w="7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Consolas" w:cs="Consolas" w:eastAsia="Consolas" w:hAnsi="Consolas"/>
                <w:sz w:val="16"/>
                <w:szCs w:val="16"/>
              </w:rPr>
              <w:t xml:space="preserve">IF [Annual Scholarship USD] &gt; 0 THEN 1 ELSE 0 END</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Aid Coverage</w:t>
            </w:r>
          </w:p>
        </w:tc>
        <w:tc>
          <w:tcPr>
            <w:tcW w:type="dxa" w:w="70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Consolas" w:cs="Consolas" w:eastAsia="Consolas" w:hAnsi="Consolas"/>
                <w:sz w:val="16"/>
                <w:szCs w:val="16"/>
              </w:rPr>
              <w:t xml:space="preserve">([Annual Scholarship USD] + [Annual Grant USD]) / [Annual Tuition USD]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Aid Coverage Band</w:t>
            </w:r>
          </w:p>
        </w:tc>
        <w:tc>
          <w:tcPr>
            <w:tcW w:type="dxa" w:w="7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Consolas" w:cs="Consolas" w:eastAsia="Consolas" w:hAnsi="Consolas"/>
                <w:sz w:val="16"/>
                <w:szCs w:val="16"/>
              </w:rPr>
              <w:t xml:space="preserve">IF [Aid Coverage] = 0 THEN "No aid"</w:t>
            </w:r>
          </w:p>
          <w:p>
            <w:pPr>
              <w:spacing w:after="30" w:line="250"/>
            </w:pPr>
            <w:r>
              <w:rPr>
                <w:rFonts w:ascii="Consolas" w:cs="Consolas" w:eastAsia="Consolas" w:hAnsi="Consolas"/>
                <w:sz w:val="16"/>
                <w:szCs w:val="16"/>
              </w:rPr>
              <w:t xml:space="preserve">ELSEIF [Aid Coverage] &lt;= 0.25 THEN "Under 25%"</w:t>
            </w:r>
          </w:p>
          <w:p>
            <w:pPr>
              <w:spacing w:after="30" w:line="250"/>
            </w:pPr>
            <w:r>
              <w:rPr>
                <w:rFonts w:ascii="Consolas" w:cs="Consolas" w:eastAsia="Consolas" w:hAnsi="Consolas"/>
                <w:sz w:val="16"/>
                <w:szCs w:val="16"/>
              </w:rPr>
              <w:t xml:space="preserve">ELSEIF [Aid Coverage] &lt;= 0.5 THEN "25-50%"</w:t>
            </w:r>
          </w:p>
          <w:p>
            <w:pPr>
              <w:spacing w:after="30" w:line="250"/>
            </w:pPr>
            <w:r>
              <w:rPr>
                <w:rFonts w:ascii="Consolas" w:cs="Consolas" w:eastAsia="Consolas" w:hAnsi="Consolas"/>
                <w:sz w:val="16"/>
                <w:szCs w:val="16"/>
              </w:rPr>
              <w:t xml:space="preserve">ELSE "Over 50%" END</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Avg Award (Recipients)</w:t>
            </w:r>
          </w:p>
        </w:tc>
        <w:tc>
          <w:tcPr>
            <w:tcW w:type="dxa" w:w="70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Consolas" w:cs="Consolas" w:eastAsia="Consolas" w:hAnsi="Consolas"/>
                <w:sz w:val="16"/>
                <w:szCs w:val="16"/>
              </w:rPr>
              <w:t xml:space="preserve">SUM([Annual Scholarship USD]) / SUM([Has Scholarship])</w:t>
            </w:r>
          </w:p>
        </w:tc>
      </w:tr>
    </w:tbl>
    <w:p>
      <w:pPr>
        <w:spacing w:after="120" w:before="60" w:line="276"/>
      </w:pPr>
      <w:r>
        <w:rPr>
          <w:rFonts w:ascii="Arial" w:cs="Arial" w:eastAsia="Arial" w:hAnsi="Arial"/>
          <w:i/>
          <w:iCs/>
          <w:sz w:val="19"/>
          <w:szCs w:val="19"/>
        </w:rPr>
        <w:t xml:space="preserve">Set a manual sort on Aid Coverage Band: No aid, Under 25%, 25-50%, Over 50%.</w:t>
      </w:r>
    </w:p>
    <w:p>
      <w:pPr>
        <w:pStyle w:val="Heading2"/>
        <w:keepNext/>
        <w:spacing w:after="100" w:before="220"/>
      </w:pPr>
      <w:r>
        <w:rPr>
          <w:rFonts w:ascii="Arial" w:cs="Arial" w:eastAsia="Arial" w:hAnsi="Arial"/>
          <w:b/>
          <w:bCs/>
          <w:color w:val="2F5597"/>
          <w:sz w:val="24"/>
          <w:szCs w:val="24"/>
        </w:rPr>
        <w:t xml:space="preserve">E6. New KPI fields and expected values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5080"/>
        <w:gridCol w:w="20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KPI</w:t>
            </w:r>
          </w:p>
        </w:tc>
        <w:tc>
          <w:tcPr>
            <w:tcW w:type="dxa" w:w="50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Tableau formula</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Expected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KPI-11 Avg Annual Scholarship</w:t>
            </w:r>
          </w:p>
        </w:tc>
        <w:tc>
          <w:tcPr>
            <w:tcW w:type="dxa" w:w="5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Consolas" w:cs="Consolas" w:eastAsia="Consolas" w:hAnsi="Consolas"/>
                <w:sz w:val="16"/>
                <w:szCs w:val="16"/>
              </w:rPr>
              <w:t xml:space="preserve">AVG([Annual Scholarship USD])</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$5,949</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KPI-12 Recipient Rate</w:t>
            </w:r>
          </w:p>
        </w:tc>
        <w:tc>
          <w:tcPr>
            <w:tcW w:type="dxa" w:w="50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Consolas" w:cs="Consolas" w:eastAsia="Consolas" w:hAnsi="Consolas"/>
                <w:sz w:val="16"/>
                <w:szCs w:val="16"/>
              </w:rPr>
              <w:t xml:space="preserve">SUM([Has Scholarship]) / COUNT([Student ID])</w:t>
            </w:r>
          </w:p>
        </w:tc>
        <w:tc>
          <w:tcPr>
            <w:tcW w:type="dxa" w:w="2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56.8%</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KPI-13 Avg Annual Net Cost</w:t>
            </w:r>
          </w:p>
        </w:tc>
        <w:tc>
          <w:tcPr>
            <w:tcW w:type="dxa" w:w="5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Consolas" w:cs="Consolas" w:eastAsia="Consolas" w:hAnsi="Consolas"/>
                <w:sz w:val="16"/>
                <w:szCs w:val="16"/>
              </w:rPr>
              <w:t xml:space="preserve">AVG([Annual Net Cost USD])</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$19,535</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KPI-14 Scholarship Utilization</w:t>
            </w:r>
          </w:p>
        </w:tc>
        <w:tc>
          <w:tcPr>
            <w:tcW w:type="dxa" w:w="50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Consolas" w:cs="Consolas" w:eastAsia="Consolas" w:hAnsi="Consolas"/>
                <w:sz w:val="16"/>
                <w:szCs w:val="16"/>
              </w:rPr>
              <w:t xml:space="preserve">SUM([Scholarship Awarded USD]) / SUM([Scholarship Budget USD])</w:t>
            </w:r>
          </w:p>
        </w:tc>
        <w:tc>
          <w:tcPr>
            <w:tcW w:type="dxa" w:w="2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85.0%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KPI-15 Funding per Student</w:t>
            </w:r>
          </w:p>
        </w:tc>
        <w:tc>
          <w:tcPr>
            <w:tcW w:type="dxa" w:w="5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Consolas" w:cs="Consolas" w:eastAsia="Consolas" w:hAnsi="Consolas"/>
                <w:sz w:val="16"/>
                <w:szCs w:val="16"/>
              </w:rPr>
              <w:t xml:space="preserve">(SUM([State Appropriation USD]) + SUM([Federal Research Grants USD]) + SUM([Endowment Payout USD])) / SUM([Total Enrollment Est])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$8,783</w:t>
            </w:r>
          </w:p>
        </w:tc>
      </w:tr>
    </w:tbl>
    <w:p>
      <w:pPr>
        <w:pStyle w:val="Heading1"/>
        <w:keepNext/>
        <w:pBdr>
          <w:bottom w:val="single" w:color="1F3864" w:sz="6" w:space="2"/>
        </w:pBdr>
        <w:spacing w:after="140" w:before="320"/>
      </w:pPr>
      <w:r>
        <w:rPr>
          <w:rFonts w:ascii="Arial" w:cs="Arial" w:eastAsia="Arial" w:hAnsi="Arial"/>
          <w:b/>
          <w:bCs/>
          <w:color w:val="1F3864"/>
          <w:sz w:val="30"/>
          <w:szCs w:val="30"/>
        </w:rPr>
        <w:t xml:space="preserve">Part F. Build Dashboard 4: Aid and Funding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5580"/>
        <w:gridCol w:w="230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Sheet</w:t>
            </w:r>
          </w:p>
        </w:tc>
        <w:tc>
          <w:tcPr>
            <w:tcW w:type="dxa" w:w="55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How to build</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Check against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S11 Scholarship by Field</w:t>
            </w:r>
          </w:p>
        </w:tc>
        <w:tc>
          <w:tcPr>
            <w:tcW w:type="dxa" w:w="55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Rows: Field of Study. Columns: KPI-11. Color: KPI-12. Sort descending.</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Ref Aid &amp; Funding</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S12 Scholarship Type Mix</w:t>
            </w:r>
          </w:p>
        </w:tc>
        <w:tc>
          <w:tcPr>
            <w:tcW w:type="dxa" w:w="55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Filter Scholarship Type to exclude None. Rows: Scholarship Type. Columns: COUNT(Student ID) and Avg Award (Recipients).</w:t>
            </w:r>
          </w:p>
        </w:tc>
        <w:tc>
          <w:tcPr>
            <w:tcW w:type="dxa" w:w="23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Ref Aid &amp; Funding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S13 Graduation by Aid Coverage</w:t>
            </w:r>
          </w:p>
        </w:tc>
        <w:tc>
          <w:tcPr>
            <w:tcW w:type="dxa" w:w="55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Rows: Aid Coverage Band (manual sort). Columns: Graduation Rate. Label students count. Add a note: association, not proof of cause.</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No aid 60.6%; Under 25% 70.3%; 25-50% 75.4%; Over 50% 81.8%</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S14 Funding Mix</w:t>
            </w:r>
          </w:p>
        </w:tc>
        <w:tc>
          <w:tcPr>
            <w:tcW w:type="dxa" w:w="55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Rows: Control Type. Columns: Measure Values with SUM(State Appropriation USD), SUM(Federal Research Grants USD), SUM(Endowment Payout USD). Stacked bars. Add S14b: Funding per Student (KPI-15) by Control Type.</w:t>
            </w:r>
          </w:p>
        </w:tc>
        <w:tc>
          <w:tcPr>
            <w:tcW w:type="dxa" w:w="23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Private For-Profit $304; Private Nonprofit $10,812; Public $11,676</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S15 Utilization by College</w:t>
            </w:r>
          </w:p>
        </w:tc>
        <w:tc>
          <w:tcPr>
            <w:tcW w:type="dxa" w:w="55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Rows: College sorted by KPI-14. Columns: KPI-14. Add an average reference line.</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Ref Aid &amp; Funding (about 84% to 85% by control type)</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S16 KPI Tiles</w:t>
            </w:r>
          </w:p>
        </w:tc>
        <w:tc>
          <w:tcPr>
            <w:tcW w:type="dxa" w:w="55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Text tiles for KPI-11 to KPI-15.</w:t>
            </w:r>
          </w:p>
        </w:tc>
        <w:tc>
          <w:tcPr>
            <w:tcW w:type="dxa" w:w="23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Table in E6</w:t>
            </w:r>
          </w:p>
        </w:tc>
      </w:tr>
    </w:tbl>
    <w:p>
      <w:pPr>
        <w:pStyle w:val="ListParagraph"/>
        <w:numPr>
          <w:ilvl w:val="0"/>
          <w:numId w:val="2"/>
        </w:numPr>
        <w:spacing w:after="60" w:line="276"/>
      </w:pPr>
      <w:r>
        <w:rPr>
          <w:rFonts w:ascii="Arial" w:cs="Arial" w:eastAsia="Arial" w:hAnsi="Arial"/>
          <w:sz w:val="21"/>
          <w:szCs w:val="21"/>
        </w:rPr>
        <w:t xml:space="preserve">Dashboard &gt; New Dashboard, Fixed 1200 x 850, with the same synthetic-data banner as the other dashboards.</w:t>
      </w:r>
    </w:p>
    <w:p>
      <w:pPr>
        <w:pStyle w:val="ListParagraph"/>
        <w:numPr>
          <w:ilvl w:val="0"/>
          <w:numId w:val="2"/>
        </w:numPr>
        <w:spacing w:after="60" w:line="276"/>
      </w:pPr>
      <w:r>
        <w:rPr>
          <w:rFonts w:ascii="Arial" w:cs="Arial" w:eastAsia="Arial" w:hAnsi="Arial"/>
          <w:sz w:val="21"/>
          <w:szCs w:val="21"/>
        </w:rPr>
        <w:t xml:space="preserve">Filters: Control Type, Region, Size Tier and Selectivity Tier apply to every sheet. Cohort Year, STEM Flag, First-Gen Flag and Family Income Band apply only to S11, S12, S13 (student-based sheets).</w:t>
      </w:r>
    </w:p>
    <w:p>
      <w:pPr>
        <w:pStyle w:val="ListParagraph"/>
        <w:numPr>
          <w:ilvl w:val="0"/>
          <w:numId w:val="2"/>
        </w:numPr>
        <w:spacing w:after="60" w:line="276"/>
      </w:pPr>
      <w:r>
        <w:rPr>
          <w:rFonts w:ascii="Arial" w:cs="Arial" w:eastAsia="Arial" w:hAnsi="Arial"/>
          <w:sz w:val="21"/>
          <w:szCs w:val="21"/>
        </w:rPr>
        <w:t xml:space="preserve">Action: clicking a Control Type bar on S14 filters S11, S12, S13, S15.</w:t>
      </w:r>
    </w:p>
    <w:p>
      <w:pPr>
        <w:pStyle w:val="Heading1"/>
        <w:keepNext/>
        <w:pBdr>
          <w:bottom w:val="single" w:color="1F3864" w:sz="6" w:space="2"/>
        </w:pBdr>
        <w:spacing w:after="140" w:before="320"/>
      </w:pPr>
      <w:r>
        <w:rPr>
          <w:rFonts w:ascii="Arial" w:cs="Arial" w:eastAsia="Arial" w:hAnsi="Arial"/>
          <w:b/>
          <w:bCs/>
          <w:color w:val="1F3864"/>
          <w:sz w:val="30"/>
          <w:szCs w:val="30"/>
        </w:rPr>
        <w:t xml:space="preserve">Part G. LOD Lab: Demos C2 and E</w:t>
      </w:r>
    </w:p>
    <w:p>
      <w:pPr>
        <w:pStyle w:val="Heading2"/>
        <w:keepNext/>
        <w:spacing w:after="100" w:before="220"/>
      </w:pPr>
      <w:r>
        <w:rPr>
          <w:rFonts w:ascii="Arial" w:cs="Arial" w:eastAsia="Arial" w:hAnsi="Arial"/>
          <w:b/>
          <w:bCs/>
          <w:color w:val="2F5597"/>
          <w:sz w:val="24"/>
          <w:szCs w:val="24"/>
        </w:rPr>
        <w:t xml:space="preserve">G1. Demo C2: pooled versus average of college scholarship (extends demo 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Field</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Formula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C4 Pooled Avg Scholarship</w:t>
            </w:r>
          </w:p>
        </w:tc>
        <w:tc>
          <w:tcPr>
            <w:tcW w:type="dxa" w:w="7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Consolas" w:cs="Consolas" w:eastAsia="Consolas" w:hAnsi="Consolas"/>
                <w:sz w:val="16"/>
                <w:szCs w:val="16"/>
              </w:rPr>
              <w:t xml:space="preserve">AVG([Annual Scholarship USD])</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C5 Avg of College Avgs (overall)</w:t>
            </w:r>
          </w:p>
        </w:tc>
        <w:tc>
          <w:tcPr>
            <w:tcW w:type="dxa" w:w="70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Consolas" w:cs="Consolas" w:eastAsia="Consolas" w:hAnsi="Consolas"/>
                <w:sz w:val="16"/>
                <w:szCs w:val="16"/>
              </w:rPr>
              <w:t xml:space="preserve">AVG({FIXED [College ID] : AVG([Annual Scholarship USD])})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C6 Avg of College Avgs (by field)</w:t>
            </w:r>
          </w:p>
        </w:tc>
        <w:tc>
          <w:tcPr>
            <w:tcW w:type="dxa" w:w="7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Consolas" w:cs="Consolas" w:eastAsia="Consolas" w:hAnsi="Consolas"/>
                <w:sz w:val="16"/>
                <w:szCs w:val="16"/>
              </w:rPr>
              <w:t xml:space="preserve">AVG({INCLUDE [College ID] : AVG([Annual Scholarship USD])})</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2400"/>
        <w:gridCol w:w="1880"/>
      </w:tblGrid>
      <w:tr>
        <w:trPr>
          <w:tblHeader/>
        </w:trPr>
        <w:tc>
          <w:tcPr>
            <w:tcW w:type="dxa" w:w="3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Level</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Pooled</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Avg of college averages</w:t>
            </w:r>
          </w:p>
        </w:tc>
        <w:tc>
          <w:tcPr>
            <w:tcW w:type="dxa" w:w="18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Difference</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Overall</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$5,949</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$6,498</w:t>
            </w:r>
          </w:p>
        </w:tc>
        <w:tc>
          <w:tcPr>
            <w:tcW w:type="dxa" w:w="18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$549</w:t>
            </w:r>
          </w:p>
        </w:tc>
      </w:tr>
      <w:tr>
        <w:trPr>
          <w:cantSplit/>
        </w:trPr>
        <w:tc>
          <w:tcPr>
            <w:tcW w:type="dxa" w:w="38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Nursing &amp; Health Sciences</w:t>
            </w:r>
          </w:p>
        </w:tc>
        <w:tc>
          <w:tcPr>
            <w:tcW w:type="dxa" w:w="2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$6,191</w:t>
            </w:r>
          </w:p>
        </w:tc>
        <w:tc>
          <w:tcPr>
            <w:tcW w:type="dxa" w:w="24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$6,642</w:t>
            </w:r>
          </w:p>
        </w:tc>
        <w:tc>
          <w:tcPr>
            <w:tcW w:type="dxa" w:w="18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$451</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Engineering</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$6,091</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$6,572</w:t>
            </w:r>
          </w:p>
        </w:tc>
        <w:tc>
          <w:tcPr>
            <w:tcW w:type="dxa" w:w="18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$481</w:t>
            </w:r>
          </w:p>
        </w:tc>
      </w:tr>
      <w:tr>
        <w:trPr>
          <w:cantSplit/>
        </w:trPr>
        <w:tc>
          <w:tcPr>
            <w:tcW w:type="dxa" w:w="38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Biology &amp; Life Sciences</w:t>
            </w:r>
          </w:p>
        </w:tc>
        <w:tc>
          <w:tcPr>
            <w:tcW w:type="dxa" w:w="2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$6,047</w:t>
            </w:r>
          </w:p>
        </w:tc>
        <w:tc>
          <w:tcPr>
            <w:tcW w:type="dxa" w:w="24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$6,733</w:t>
            </w:r>
          </w:p>
        </w:tc>
        <w:tc>
          <w:tcPr>
            <w:tcW w:type="dxa" w:w="18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$686</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Computer Science</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$6,031</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$6,563</w:t>
            </w:r>
          </w:p>
        </w:tc>
        <w:tc>
          <w:tcPr>
            <w:tcW w:type="dxa" w:w="18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$532</w:t>
            </w:r>
          </w:p>
        </w:tc>
      </w:tr>
      <w:tr>
        <w:trPr>
          <w:cantSplit/>
        </w:trPr>
        <w:tc>
          <w:tcPr>
            <w:tcW w:type="dxa" w:w="38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Psychology</w:t>
            </w:r>
          </w:p>
        </w:tc>
        <w:tc>
          <w:tcPr>
            <w:tcW w:type="dxa" w:w="2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$5,955</w:t>
            </w:r>
          </w:p>
        </w:tc>
        <w:tc>
          <w:tcPr>
            <w:tcW w:type="dxa" w:w="24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$6,681</w:t>
            </w:r>
          </w:p>
        </w:tc>
        <w:tc>
          <w:tcPr>
            <w:tcW w:type="dxa" w:w="18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$726</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Physical Sciences &amp; Math</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$5,920</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$6,562</w:t>
            </w:r>
          </w:p>
        </w:tc>
        <w:tc>
          <w:tcPr>
            <w:tcW w:type="dxa" w:w="18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$642</w:t>
            </w:r>
          </w:p>
        </w:tc>
      </w:tr>
      <w:tr>
        <w:trPr>
          <w:cantSplit/>
        </w:trPr>
        <w:tc>
          <w:tcPr>
            <w:tcW w:type="dxa" w:w="38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Social Sciences</w:t>
            </w:r>
          </w:p>
        </w:tc>
        <w:tc>
          <w:tcPr>
            <w:tcW w:type="dxa" w:w="2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$5,896</w:t>
            </w:r>
          </w:p>
        </w:tc>
        <w:tc>
          <w:tcPr>
            <w:tcW w:type="dxa" w:w="24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$6,251</w:t>
            </w:r>
          </w:p>
        </w:tc>
        <w:tc>
          <w:tcPr>
            <w:tcW w:type="dxa" w:w="18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$355</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Business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$5,815</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$6,384</w:t>
            </w:r>
          </w:p>
        </w:tc>
        <w:tc>
          <w:tcPr>
            <w:tcW w:type="dxa" w:w="18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$569</w:t>
            </w:r>
          </w:p>
        </w:tc>
      </w:tr>
      <w:tr>
        <w:trPr>
          <w:cantSplit/>
        </w:trPr>
        <w:tc>
          <w:tcPr>
            <w:tcW w:type="dxa" w:w="38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Arts &amp; Humanities</w:t>
            </w:r>
          </w:p>
        </w:tc>
        <w:tc>
          <w:tcPr>
            <w:tcW w:type="dxa" w:w="2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$5,740</w:t>
            </w:r>
          </w:p>
        </w:tc>
        <w:tc>
          <w:tcPr>
            <w:tcW w:type="dxa" w:w="24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$6,310</w:t>
            </w:r>
          </w:p>
        </w:tc>
        <w:tc>
          <w:tcPr>
            <w:tcW w:type="dxa" w:w="18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$570</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Education</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$5,700</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$6,244</w:t>
            </w:r>
          </w:p>
        </w:tc>
        <w:tc>
          <w:tcPr>
            <w:tcW w:type="dxa" w:w="18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$544</w:t>
            </w:r>
          </w:p>
        </w:tc>
      </w:tr>
    </w:tbl>
    <w:p>
      <w:pPr>
        <w:pStyle w:val="ListParagraph"/>
        <w:numPr>
          <w:ilvl w:val="0"/>
          <w:numId w:val="2"/>
        </w:numPr>
        <w:spacing w:after="60" w:line="276"/>
      </w:pPr>
      <w:r>
        <w:rPr>
          <w:rFonts w:ascii="Arial" w:cs="Arial" w:eastAsia="Arial" w:hAnsi="Arial"/>
          <w:b/>
          <w:bCs/>
          <w:sz w:val="21"/>
          <w:szCs w:val="21"/>
        </w:rPr>
        <w:t xml:space="preserve">What to observe. </w:t>
      </w:r>
      <w:r>
        <w:rPr>
          <w:rFonts w:ascii="Arial" w:cs="Arial" w:eastAsia="Arial" w:hAnsi="Arial"/>
          <w:sz w:val="21"/>
          <w:szCs w:val="21"/>
        </w:rPr>
        <w:t xml:space="preserve">The averaged value is higher by about 9% because small, generous private colleges count as much as large public ones. Unlike graduation rate in demo C, the weighting choice clearly changes this KPI, so the definition (KPI-11 is pooled) must be documented.</w:t>
      </w:r>
    </w:p>
    <w:p>
      <w:pPr>
        <w:pStyle w:val="Heading2"/>
        <w:keepNext/>
        <w:spacing w:after="100" w:before="220"/>
      </w:pPr>
      <w:r>
        <w:rPr>
          <w:rFonts w:ascii="Arial" w:cs="Arial" w:eastAsia="Arial" w:hAnsi="Arial"/>
          <w:b/>
          <w:bCs/>
          <w:color w:val="2F5597"/>
          <w:sz w:val="24"/>
          <w:szCs w:val="24"/>
        </w:rPr>
        <w:t xml:space="preserve">G2. Demo E: fan-out from mixed grain (FR-34)</w:t>
      </w:r>
    </w:p>
    <w:p>
      <w:pPr>
        <w:spacing w:after="120" w:before="0" w:line="276"/>
      </w:pPr>
      <w:r>
        <w:rPr>
          <w:rFonts w:ascii="Arial" w:cs="Arial" w:eastAsia="Arial" w:hAnsi="Arial"/>
          <w:sz w:val="21"/>
          <w:szCs w:val="21"/>
        </w:rPr>
        <w:t xml:space="preserve">Funding is stored once per college and year (240 rows). Students are stored once per student (23,121 rows). If you join them, each funding value repeats for every student in that college and cohort year, and SUM inflates.</w:t>
      </w:r>
    </w:p>
    <w:p>
      <w:pPr>
        <w:pStyle w:val="ListParagraph"/>
        <w:numPr>
          <w:ilvl w:val="0"/>
          <w:numId w:val="2"/>
        </w:numPr>
        <w:spacing w:after="60" w:line="276"/>
      </w:pPr>
      <w:r>
        <w:rPr>
          <w:rFonts w:ascii="Arial" w:cs="Arial" w:eastAsia="Arial" w:hAnsi="Arial"/>
          <w:sz w:val="21"/>
          <w:szCs w:val="21"/>
        </w:rPr>
        <w:t xml:space="preserve">Create a new data source: connect fact_students.csv, drag fact_college_funding.csv beside it, and choose a physical Join (double-click the noodle, Left join). Join on College ID = college_id and Cohort Year = Fiscal Year. Name it Students+Funding (join).</w:t>
      </w:r>
    </w:p>
    <w:p>
      <w:pPr>
        <w:pStyle w:val="ListParagraph"/>
        <w:numPr>
          <w:ilvl w:val="0"/>
          <w:numId w:val="2"/>
        </w:numPr>
        <w:spacing w:after="60" w:line="276"/>
      </w:pPr>
      <w:r>
        <w:rPr>
          <w:rFonts w:ascii="Arial" w:cs="Arial" w:eastAsia="Arial" w:hAnsi="Arial"/>
          <w:sz w:val="21"/>
          <w:szCs w:val="21"/>
        </w:rPr>
        <w:t xml:space="preserve">Create E1 = SUM([State Appropriation USD]) and E2 = SUM({FIXED [College ID], [Fiscal Year] : MAX([State Appropriation USD])}) in that data source. Because Fiscal Year comes from the funding table, check that E2 uses it.</w:t>
      </w:r>
    </w:p>
    <w:p>
      <w:pPr>
        <w:pStyle w:val="ListParagraph"/>
        <w:numPr>
          <w:ilvl w:val="0"/>
          <w:numId w:val="2"/>
        </w:numPr>
        <w:spacing w:after="60" w:line="276"/>
      </w:pPr>
      <w:r>
        <w:rPr>
          <w:rFonts w:ascii="Arial" w:cs="Arial" w:eastAsia="Arial" w:hAnsi="Arial"/>
          <w:sz w:val="21"/>
          <w:szCs w:val="21"/>
        </w:rPr>
        <w:t xml:space="preserve">Build a sheet: Rows: Cohort Year. Columns: E1 and E2 (side by side).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700"/>
        <w:gridCol w:w="2900"/>
        <w:gridCol w:w="238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Cohort year</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Students</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Funding rows</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E1 naive SUM</w:t>
            </w:r>
          </w:p>
        </w:tc>
        <w:tc>
          <w:tcPr>
            <w:tcW w:type="dxa" w:w="23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E2 FIXED (correct)</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2018</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2,603</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30</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$3,601,611,000</w:t>
            </w:r>
          </w:p>
        </w:tc>
        <w:tc>
          <w:tcPr>
            <w:tcW w:type="dxa" w:w="23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$34,125,000</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2019</w:t>
            </w:r>
          </w:p>
        </w:tc>
        <w:tc>
          <w:tcPr>
            <w:tcW w:type="dxa" w:w="16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2,709</w:t>
            </w:r>
          </w:p>
        </w:tc>
        <w:tc>
          <w:tcPr>
            <w:tcW w:type="dxa" w:w="17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30</w:t>
            </w:r>
          </w:p>
        </w:tc>
        <w:tc>
          <w:tcPr>
            <w:tcW w:type="dxa" w:w="29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$3,837,951,000</w:t>
            </w:r>
          </w:p>
        </w:tc>
        <w:tc>
          <w:tcPr>
            <w:tcW w:type="dxa" w:w="23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$35,020,000</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2020</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2,586</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30</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$4,065,107,000</w:t>
            </w:r>
          </w:p>
        </w:tc>
        <w:tc>
          <w:tcPr>
            <w:tcW w:type="dxa" w:w="23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$38,241,000</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2021</w:t>
            </w:r>
          </w:p>
        </w:tc>
        <w:tc>
          <w:tcPr>
            <w:tcW w:type="dxa" w:w="16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2,840</w:t>
            </w:r>
          </w:p>
        </w:tc>
        <w:tc>
          <w:tcPr>
            <w:tcW w:type="dxa" w:w="17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30</w:t>
            </w:r>
          </w:p>
        </w:tc>
        <w:tc>
          <w:tcPr>
            <w:tcW w:type="dxa" w:w="29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$4,549,820,000</w:t>
            </w:r>
          </w:p>
        </w:tc>
        <w:tc>
          <w:tcPr>
            <w:tcW w:type="dxa" w:w="23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$39,447,000</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2022</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2,984</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30</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$5,119,273,000</w:t>
            </w:r>
          </w:p>
        </w:tc>
        <w:tc>
          <w:tcPr>
            <w:tcW w:type="dxa" w:w="23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$41,919,000</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2023</w:t>
            </w:r>
          </w:p>
        </w:tc>
        <w:tc>
          <w:tcPr>
            <w:tcW w:type="dxa" w:w="16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2,998</w:t>
            </w:r>
          </w:p>
        </w:tc>
        <w:tc>
          <w:tcPr>
            <w:tcW w:type="dxa" w:w="17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30</w:t>
            </w:r>
          </w:p>
        </w:tc>
        <w:tc>
          <w:tcPr>
            <w:tcW w:type="dxa" w:w="29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$5,379,271,000</w:t>
            </w:r>
          </w:p>
        </w:tc>
        <w:tc>
          <w:tcPr>
            <w:tcW w:type="dxa" w:w="23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$43,787,000</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2024</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3,147</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30</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$6,469,931,000</w:t>
            </w:r>
          </w:p>
        </w:tc>
        <w:tc>
          <w:tcPr>
            <w:tcW w:type="dxa" w:w="23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$47,668,000</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2025</w:t>
            </w:r>
          </w:p>
        </w:tc>
        <w:tc>
          <w:tcPr>
            <w:tcW w:type="dxa" w:w="16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3,254</w:t>
            </w:r>
          </w:p>
        </w:tc>
        <w:tc>
          <w:tcPr>
            <w:tcW w:type="dxa" w:w="17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30</w:t>
            </w:r>
          </w:p>
        </w:tc>
        <w:tc>
          <w:tcPr>
            <w:tcW w:type="dxa" w:w="29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$6,576,457,000</w:t>
            </w:r>
          </w:p>
        </w:tc>
        <w:tc>
          <w:tcPr>
            <w:tcW w:type="dxa" w:w="23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$50,448,000</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All years</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23,121</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240</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$39,599,421,000</w:t>
            </w:r>
          </w:p>
        </w:tc>
        <w:tc>
          <w:tcPr>
            <w:tcW w:type="dxa" w:w="23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$330,655,000</w:t>
            </w:r>
          </w:p>
        </w:tc>
      </w:tr>
    </w:tbl>
    <w:p>
      <w:pPr>
        <w:pStyle w:val="ListParagraph"/>
        <w:numPr>
          <w:ilvl w:val="0"/>
          <w:numId w:val="2"/>
        </w:numPr>
        <w:spacing w:after="60" w:line="276"/>
      </w:pPr>
      <w:r>
        <w:rPr>
          <w:rFonts w:ascii="Arial" w:cs="Arial" w:eastAsia="Arial" w:hAnsi="Arial"/>
          <w:b/>
          <w:bCs/>
          <w:sz w:val="21"/>
          <w:szCs w:val="21"/>
        </w:rPr>
        <w:t xml:space="preserve">What to observe. </w:t>
      </w:r>
      <w:r>
        <w:rPr>
          <w:rFonts w:ascii="Arial" w:cs="Arial" w:eastAsia="Arial" w:hAnsi="Arial"/>
          <w:sz w:val="21"/>
          <w:szCs w:val="21"/>
        </w:rPr>
        <w:t xml:space="preserve">The naive total is about 119.8 times the correct total. In 2025, 3,254 students repeat 30 funding rows.</w:t>
      </w:r>
    </w:p>
    <w:p>
      <w:pPr>
        <w:pStyle w:val="ListParagraph"/>
        <w:numPr>
          <w:ilvl w:val="0"/>
          <w:numId w:val="2"/>
        </w:numPr>
        <w:spacing w:after="60" w:line="276"/>
      </w:pPr>
      <w:r>
        <w:rPr>
          <w:rFonts w:ascii="Arial" w:cs="Arial" w:eastAsia="Arial" w:hAnsi="Arial"/>
          <w:b/>
          <w:bCs/>
          <w:sz w:val="21"/>
          <w:szCs w:val="21"/>
        </w:rPr>
        <w:t xml:space="preserve">Takeaway. </w:t>
      </w:r>
      <w:r>
        <w:rPr>
          <w:rFonts w:ascii="Arial" w:cs="Arial" w:eastAsia="Arial" w:hAnsi="Arial"/>
          <w:sz w:val="21"/>
          <w:szCs w:val="21"/>
        </w:rPr>
        <w:t xml:space="preserve">A FIXED LOD at the grain of the smaller table (MAX or MIN of the repeated value) removes the duplication. Relationships avoid the problem in the main data source because each table is aggregated at its own level; that is why the main model uses relationships, and why the RSK-06 mitigation works.</w:t>
      </w:r>
    </w:p>
    <w:p>
      <w:pPr>
        <w:pStyle w:val="ListParagraph"/>
        <w:numPr>
          <w:ilvl w:val="0"/>
          <w:numId w:val="2"/>
        </w:numPr>
        <w:spacing w:after="60" w:line="276"/>
      </w:pPr>
      <w:r>
        <w:rPr>
          <w:rFonts w:ascii="Arial" w:cs="Arial" w:eastAsia="Arial" w:hAnsi="Arial"/>
          <w:b/>
          <w:bCs/>
          <w:sz w:val="21"/>
          <w:szCs w:val="21"/>
        </w:rPr>
        <w:t xml:space="preserve">Add to Dashboard 3. </w:t>
      </w:r>
      <w:r>
        <w:rPr>
          <w:rFonts w:ascii="Arial" w:cs="Arial" w:eastAsia="Arial" w:hAnsi="Arial"/>
          <w:sz w:val="21"/>
          <w:szCs w:val="21"/>
        </w:rPr>
        <w:t xml:space="preserve">Place the demo E sheet and annotate it with the expected values above (FR-24).</w:t>
      </w:r>
    </w:p>
    <w:p>
      <w:pPr>
        <w:pStyle w:val="Heading1"/>
        <w:keepNext/>
        <w:pBdr>
          <w:bottom w:val="single" w:color="1F3864" w:sz="6" w:space="2"/>
        </w:pBdr>
        <w:spacing w:after="140" w:before="320"/>
      </w:pPr>
      <w:r>
        <w:rPr>
          <w:rFonts w:ascii="Arial" w:cs="Arial" w:eastAsia="Arial" w:hAnsi="Arial"/>
          <w:b/>
          <w:bCs/>
          <w:color w:val="1F3864"/>
          <w:sz w:val="30"/>
          <w:szCs w:val="30"/>
        </w:rPr>
        <w:t xml:space="preserve">Part H. Validate and Publish v1.1</w:t>
      </w:r>
    </w:p>
    <w:p>
      <w:pPr>
        <w:pStyle w:val="ListParagraph"/>
        <w:numPr>
          <w:ilvl w:val="0"/>
          <w:numId w:val="2"/>
        </w:numPr>
        <w:spacing w:after="60" w:line="276"/>
      </w:pPr>
      <w:r>
        <w:rPr>
          <w:rFonts w:ascii="Arial" w:cs="Arial" w:eastAsia="Arial" w:hAnsi="Arial"/>
          <w:sz w:val="21"/>
          <w:szCs w:val="21"/>
        </w:rPr>
        <w:t xml:space="preserve">Regression: KPI-01 to KPI-10 and REC-01 to REC-17 unchanged (E4).</w:t>
      </w:r>
    </w:p>
    <w:p>
      <w:pPr>
        <w:pStyle w:val="ListParagraph"/>
        <w:numPr>
          <w:ilvl w:val="0"/>
          <w:numId w:val="2"/>
        </w:numPr>
        <w:spacing w:after="60" w:line="276"/>
      </w:pPr>
      <w:r>
        <w:rPr>
          <w:rFonts w:ascii="Arial" w:cs="Arial" w:eastAsia="Arial" w:hAnsi="Arial"/>
          <w:sz w:val="21"/>
          <w:szCs w:val="21"/>
        </w:rPr>
        <w:t xml:space="preserve">New KPIs: KPI-11 to KPI-15 match the table in E6; REC-18 onward (funding and aid checks) show OK in the workbook.</w:t>
      </w:r>
    </w:p>
    <w:p>
      <w:pPr>
        <w:pStyle w:val="ListParagraph"/>
        <w:numPr>
          <w:ilvl w:val="0"/>
          <w:numId w:val="2"/>
        </w:numPr>
        <w:spacing w:after="60" w:line="276"/>
      </w:pPr>
      <w:r>
        <w:rPr>
          <w:rFonts w:ascii="Arial" w:cs="Arial" w:eastAsia="Arial" w:hAnsi="Arial"/>
          <w:sz w:val="21"/>
          <w:szCs w:val="21"/>
        </w:rPr>
        <w:t xml:space="preserve">Run the v1.1 test cases in the workbook Test Cases sheet and record results.</w:t>
      </w:r>
    </w:p>
    <w:p>
      <w:pPr>
        <w:pStyle w:val="ListParagraph"/>
        <w:numPr>
          <w:ilvl w:val="0"/>
          <w:numId w:val="2"/>
        </w:numPr>
        <w:spacing w:after="60" w:line="276"/>
      </w:pPr>
      <w:r>
        <w:rPr>
          <w:rFonts w:ascii="Arial" w:cs="Arial" w:eastAsia="Arial" w:hAnsi="Arial"/>
          <w:sz w:val="21"/>
          <w:szCs w:val="21"/>
        </w:rPr>
        <w:t xml:space="preserve">Republish to Tableau Public using the same name (File &gt; Save to Tableau Public As, choose the existing workbook) so the link stays the same.</w:t>
      </w:r>
    </w:p>
    <w:p>
      <w:pPr>
        <w:pStyle w:val="ListParagraph"/>
        <w:numPr>
          <w:ilvl w:val="0"/>
          <w:numId w:val="2"/>
        </w:numPr>
        <w:spacing w:after="60" w:line="276"/>
      </w:pPr>
      <w:r>
        <w:rPr>
          <w:rFonts w:ascii="Arial" w:cs="Arial" w:eastAsia="Arial" w:hAnsi="Arial"/>
          <w:sz w:val="21"/>
          <w:szCs w:val="21"/>
        </w:rPr>
        <w:t xml:space="preserve">Update screenshots and the README, commit, merge the CR-001 branch and tag v1.1.</w:t>
      </w:r>
    </w:p>
    <w:sectPr>
      <w:headerReference w:type="default" r:id="rId7"/>
      <w:footerReference w:type="default" r:id="rId8"/>
      <w:pgSz w:w="12240" w:h="15840" w:orient="portrait"/>
      <w:pgMar w:top="120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Portfolio project (simulated engagement)  |  Page </w:t>
    </w:r>
    <w:r>
      <w:rPr>
        <w:rFonts w:ascii="Arial" w:cs="Arial" w:eastAsia="Arial" w:hAnsi="Arial"/>
        <w:color w:val="7F7F7F"/>
        <w:sz w:val="16"/>
        <w:szCs w:val="16"/>
      </w:rPr>
      <w:fldChar w:fldCharType="begin"/>
      <w:instrText xml:space="preserve">PAGE</w:instrText>
      <w:fldChar w:fldCharType="separate"/>
      <w:fldChar w:fldCharType="end"/>
    </w:r>
    <w:r>
      <w:rPr>
        <w:rFonts w:ascii="Arial" w:cs="Arial" w:eastAsia="Arial" w:hAnsi="Arial"/>
        <w:color w:val="7F7F7F"/>
        <w:sz w:val="16"/>
        <w:szCs w:val="16"/>
      </w:rPr>
      <w:t xml:space="preserve"> of </w:t>
    </w:r>
    <w:r>
      <w:rPr>
        <w:rFonts w:ascii="Arial" w:cs="Arial" w:eastAsia="Arial" w:hAnsi="Arial"/>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U.S. College Enrollment &amp; Outcomes Analytics  |  Tableau Guide Addendum CR-001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Tableau Guide Addendum CR-001</dc:title>
  <dc:creator>Business Analyst</dc:creator>
  <cp:lastModifiedBy>Un-named</cp:lastModifiedBy>
  <cp:revision>1</cp:revision>
  <dcterms:created xsi:type="dcterms:W3CDTF">2026-09-19T20:38:29.600Z</dcterms:created>
  <dcterms:modified xsi:type="dcterms:W3CDTF">2026-09-19T20:38:29.600Z</dcterms:modified>
</cp:coreProperties>
</file>

<file path=docProps/custom.xml><?xml version="1.0" encoding="utf-8"?>
<Properties xmlns="http://schemas.openxmlformats.org/officeDocument/2006/custom-properties" xmlns:vt="http://schemas.openxmlformats.org/officeDocument/2006/docPropsVTypes"/>
</file>