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5.6 Insertion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insertion sort algorithm in a predefined array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guide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5.6.1 Writing a program in Java implementing the insertion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5.6.2 Executing the program to verify the execution of the insertion sort algorithm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5.6.3 Pushing the code to your GitHub repositories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5.6.1: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insertion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insertionSort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44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i++){</w:t>
        <w:br w:type="textWrapping"/>
        <w:br w:type="textWrapping"/>
        <w:t xml:space="preserve">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.println(arr[i])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}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insertionSort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arr){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j&lt;len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j++){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key = arr[j]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i=j-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while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((i&gt;-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 &amp;&amp; (arr[i]&gt;key)){</w:t>
        <w:br w:type="textWrapping"/>
        <w:br w:type="textWrapping"/>
        <w:t xml:space="preserve">        arr[i+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]=arr[i]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i--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arr[i+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]=key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5.6.2: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the insertion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‘insertionSort.main()’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476875" cy="111442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5.6.3: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3.png"/>
          <a:graphic>
            <a:graphicData uri="http://schemas.openxmlformats.org/drawingml/2006/picture">
              <pic:pic>
                <pic:nvPicPr>
                  <pic:cNvPr descr="page2image568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iVFz4TX3fKIWpJMeEEEuJ8MgQ==">AMUW2mVi42hr6tA2K1F0uC5oplTEdYMVV9MjKNals+7xTRf3k+eKA8Ab1rUCnko0qDX5hBiy1GhVwDP2igzw9kMePhx6OYEZ9Iybbe1g5R1bL1LW4mirEWxYxrprptVp+vA+D9oTtfo7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