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color w:val="0284C7"/>
          <w:sz w:val="64"/>
        </w:rPr>
        <w:t>AQUAFLOW (REP)</w:t>
      </w:r>
    </w:p>
    <w:p>
      <w:pPr>
        <w:spacing w:before="0" w:after="240"/>
        <w:jc w:val="center"/>
      </w:pPr>
      <w:r>
        <w:rPr>
          <w:rFonts w:ascii="Calibri" w:hAnsi="Calibri"/>
          <w:color w:val="1E3A8A"/>
          <w:sz w:val="32"/>
        </w:rPr>
        <w:t>Smart Water Billing &amp; Multi-Tenant Property Management System</w:t>
      </w:r>
    </w:p>
    <w:p>
      <w:pPr>
        <w:spacing w:before="0" w:after="560"/>
        <w:jc w:val="center"/>
      </w:pPr>
      <w:r>
        <w:rPr>
          <w:rFonts w:ascii="Calibri" w:hAnsi="Calibri"/>
          <w:i/>
          <w:color w:val="475569"/>
          <w:sz w:val="22"/>
        </w:rPr>
        <w:t>Comprehensive Architectural Specification, Functional Blueprint, and Cross-Role Communication Workflows</w:t>
        <w:br/>
        <w:t>(Super Admin • Building Owner • Resident • Shared Engine)</w:t>
      </w:r>
    </w:p>
    <w:tbl>
      <w:tblPr>
        <w:tblW w:type="auto" w:w="0"/>
        <w:jc w:val="center"/>
        <w:tblLayout w:type="fixed"/>
        <w:tblLook w:firstColumn="1" w:firstRow="1" w:lastColumn="0" w:lastRow="0" w:noHBand="0" w:noVBand="1" w:val="04A0"/>
      </w:tblPr>
      <w:tblGrid>
        <w:gridCol w:w="3168"/>
        <w:gridCol w:w="6192"/>
      </w:tblGrid>
      <w:tr>
        <w:tc>
          <w:tcPr>
            <w:tcW w:type="dxa" w:w="4680"/>
            <w:shd w:fill="F8FAFC"/>
            <w:tcMar>
              <w:top w:w="80" w:type="dxa"/>
              <w:bottom w:w="80" w:type="dxa"/>
              <w:left w:w="120" w:type="dxa"/>
              <w:right w:w="120" w:type="dxa"/>
            </w:tcMar>
          </w:tcPr>
          <w:p>
            <w:pPr>
              <w:spacing w:after="0"/>
            </w:pPr>
            <w:r>
              <w:rPr>
                <w:rFonts w:ascii="Calibri" w:hAnsi="Calibri"/>
                <w:b/>
                <w:color w:val="1E3A8A"/>
                <w:sz w:val="19"/>
              </w:rPr>
              <w:t>Document Version</w:t>
            </w:r>
          </w:p>
        </w:tc>
        <w:tc>
          <w:tcPr>
            <w:tcW w:type="dxa" w:w="4680"/>
            <w:shd w:fill="FFFFFF"/>
            <w:tcMar>
              <w:top w:w="80" w:type="dxa"/>
              <w:bottom w:w="80" w:type="dxa"/>
              <w:left w:w="120" w:type="dxa"/>
              <w:right w:w="120" w:type="dxa"/>
            </w:tcMar>
          </w:tcPr>
          <w:p>
            <w:pPr>
              <w:spacing w:after="0"/>
            </w:pPr>
            <w:r>
              <w:rPr>
                <w:rFonts w:ascii="Calibri" w:hAnsi="Calibri"/>
                <w:color w:val="0F172A"/>
                <w:sz w:val="19"/>
              </w:rPr>
              <w:t>2.0 (Role-Reorganized &amp; Fully Modularized)</w:t>
            </w:r>
          </w:p>
        </w:tc>
      </w:tr>
      <w:tr>
        <w:tc>
          <w:tcPr>
            <w:tcW w:type="dxa" w:w="4680"/>
            <w:shd w:fill="F8FAFC"/>
            <w:tcMar>
              <w:top w:w="80" w:type="dxa"/>
              <w:bottom w:w="80" w:type="dxa"/>
              <w:left w:w="120" w:type="dxa"/>
              <w:right w:w="120" w:type="dxa"/>
            </w:tcMar>
          </w:tcPr>
          <w:p>
            <w:pPr>
              <w:spacing w:after="0"/>
            </w:pPr>
            <w:r>
              <w:rPr>
                <w:rFonts w:ascii="Calibri" w:hAnsi="Calibri"/>
                <w:b/>
                <w:color w:val="1E3A8A"/>
                <w:sz w:val="19"/>
              </w:rPr>
              <w:t>Date / Timestamp</w:t>
            </w:r>
          </w:p>
        </w:tc>
        <w:tc>
          <w:tcPr>
            <w:tcW w:type="dxa" w:w="4680"/>
            <w:shd w:fill="FFFFFF"/>
            <w:tcMar>
              <w:top w:w="80" w:type="dxa"/>
              <w:bottom w:w="80" w:type="dxa"/>
              <w:left w:w="120" w:type="dxa"/>
              <w:right w:w="120" w:type="dxa"/>
            </w:tcMar>
          </w:tcPr>
          <w:p>
            <w:pPr>
              <w:spacing w:after="0"/>
            </w:pPr>
            <w:r>
              <w:rPr>
                <w:rFonts w:ascii="Calibri" w:hAnsi="Calibri"/>
                <w:color w:val="0F172A"/>
                <w:sz w:val="19"/>
              </w:rPr>
              <w:t>October 2026</w:t>
            </w:r>
          </w:p>
        </w:tc>
      </w:tr>
      <w:tr>
        <w:tc>
          <w:tcPr>
            <w:tcW w:type="dxa" w:w="4680"/>
            <w:shd w:fill="F8FAFC"/>
            <w:tcMar>
              <w:top w:w="80" w:type="dxa"/>
              <w:bottom w:w="80" w:type="dxa"/>
              <w:left w:w="120" w:type="dxa"/>
              <w:right w:w="120" w:type="dxa"/>
            </w:tcMar>
          </w:tcPr>
          <w:p>
            <w:pPr>
              <w:spacing w:after="0"/>
            </w:pPr>
            <w:r>
              <w:rPr>
                <w:rFonts w:ascii="Calibri" w:hAnsi="Calibri"/>
                <w:b/>
                <w:color w:val="1E3A8A"/>
                <w:sz w:val="19"/>
              </w:rPr>
              <w:t>Architecture Stack</w:t>
            </w:r>
          </w:p>
        </w:tc>
        <w:tc>
          <w:tcPr>
            <w:tcW w:type="dxa" w:w="4680"/>
            <w:shd w:fill="FFFFFF"/>
            <w:tcMar>
              <w:top w:w="80" w:type="dxa"/>
              <w:bottom w:w="80" w:type="dxa"/>
              <w:left w:w="120" w:type="dxa"/>
              <w:right w:w="120" w:type="dxa"/>
            </w:tcMar>
          </w:tcPr>
          <w:p>
            <w:pPr>
              <w:spacing w:after="0"/>
            </w:pPr>
            <w:r>
              <w:rPr>
                <w:rFonts w:ascii="Calibri" w:hAnsi="Calibri"/>
                <w:color w:val="0F172A"/>
                <w:sz w:val="19"/>
              </w:rPr>
              <w:t>Spring Boot 3.2.5 (Java 17/25 Compatibility), React 19, Vite, MySQL 8.0, H2</w:t>
            </w:r>
          </w:p>
        </w:tc>
      </w:tr>
      <w:tr>
        <w:tc>
          <w:tcPr>
            <w:tcW w:type="dxa" w:w="4680"/>
            <w:shd w:fill="F8FAFC"/>
            <w:tcMar>
              <w:top w:w="80" w:type="dxa"/>
              <w:bottom w:w="80" w:type="dxa"/>
              <w:left w:w="120" w:type="dxa"/>
              <w:right w:w="120" w:type="dxa"/>
            </w:tcMar>
          </w:tcPr>
          <w:p>
            <w:pPr>
              <w:spacing w:after="0"/>
            </w:pPr>
            <w:r>
              <w:rPr>
                <w:rFonts w:ascii="Calibri" w:hAnsi="Calibri"/>
                <w:b/>
                <w:color w:val="1E3A8A"/>
                <w:sz w:val="19"/>
              </w:rPr>
              <w:t>Target Roles</w:t>
            </w:r>
          </w:p>
        </w:tc>
        <w:tc>
          <w:tcPr>
            <w:tcW w:type="dxa" w:w="4680"/>
            <w:shd w:fill="FFFFFF"/>
            <w:tcMar>
              <w:top w:w="80" w:type="dxa"/>
              <w:bottom w:w="80" w:type="dxa"/>
              <w:left w:w="120" w:type="dxa"/>
              <w:right w:w="120" w:type="dxa"/>
            </w:tcMar>
          </w:tcPr>
          <w:p>
            <w:pPr>
              <w:spacing w:after="0"/>
            </w:pPr>
            <w:r>
              <w:rPr>
                <w:rFonts w:ascii="Calibri" w:hAnsi="Calibri"/>
                <w:color w:val="0F172A"/>
                <w:sz w:val="19"/>
              </w:rPr>
              <w:t>Super Admin, Building Owner, Resident, Shared Engine</w:t>
            </w:r>
          </w:p>
        </w:tc>
      </w:tr>
      <w:tr>
        <w:tc>
          <w:tcPr>
            <w:tcW w:type="dxa" w:w="4680"/>
            <w:shd w:fill="F8FAFC"/>
            <w:tcMar>
              <w:top w:w="80" w:type="dxa"/>
              <w:bottom w:w="80" w:type="dxa"/>
              <w:left w:w="120" w:type="dxa"/>
              <w:right w:w="120" w:type="dxa"/>
            </w:tcMar>
          </w:tcPr>
          <w:p>
            <w:pPr>
              <w:spacing w:after="0"/>
            </w:pPr>
            <w:r>
              <w:rPr>
                <w:rFonts w:ascii="Calibri" w:hAnsi="Calibri"/>
                <w:b/>
                <w:color w:val="1E3A8A"/>
                <w:sz w:val="19"/>
              </w:rPr>
              <w:t>Scope of Work</w:t>
            </w:r>
          </w:p>
        </w:tc>
        <w:tc>
          <w:tcPr>
            <w:tcW w:type="dxa" w:w="4680"/>
            <w:shd w:fill="FFFFFF"/>
            <w:tcMar>
              <w:top w:w="80" w:type="dxa"/>
              <w:bottom w:w="80" w:type="dxa"/>
              <w:left w:w="120" w:type="dxa"/>
              <w:right w:w="120" w:type="dxa"/>
            </w:tcMar>
          </w:tcPr>
          <w:p>
            <w:pPr>
              <w:spacing w:after="0"/>
            </w:pPr>
            <w:r>
              <w:rPr>
                <w:rFonts w:ascii="Calibri" w:hAnsi="Calibri"/>
                <w:color w:val="0F172A"/>
                <w:sz w:val="19"/>
              </w:rPr>
              <w:t>Complete system workflows, database models, security, CSV billing, communication flows</w:t>
            </w:r>
          </w:p>
        </w:tc>
      </w:tr>
    </w:tbl>
    <w:p>
      <w:r>
        <w:br w:type="page"/>
      </w:r>
    </w:p>
    <w:p>
      <w:pPr>
        <w:keepNext/>
        <w:spacing w:before="0" w:after="160"/>
      </w:pPr>
      <w:r>
        <w:rPr>
          <w:rFonts w:ascii="Calibri" w:hAnsi="Calibri"/>
          <w:b/>
          <w:color w:val="0284C7"/>
          <w:sz w:val="36"/>
        </w:rPr>
        <w:t>1. Executive Summary &amp; Problem Statement</w:t>
      </w:r>
    </w:p>
    <w:p>
      <w:pPr>
        <w:spacing w:after="160"/>
      </w:pPr>
      <w:r>
        <w:rPr>
          <w:rFonts w:ascii="Calibri" w:hAnsi="Calibri"/>
          <w:sz w:val="21"/>
        </w:rPr>
        <w:t>Water resource management in residential apartment complexes and multi-tenant buildings faces acute operational challenges. Historically, landlords and resident welfare associations (RWAs) rely on flat, unmetered splitting of bulk water bills (such as private water tanker deliveries and municipal water connections) regardless of actual consumption. This practice creates gross inequities: small or water-conscious households subsidize large or wasteful households, disputes frequently arise, and property owners lack the technical tooling to track meter reading histories, water purchase costs, or resident invitation lifecycles.</w:t>
      </w:r>
    </w:p>
    <w:p>
      <w:pPr>
        <w:spacing w:after="160"/>
      </w:pPr>
      <w:r>
        <w:rPr>
          <w:rFonts w:ascii="Calibri" w:hAnsi="Calibri"/>
          <w:sz w:val="21"/>
        </w:rPr>
        <w:t>The AquaFlow (REP) platform is an enterprise-grade, multi-role SaaS application designed to eliminate these inefficiencies. It provides end-to-end automation across four distinct tiers: Super Admin (platform governance), Building Owner (property management and billing cycle execution), Resident (self-service tenant portal with transparent slab-based breakdown), and Shared Services (security, automated alerts, email dispatch, and PDF invoice generation).</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0284C7"/>
              <w:bottom w:val="none"/>
              <w:right w:val="none"/>
            </w:tcBorders>
          </w:tcPr>
          <w:p>
            <w:pPr>
              <w:spacing w:before="40" w:after="40"/>
            </w:pPr>
            <w:r>
              <w:rPr>
                <w:rFonts w:ascii="Calibri" w:hAnsi="Calibri"/>
                <w:b/>
                <w:color w:val="0284C7"/>
                <w:sz w:val="21"/>
              </w:rPr>
              <w:t xml:space="preserve">📌 Core Value Proposition: </w:t>
            </w:r>
            <w:r>
              <w:rPr>
                <w:rFonts w:ascii="Calibri" w:hAnsi="Calibri"/>
                <w:color w:val="334155"/>
                <w:sz w:val="20"/>
              </w:rPr>
              <w:t>Fair, consumption-based billing through dynamic 3-tier progressive tariffs, seamless batch CSV meter reading uploads, automated email invoicing, transparent resident dashboards, and rigorous audit trails that prevent duplicate billing or race conditions.</w:t>
            </w:r>
          </w:p>
        </w:tc>
      </w:tr>
    </w:tbl>
    <w:p>
      <w:pPr>
        <w:spacing w:after="120"/>
      </w:pPr>
    </w:p>
    <w:p>
      <w:pPr>
        <w:keepNext/>
        <w:spacing w:before="320" w:after="160"/>
      </w:pPr>
      <w:r>
        <w:rPr>
          <w:rFonts w:ascii="Calibri" w:hAnsi="Calibri"/>
          <w:b/>
          <w:color w:val="0284C7"/>
          <w:sz w:val="36"/>
        </w:rPr>
        <w:t>2. User Roles &amp; Access Control Hierarchy</w:t>
      </w:r>
    </w:p>
    <w:p>
      <w:pPr>
        <w:spacing w:after="120"/>
      </w:pPr>
      <w:r>
        <w:rPr>
          <w:rFonts w:ascii="Calibri" w:hAnsi="Calibri"/>
          <w:sz w:val="21"/>
        </w:rPr>
        <w:t>The platform implements strict role-based access control (RBAC) enforced via Spring Security method annotations (@PreAuthorize) and frontend Route Guards:</w:t>
      </w:r>
    </w:p>
    <w:p>
      <w:pPr>
        <w:keepNext/>
        <w:spacing w:before="200" w:after="80"/>
      </w:pPr>
      <w:r>
        <w:rPr>
          <w:rFonts w:ascii="Calibri" w:hAnsi="Calibri"/>
          <w:b/>
          <w:color w:val="1E3A8A"/>
          <w:sz w:val="26"/>
        </w:rPr>
        <w:t>Super Admin (ROLE_SUPER_ADMIN)</w:t>
      </w:r>
    </w:p>
    <w:p>
      <w:pPr>
        <w:pStyle w:val="ListBullet"/>
        <w:spacing w:after="60"/>
      </w:pPr>
      <w:r>
        <w:rPr>
          <w:rFonts w:ascii="Calibri" w:hAnsi="Calibri"/>
          <w:sz w:val="20"/>
        </w:rPr>
        <w:t>Platform-level authority overseeing all registered building owners and municipal parameters.</w:t>
      </w:r>
    </w:p>
    <w:p>
      <w:pPr>
        <w:pStyle w:val="ListBullet"/>
        <w:spacing w:after="60"/>
      </w:pPr>
      <w:r>
        <w:rPr>
          <w:rFonts w:ascii="Calibri" w:hAnsi="Calibri"/>
          <w:sz w:val="20"/>
        </w:rPr>
        <w:t>Inspects system-wide financial statistics, global active building counts, and total resident population.</w:t>
      </w:r>
    </w:p>
    <w:p>
      <w:pPr>
        <w:pStyle w:val="ListBullet"/>
        <w:spacing w:after="60"/>
      </w:pPr>
      <w:r>
        <w:rPr>
          <w:rFonts w:ascii="Calibri" w:hAnsi="Calibri"/>
          <w:sz w:val="20"/>
        </w:rPr>
        <w:t>Reviews, verifies, approves, or rejects newly registered Building Owners.</w:t>
      </w:r>
    </w:p>
    <w:p>
      <w:pPr>
        <w:pStyle w:val="ListBullet"/>
        <w:spacing w:after="60"/>
      </w:pPr>
      <w:r>
        <w:rPr>
          <w:rFonts w:ascii="Calibri" w:hAnsi="Calibri"/>
          <w:sz w:val="20"/>
        </w:rPr>
        <w:t>Audits platform activity and maintains system integrity.</w:t>
      </w:r>
    </w:p>
    <w:p>
      <w:pPr>
        <w:keepNext/>
        <w:spacing w:before="200" w:after="80"/>
      </w:pPr>
      <w:r>
        <w:rPr>
          <w:rFonts w:ascii="Calibri" w:hAnsi="Calibri"/>
          <w:b/>
          <w:color w:val="1E3A8A"/>
          <w:sz w:val="26"/>
        </w:rPr>
        <w:t>Building Owner / Property Manager (ROLE_BUILDING_OWNER)</w:t>
      </w:r>
    </w:p>
    <w:p>
      <w:pPr>
        <w:pStyle w:val="ListBullet"/>
        <w:spacing w:after="60"/>
      </w:pPr>
      <w:r>
        <w:rPr>
          <w:rFonts w:ascii="Calibri" w:hAnsi="Calibri"/>
          <w:sz w:val="20"/>
        </w:rPr>
        <w:t>Manages physical properties (buildings, apartments, flats, sub-meters).</w:t>
      </w:r>
    </w:p>
    <w:p>
      <w:pPr>
        <w:pStyle w:val="ListBullet"/>
        <w:spacing w:after="60"/>
      </w:pPr>
      <w:r>
        <w:rPr>
          <w:rFonts w:ascii="Calibri" w:hAnsi="Calibri"/>
          <w:sz w:val="20"/>
        </w:rPr>
        <w:t>Onboards residents via secure, cryptographic email invitations.</w:t>
      </w:r>
    </w:p>
    <w:p>
      <w:pPr>
        <w:pStyle w:val="ListBullet"/>
        <w:spacing w:after="60"/>
      </w:pPr>
      <w:r>
        <w:rPr>
          <w:rFonts w:ascii="Calibri" w:hAnsi="Calibri"/>
          <w:sz w:val="20"/>
        </w:rPr>
        <w:t>Records bulk water purchases (tankers and municipal bills) including volume (liters/kL) and cost.</w:t>
      </w:r>
    </w:p>
    <w:p>
      <w:pPr>
        <w:pStyle w:val="ListBullet"/>
        <w:spacing w:after="60"/>
      </w:pPr>
      <w:r>
        <w:rPr>
          <w:rFonts w:ascii="Calibri" w:hAnsi="Calibri"/>
          <w:sz w:val="20"/>
        </w:rPr>
        <w:t>Configures customized 3-tier tariff plans (Lifeline, Standard, and High Usage slabs with custom markups).</w:t>
      </w:r>
    </w:p>
    <w:p>
      <w:pPr>
        <w:pStyle w:val="ListBullet"/>
        <w:spacing w:after="60"/>
      </w:pPr>
      <w:r>
        <w:rPr>
          <w:rFonts w:ascii="Calibri" w:hAnsi="Calibri"/>
          <w:sz w:val="20"/>
        </w:rPr>
        <w:t>Manages monthly billing cycles: Open Cycle -&gt; Ingest Readings (Manual or CSV) -&gt; Calculate -&gt; Finalize -&gt; Archive.</w:t>
      </w:r>
    </w:p>
    <w:p>
      <w:pPr>
        <w:pStyle w:val="ListBullet"/>
        <w:spacing w:after="60"/>
      </w:pPr>
      <w:r>
        <w:rPr>
          <w:rFonts w:ascii="Calibri" w:hAnsi="Calibri"/>
          <w:sz w:val="20"/>
        </w:rPr>
        <w:t>Monitors building-wide revenue collections, outstanding balances, and apartment usage anomalies.</w:t>
      </w:r>
    </w:p>
    <w:p>
      <w:pPr>
        <w:keepNext/>
        <w:spacing w:before="200" w:after="80"/>
      </w:pPr>
      <w:r>
        <w:rPr>
          <w:rFonts w:ascii="Calibri" w:hAnsi="Calibri"/>
          <w:b/>
          <w:color w:val="1E3A8A"/>
          <w:sz w:val="26"/>
        </w:rPr>
        <w:t>Resident / Tenant (ROLE_RESIDENT)</w:t>
      </w:r>
    </w:p>
    <w:p>
      <w:pPr>
        <w:pStyle w:val="ListBullet"/>
        <w:spacing w:after="60"/>
      </w:pPr>
      <w:r>
        <w:rPr>
          <w:rFonts w:ascii="Calibri" w:hAnsi="Calibri"/>
          <w:sz w:val="20"/>
        </w:rPr>
        <w:t>Accepts email invitations through secure, one-time token authentication.</w:t>
      </w:r>
    </w:p>
    <w:p>
      <w:pPr>
        <w:pStyle w:val="ListBullet"/>
        <w:spacing w:after="60"/>
      </w:pPr>
      <w:r>
        <w:rPr>
          <w:rFonts w:ascii="Calibri" w:hAnsi="Calibri"/>
          <w:sz w:val="20"/>
        </w:rPr>
        <w:t>Monitors daily and monthly water consumption through interactive visualizations.</w:t>
      </w:r>
    </w:p>
    <w:p>
      <w:pPr>
        <w:pStyle w:val="ListBullet"/>
        <w:spacing w:after="60"/>
      </w:pPr>
      <w:r>
        <w:rPr>
          <w:rFonts w:ascii="Calibri" w:hAnsi="Calibri"/>
          <w:sz w:val="20"/>
        </w:rPr>
        <w:t>Inspects itemized bills with detailed breakdown across Tier 1, Tier 2, and Tier 3 usage rates.</w:t>
      </w:r>
    </w:p>
    <w:p>
      <w:pPr>
        <w:pStyle w:val="ListBullet"/>
        <w:spacing w:after="60"/>
      </w:pPr>
      <w:r>
        <w:rPr>
          <w:rFonts w:ascii="Calibri" w:hAnsi="Calibri"/>
          <w:sz w:val="20"/>
        </w:rPr>
        <w:t>Downloads official PDF invoices with unique invoice numbers and payment due dates.</w:t>
      </w:r>
    </w:p>
    <w:p>
      <w:pPr>
        <w:pStyle w:val="ListBullet"/>
        <w:spacing w:after="60"/>
      </w:pPr>
      <w:r>
        <w:rPr>
          <w:rFonts w:ascii="Calibri" w:hAnsi="Calibri"/>
          <w:sz w:val="20"/>
        </w:rPr>
        <w:t>Accesses neighbor-anonymized benchmark comparisons (how their apartment compares to building average and similar household sizes).</w:t>
      </w:r>
    </w:p>
    <w:p>
      <w:pPr>
        <w:pStyle w:val="ListBullet"/>
        <w:spacing w:after="60"/>
      </w:pPr>
      <w:r>
        <w:rPr>
          <w:rFonts w:ascii="Calibri" w:hAnsi="Calibri"/>
          <w:sz w:val="20"/>
        </w:rPr>
        <w:t>Submits simulated online payments and receives real-time payment receipts.</w:t>
      </w:r>
    </w:p>
    <w:p>
      <w:pPr>
        <w:spacing w:after="80"/>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600"/>
            <w:shd w:fill="0284C7"/>
            <w:tcMar>
              <w:top w:w="100" w:type="dxa"/>
              <w:bottom w:w="100" w:type="dxa"/>
              <w:left w:w="100" w:type="dxa"/>
              <w:right w:w="100" w:type="dxa"/>
            </w:tcMar>
          </w:tcPr>
          <w:p>
            <w:pPr>
              <w:jc w:val="center"/>
            </w:pPr>
            <w:r>
              <w:rPr>
                <w:rFonts w:ascii="Calibri" w:hAnsi="Calibri"/>
                <w:b/>
                <w:color w:val="FFFFFF"/>
                <w:sz w:val="19"/>
              </w:rPr>
              <w:t>Feature / Action</w:t>
            </w:r>
          </w:p>
        </w:tc>
        <w:tc>
          <w:tcPr>
            <w:tcW w:type="dxa" w:w="1872"/>
            <w:shd w:fill="0284C7"/>
            <w:tcMar>
              <w:top w:w="100" w:type="dxa"/>
              <w:bottom w:w="100" w:type="dxa"/>
              <w:left w:w="100" w:type="dxa"/>
              <w:right w:w="100" w:type="dxa"/>
            </w:tcMar>
          </w:tcPr>
          <w:p>
            <w:pPr>
              <w:jc w:val="center"/>
            </w:pPr>
            <w:r>
              <w:rPr>
                <w:rFonts w:ascii="Calibri" w:hAnsi="Calibri"/>
                <w:b/>
                <w:color w:val="FFFFFF"/>
                <w:sz w:val="19"/>
              </w:rPr>
              <w:t>Super Admin</w:t>
            </w:r>
          </w:p>
        </w:tc>
        <w:tc>
          <w:tcPr>
            <w:tcW w:type="dxa" w:w="1872"/>
            <w:shd w:fill="0284C7"/>
            <w:tcMar>
              <w:top w:w="100" w:type="dxa"/>
              <w:bottom w:w="100" w:type="dxa"/>
              <w:left w:w="100" w:type="dxa"/>
              <w:right w:w="100" w:type="dxa"/>
            </w:tcMar>
          </w:tcPr>
          <w:p>
            <w:pPr>
              <w:jc w:val="center"/>
            </w:pPr>
            <w:r>
              <w:rPr>
                <w:rFonts w:ascii="Calibri" w:hAnsi="Calibri"/>
                <w:b/>
                <w:color w:val="FFFFFF"/>
                <w:sz w:val="19"/>
              </w:rPr>
              <w:t>Building Owner</w:t>
            </w:r>
          </w:p>
        </w:tc>
        <w:tc>
          <w:tcPr>
            <w:tcW w:type="dxa" w:w="2016"/>
            <w:shd w:fill="0284C7"/>
            <w:tcMar>
              <w:top w:w="100" w:type="dxa"/>
              <w:bottom w:w="100" w:type="dxa"/>
              <w:left w:w="100" w:type="dxa"/>
              <w:right w:w="100" w:type="dxa"/>
            </w:tcMar>
          </w:tcPr>
          <w:p>
            <w:pPr>
              <w:jc w:val="center"/>
            </w:pPr>
            <w:r>
              <w:rPr>
                <w:rFonts w:ascii="Calibri" w:hAnsi="Calibri"/>
                <w:b/>
                <w:color w:val="FFFFFF"/>
                <w:sz w:val="19"/>
              </w:rPr>
              <w:t>Resident</w:t>
            </w:r>
          </w:p>
        </w:tc>
      </w:tr>
      <w:tr>
        <w:tc>
          <w:tcPr>
            <w:tcW w:type="dxa" w:w="3600"/>
            <w:shd w:fill="F8FAFC"/>
            <w:tcMar>
              <w:top w:w="70" w:type="dxa"/>
              <w:bottom w:w="70" w:type="dxa"/>
              <w:left w:w="100" w:type="dxa"/>
              <w:right w:w="100" w:type="dxa"/>
            </w:tcMar>
          </w:tcPr>
          <w:p>
            <w:r>
              <w:rPr>
                <w:rFonts w:ascii="Calibri" w:hAnsi="Calibri"/>
                <w:color w:val="0F172A"/>
                <w:sz w:val="18"/>
              </w:rPr>
              <w:t>Approve/Reject Owner Accounts</w:t>
            </w:r>
          </w:p>
        </w:tc>
        <w:tc>
          <w:tcPr>
            <w:tcW w:type="dxa" w:w="1872"/>
            <w:shd w:fill="F8FAFC"/>
            <w:tcMar>
              <w:top w:w="70" w:type="dxa"/>
              <w:bottom w:w="70" w:type="dxa"/>
              <w:left w:w="100" w:type="dxa"/>
              <w:right w:w="100" w:type="dxa"/>
            </w:tcMar>
          </w:tcPr>
          <w:p>
            <w:pPr>
              <w:jc w:val="center"/>
            </w:pPr>
            <w:r>
              <w:rPr>
                <w:rFonts w:ascii="Calibri" w:hAnsi="Calibri"/>
                <w:b/>
                <w:color w:val="10B981"/>
                <w:sz w:val="18"/>
              </w:rPr>
              <w:t>✅ Full Access</w:t>
            </w:r>
          </w:p>
        </w:tc>
        <w:tc>
          <w:tcPr>
            <w:tcW w:type="dxa" w:w="1872"/>
            <w:shd w:fill="F8FAFC"/>
            <w:tcMar>
              <w:top w:w="70" w:type="dxa"/>
              <w:bottom w:w="70" w:type="dxa"/>
              <w:left w:w="100" w:type="dxa"/>
              <w:right w:w="100" w:type="dxa"/>
            </w:tcMar>
          </w:tcPr>
          <w:p>
            <w:pPr>
              <w:jc w:val="center"/>
            </w:pPr>
            <w:r>
              <w:rPr>
                <w:rFonts w:ascii="Calibri" w:hAnsi="Calibri"/>
                <w:color w:val="EF4444"/>
                <w:sz w:val="18"/>
              </w:rPr>
              <w:t>❌ Denied</w:t>
            </w:r>
          </w:p>
        </w:tc>
        <w:tc>
          <w:tcPr>
            <w:tcW w:type="dxa" w:w="2016"/>
            <w:shd w:fill="F8FAFC"/>
            <w:tcMar>
              <w:top w:w="70" w:type="dxa"/>
              <w:bottom w:w="70" w:type="dxa"/>
              <w:left w:w="100" w:type="dxa"/>
              <w:right w:w="100" w:type="dxa"/>
            </w:tcMar>
          </w:tcPr>
          <w:p>
            <w:pPr>
              <w:jc w:val="center"/>
            </w:pPr>
            <w:r>
              <w:rPr>
                <w:rFonts w:ascii="Calibri" w:hAnsi="Calibri"/>
                <w:color w:val="EF4444"/>
                <w:sz w:val="18"/>
              </w:rPr>
              <w:t>❌ Denied</w:t>
            </w:r>
          </w:p>
        </w:tc>
      </w:tr>
      <w:tr>
        <w:tc>
          <w:tcPr>
            <w:tcW w:type="dxa" w:w="3600"/>
            <w:shd w:fill="FFFFFF"/>
            <w:tcMar>
              <w:top w:w="70" w:type="dxa"/>
              <w:bottom w:w="70" w:type="dxa"/>
              <w:left w:w="100" w:type="dxa"/>
              <w:right w:w="100" w:type="dxa"/>
            </w:tcMar>
          </w:tcPr>
          <w:p>
            <w:r>
              <w:rPr>
                <w:rFonts w:ascii="Calibri" w:hAnsi="Calibri"/>
                <w:color w:val="0F172A"/>
                <w:sz w:val="18"/>
              </w:rPr>
              <w:t>Create &amp; Manage Buildings/Flats</w:t>
            </w:r>
          </w:p>
        </w:tc>
        <w:tc>
          <w:tcPr>
            <w:tcW w:type="dxa" w:w="1872"/>
            <w:shd w:fill="FFFFFF"/>
            <w:tcMar>
              <w:top w:w="70" w:type="dxa"/>
              <w:bottom w:w="70" w:type="dxa"/>
              <w:left w:w="100" w:type="dxa"/>
              <w:right w:w="100" w:type="dxa"/>
            </w:tcMar>
          </w:tcPr>
          <w:p>
            <w:pPr>
              <w:jc w:val="center"/>
            </w:pPr>
            <w:r>
              <w:rPr>
                <w:rFonts w:ascii="Calibri" w:hAnsi="Calibri"/>
                <w:color w:val="EF4444"/>
                <w:sz w:val="18"/>
              </w:rPr>
              <w:t>❌ Denied</w:t>
            </w:r>
          </w:p>
        </w:tc>
        <w:tc>
          <w:tcPr>
            <w:tcW w:type="dxa" w:w="1872"/>
            <w:shd w:fill="FFFFFF"/>
            <w:tcMar>
              <w:top w:w="70" w:type="dxa"/>
              <w:bottom w:w="70" w:type="dxa"/>
              <w:left w:w="100" w:type="dxa"/>
              <w:right w:w="100" w:type="dxa"/>
            </w:tcMar>
          </w:tcPr>
          <w:p>
            <w:pPr>
              <w:jc w:val="center"/>
            </w:pPr>
            <w:r>
              <w:rPr>
                <w:rFonts w:ascii="Calibri" w:hAnsi="Calibri"/>
                <w:b/>
                <w:color w:val="10B981"/>
                <w:sz w:val="18"/>
              </w:rPr>
              <w:t>✅ Full Access</w:t>
            </w:r>
          </w:p>
        </w:tc>
        <w:tc>
          <w:tcPr>
            <w:tcW w:type="dxa" w:w="2016"/>
            <w:shd w:fill="FFFFFF"/>
            <w:tcMar>
              <w:top w:w="70" w:type="dxa"/>
              <w:bottom w:w="70" w:type="dxa"/>
              <w:left w:w="100" w:type="dxa"/>
              <w:right w:w="100" w:type="dxa"/>
            </w:tcMar>
          </w:tcPr>
          <w:p>
            <w:pPr>
              <w:jc w:val="center"/>
            </w:pPr>
            <w:r>
              <w:rPr>
                <w:rFonts w:ascii="Calibri" w:hAnsi="Calibri"/>
                <w:color w:val="EF4444"/>
                <w:sz w:val="18"/>
              </w:rPr>
              <w:t>❌ Denied</w:t>
            </w:r>
          </w:p>
        </w:tc>
      </w:tr>
      <w:tr>
        <w:tc>
          <w:tcPr>
            <w:tcW w:type="dxa" w:w="3600"/>
            <w:shd w:fill="F8FAFC"/>
            <w:tcMar>
              <w:top w:w="70" w:type="dxa"/>
              <w:bottom w:w="70" w:type="dxa"/>
              <w:left w:w="100" w:type="dxa"/>
              <w:right w:w="100" w:type="dxa"/>
            </w:tcMar>
          </w:tcPr>
          <w:p>
            <w:r>
              <w:rPr>
                <w:rFonts w:ascii="Calibri" w:hAnsi="Calibri"/>
                <w:color w:val="0F172A"/>
                <w:sz w:val="18"/>
              </w:rPr>
              <w:t>Invite Residents via Token Email</w:t>
            </w:r>
          </w:p>
        </w:tc>
        <w:tc>
          <w:tcPr>
            <w:tcW w:type="dxa" w:w="1872"/>
            <w:shd w:fill="F8FAFC"/>
            <w:tcMar>
              <w:top w:w="70" w:type="dxa"/>
              <w:bottom w:w="70" w:type="dxa"/>
              <w:left w:w="100" w:type="dxa"/>
              <w:right w:w="100" w:type="dxa"/>
            </w:tcMar>
          </w:tcPr>
          <w:p>
            <w:pPr>
              <w:jc w:val="center"/>
            </w:pPr>
            <w:r>
              <w:rPr>
                <w:rFonts w:ascii="Calibri" w:hAnsi="Calibri"/>
                <w:color w:val="EF4444"/>
                <w:sz w:val="18"/>
              </w:rPr>
              <w:t>❌ Denied</w:t>
            </w:r>
          </w:p>
        </w:tc>
        <w:tc>
          <w:tcPr>
            <w:tcW w:type="dxa" w:w="1872"/>
            <w:shd w:fill="F8FAFC"/>
            <w:tcMar>
              <w:top w:w="70" w:type="dxa"/>
              <w:bottom w:w="70" w:type="dxa"/>
              <w:left w:w="100" w:type="dxa"/>
              <w:right w:w="100" w:type="dxa"/>
            </w:tcMar>
          </w:tcPr>
          <w:p>
            <w:pPr>
              <w:jc w:val="center"/>
            </w:pPr>
            <w:r>
              <w:rPr>
                <w:rFonts w:ascii="Calibri" w:hAnsi="Calibri"/>
                <w:b/>
                <w:color w:val="10B981"/>
                <w:sz w:val="18"/>
              </w:rPr>
              <w:t>✅ Full Access</w:t>
            </w:r>
          </w:p>
        </w:tc>
        <w:tc>
          <w:tcPr>
            <w:tcW w:type="dxa" w:w="2016"/>
            <w:shd w:fill="F8FAFC"/>
            <w:tcMar>
              <w:top w:w="70" w:type="dxa"/>
              <w:bottom w:w="70" w:type="dxa"/>
              <w:left w:w="100" w:type="dxa"/>
              <w:right w:w="100" w:type="dxa"/>
            </w:tcMar>
          </w:tcPr>
          <w:p>
            <w:pPr>
              <w:jc w:val="center"/>
            </w:pPr>
            <w:r>
              <w:rPr>
                <w:rFonts w:ascii="Calibri" w:hAnsi="Calibri"/>
                <w:color w:val="EF4444"/>
                <w:sz w:val="18"/>
              </w:rPr>
              <w:t>❌ Denied</w:t>
            </w:r>
          </w:p>
        </w:tc>
      </w:tr>
      <w:tr>
        <w:tc>
          <w:tcPr>
            <w:tcW w:type="dxa" w:w="3600"/>
            <w:shd w:fill="FFFFFF"/>
            <w:tcMar>
              <w:top w:w="70" w:type="dxa"/>
              <w:bottom w:w="70" w:type="dxa"/>
              <w:left w:w="100" w:type="dxa"/>
              <w:right w:w="100" w:type="dxa"/>
            </w:tcMar>
          </w:tcPr>
          <w:p>
            <w:r>
              <w:rPr>
                <w:rFonts w:ascii="Calibri" w:hAnsi="Calibri"/>
                <w:color w:val="0F172A"/>
                <w:sz w:val="18"/>
              </w:rPr>
              <w:t>Log Water Tanker Purchases</w:t>
            </w:r>
          </w:p>
        </w:tc>
        <w:tc>
          <w:tcPr>
            <w:tcW w:type="dxa" w:w="1872"/>
            <w:shd w:fill="FFFFFF"/>
            <w:tcMar>
              <w:top w:w="70" w:type="dxa"/>
              <w:bottom w:w="70" w:type="dxa"/>
              <w:left w:w="100" w:type="dxa"/>
              <w:right w:w="100" w:type="dxa"/>
            </w:tcMar>
          </w:tcPr>
          <w:p>
            <w:pPr>
              <w:jc w:val="center"/>
            </w:pPr>
            <w:r>
              <w:rPr>
                <w:rFonts w:ascii="Calibri" w:hAnsi="Calibri"/>
                <w:color w:val="EF4444"/>
                <w:sz w:val="18"/>
              </w:rPr>
              <w:t>❌ Denied</w:t>
            </w:r>
          </w:p>
        </w:tc>
        <w:tc>
          <w:tcPr>
            <w:tcW w:type="dxa" w:w="1872"/>
            <w:shd w:fill="FFFFFF"/>
            <w:tcMar>
              <w:top w:w="70" w:type="dxa"/>
              <w:bottom w:w="70" w:type="dxa"/>
              <w:left w:w="100" w:type="dxa"/>
              <w:right w:w="100" w:type="dxa"/>
            </w:tcMar>
          </w:tcPr>
          <w:p>
            <w:pPr>
              <w:jc w:val="center"/>
            </w:pPr>
            <w:r>
              <w:rPr>
                <w:rFonts w:ascii="Calibri" w:hAnsi="Calibri"/>
                <w:b/>
                <w:color w:val="10B981"/>
                <w:sz w:val="18"/>
              </w:rPr>
              <w:t>✅ Full Access</w:t>
            </w:r>
          </w:p>
        </w:tc>
        <w:tc>
          <w:tcPr>
            <w:tcW w:type="dxa" w:w="2016"/>
            <w:shd w:fill="FFFFFF"/>
            <w:tcMar>
              <w:top w:w="70" w:type="dxa"/>
              <w:bottom w:w="70" w:type="dxa"/>
              <w:left w:w="100" w:type="dxa"/>
              <w:right w:w="100" w:type="dxa"/>
            </w:tcMar>
          </w:tcPr>
          <w:p>
            <w:pPr>
              <w:jc w:val="center"/>
            </w:pPr>
            <w:r>
              <w:rPr>
                <w:rFonts w:ascii="Calibri" w:hAnsi="Calibri"/>
                <w:color w:val="EF4444"/>
                <w:sz w:val="18"/>
              </w:rPr>
              <w:t>❌ Denied</w:t>
            </w:r>
          </w:p>
        </w:tc>
      </w:tr>
      <w:tr>
        <w:tc>
          <w:tcPr>
            <w:tcW w:type="dxa" w:w="3600"/>
            <w:shd w:fill="F8FAFC"/>
            <w:tcMar>
              <w:top w:w="70" w:type="dxa"/>
              <w:bottom w:w="70" w:type="dxa"/>
              <w:left w:w="100" w:type="dxa"/>
              <w:right w:w="100" w:type="dxa"/>
            </w:tcMar>
          </w:tcPr>
          <w:p>
            <w:r>
              <w:rPr>
                <w:rFonts w:ascii="Calibri" w:hAnsi="Calibri"/>
                <w:color w:val="0F172A"/>
                <w:sz w:val="18"/>
              </w:rPr>
              <w:t>Execute Billing Cycle &amp; Upload CSV</w:t>
            </w:r>
          </w:p>
        </w:tc>
        <w:tc>
          <w:tcPr>
            <w:tcW w:type="dxa" w:w="1872"/>
            <w:shd w:fill="F8FAFC"/>
            <w:tcMar>
              <w:top w:w="70" w:type="dxa"/>
              <w:bottom w:w="70" w:type="dxa"/>
              <w:left w:w="100" w:type="dxa"/>
              <w:right w:w="100" w:type="dxa"/>
            </w:tcMar>
          </w:tcPr>
          <w:p>
            <w:pPr>
              <w:jc w:val="center"/>
            </w:pPr>
            <w:r>
              <w:rPr>
                <w:rFonts w:ascii="Calibri" w:hAnsi="Calibri"/>
                <w:color w:val="EF4444"/>
                <w:sz w:val="18"/>
              </w:rPr>
              <w:t>❌ Denied</w:t>
            </w:r>
          </w:p>
        </w:tc>
        <w:tc>
          <w:tcPr>
            <w:tcW w:type="dxa" w:w="1872"/>
            <w:shd w:fill="F8FAFC"/>
            <w:tcMar>
              <w:top w:w="70" w:type="dxa"/>
              <w:bottom w:w="70" w:type="dxa"/>
              <w:left w:w="100" w:type="dxa"/>
              <w:right w:w="100" w:type="dxa"/>
            </w:tcMar>
          </w:tcPr>
          <w:p>
            <w:pPr>
              <w:jc w:val="center"/>
            </w:pPr>
            <w:r>
              <w:rPr>
                <w:rFonts w:ascii="Calibri" w:hAnsi="Calibri"/>
                <w:b/>
                <w:color w:val="10B981"/>
                <w:sz w:val="18"/>
              </w:rPr>
              <w:t>✅ Full Access</w:t>
            </w:r>
          </w:p>
        </w:tc>
        <w:tc>
          <w:tcPr>
            <w:tcW w:type="dxa" w:w="2016"/>
            <w:shd w:fill="F8FAFC"/>
            <w:tcMar>
              <w:top w:w="70" w:type="dxa"/>
              <w:bottom w:w="70" w:type="dxa"/>
              <w:left w:w="100" w:type="dxa"/>
              <w:right w:w="100" w:type="dxa"/>
            </w:tcMar>
          </w:tcPr>
          <w:p>
            <w:pPr>
              <w:jc w:val="center"/>
            </w:pPr>
            <w:r>
              <w:rPr>
                <w:rFonts w:ascii="Calibri" w:hAnsi="Calibri"/>
                <w:color w:val="EF4444"/>
                <w:sz w:val="18"/>
              </w:rPr>
              <w:t>❌ Denied</w:t>
            </w:r>
          </w:p>
        </w:tc>
      </w:tr>
      <w:tr>
        <w:tc>
          <w:tcPr>
            <w:tcW w:type="dxa" w:w="3600"/>
            <w:shd w:fill="FFFFFF"/>
            <w:tcMar>
              <w:top w:w="70" w:type="dxa"/>
              <w:bottom w:w="70" w:type="dxa"/>
              <w:left w:w="100" w:type="dxa"/>
              <w:right w:w="100" w:type="dxa"/>
            </w:tcMar>
          </w:tcPr>
          <w:p>
            <w:r>
              <w:rPr>
                <w:rFonts w:ascii="Calibri" w:hAnsi="Calibri"/>
                <w:color w:val="0F172A"/>
                <w:sz w:val="18"/>
              </w:rPr>
              <w:t>View Bills, Pay &amp; Compare Usage</w:t>
            </w:r>
          </w:p>
        </w:tc>
        <w:tc>
          <w:tcPr>
            <w:tcW w:type="dxa" w:w="1872"/>
            <w:shd w:fill="FFFFFF"/>
            <w:tcMar>
              <w:top w:w="70" w:type="dxa"/>
              <w:bottom w:w="70" w:type="dxa"/>
              <w:left w:w="100" w:type="dxa"/>
              <w:right w:w="100" w:type="dxa"/>
            </w:tcMar>
          </w:tcPr>
          <w:p>
            <w:pPr>
              <w:jc w:val="center"/>
            </w:pPr>
            <w:r>
              <w:rPr>
                <w:rFonts w:ascii="Calibri" w:hAnsi="Calibri"/>
                <w:color w:val="EF4444"/>
                <w:sz w:val="18"/>
              </w:rPr>
              <w:t>❌ Denied</w:t>
            </w:r>
          </w:p>
        </w:tc>
        <w:tc>
          <w:tcPr>
            <w:tcW w:type="dxa" w:w="1872"/>
            <w:shd w:fill="FFFFFF"/>
            <w:tcMar>
              <w:top w:w="70" w:type="dxa"/>
              <w:bottom w:w="70" w:type="dxa"/>
              <w:left w:w="100" w:type="dxa"/>
              <w:right w:w="100" w:type="dxa"/>
            </w:tcMar>
          </w:tcPr>
          <w:p>
            <w:pPr>
              <w:jc w:val="center"/>
            </w:pPr>
            <w:r>
              <w:rPr>
                <w:rFonts w:ascii="Calibri" w:hAnsi="Calibri"/>
                <w:color w:val="0F172A"/>
                <w:sz w:val="18"/>
              </w:rPr>
              <w:t>View Aggregates</w:t>
            </w:r>
          </w:p>
        </w:tc>
        <w:tc>
          <w:tcPr>
            <w:tcW w:type="dxa" w:w="2016"/>
            <w:shd w:fill="FFFFFF"/>
            <w:tcMar>
              <w:top w:w="70" w:type="dxa"/>
              <w:bottom w:w="70" w:type="dxa"/>
              <w:left w:w="100" w:type="dxa"/>
              <w:right w:w="100" w:type="dxa"/>
            </w:tcMar>
          </w:tcPr>
          <w:p>
            <w:pPr>
              <w:jc w:val="center"/>
            </w:pPr>
            <w:r>
              <w:rPr>
                <w:rFonts w:ascii="Calibri" w:hAnsi="Calibri"/>
                <w:b/>
                <w:color w:val="10B981"/>
                <w:sz w:val="18"/>
              </w:rPr>
              <w:t>✅ Personal Only</w:t>
            </w:r>
          </w:p>
        </w:tc>
      </w:tr>
    </w:tbl>
    <w:p>
      <w:pPr>
        <w:keepNext/>
        <w:spacing w:before="320" w:after="160"/>
      </w:pPr>
      <w:r>
        <w:rPr>
          <w:rFonts w:ascii="Calibri" w:hAnsi="Calibri"/>
          <w:b/>
          <w:color w:val="0284C7"/>
          <w:sz w:val="36"/>
        </w:rPr>
        <w:t>3. Cross-Role Communication Workflows (How Roles Interact)</w:t>
      </w:r>
    </w:p>
    <w:p>
      <w:pPr>
        <w:spacing w:after="160"/>
      </w:pPr>
      <w:r>
        <w:rPr>
          <w:rFonts w:ascii="Calibri" w:hAnsi="Calibri"/>
          <w:sz w:val="21"/>
        </w:rPr>
        <w:t>A central requirement of the REP system is seamless, verifiable, and secure communication between user roles. The application integrates RESTful endpoints, asynchronous email events, token verification mechanisms, and event notifications to coordinate workflows across all three user personas.</w:t>
      </w:r>
    </w:p>
    <w:p>
      <w:pPr>
        <w:keepNext/>
        <w:spacing w:before="240" w:after="80"/>
      </w:pPr>
      <w:r>
        <w:rPr>
          <w:rFonts w:ascii="Calibri" w:hAnsi="Calibri"/>
          <w:b/>
          <w:color w:val="1E3A8A"/>
          <w:sz w:val="26"/>
        </w:rPr>
        <w:t>Workflow A: Super Admin ↔ Building Owner (Onboarding &amp; Verification)</w:t>
      </w:r>
    </w:p>
    <w:p>
      <w:pPr>
        <w:spacing w:after="80"/>
        <w:ind w:left="288"/>
      </w:pPr>
      <w:r>
        <w:rPr>
          <w:rFonts w:ascii="Calibri" w:hAnsi="Calibri"/>
          <w:sz w:val="20"/>
        </w:rPr>
        <w:t>1. Registration: The prospective building owner navigates to /auth/register-owner, submits their legal name, phone number, email, and password.</w:t>
      </w:r>
    </w:p>
    <w:p>
      <w:pPr>
        <w:spacing w:after="80"/>
        <w:ind w:left="288"/>
      </w:pPr>
      <w:r>
        <w:rPr>
          <w:rFonts w:ascii="Calibri" w:hAnsi="Calibri"/>
          <w:sz w:val="20"/>
        </w:rPr>
        <w:t>2. Staged State: The system creates the User account with role BUILDING_OWNER and sets account status to PENDING.</w:t>
      </w:r>
    </w:p>
    <w:p>
      <w:pPr>
        <w:spacing w:after="80"/>
        <w:ind w:left="288"/>
      </w:pPr>
      <w:r>
        <w:rPr>
          <w:rFonts w:ascii="Calibri" w:hAnsi="Calibri"/>
          <w:sz w:val="20"/>
        </w:rPr>
        <w:t>3. Administrative Review: Super Admin logs into the Admin Dashboard (/admin/owners/pending) and inspects pending applications.</w:t>
      </w:r>
    </w:p>
    <w:p>
      <w:pPr>
        <w:spacing w:after="80"/>
        <w:ind w:left="288"/>
      </w:pPr>
      <w:r>
        <w:rPr>
          <w:rFonts w:ascii="Calibri" w:hAnsi="Calibri"/>
          <w:sz w:val="20"/>
        </w:rPr>
        <w:t>4. Approval Decision: Upon clicking 'Approve', backend endpoint /api/admin/owners/{id}/approve executes. Status updates to APPROVED. If rejected, an email alert notifies the applicant with the rejection reason.</w:t>
      </w:r>
    </w:p>
    <w:p>
      <w:pPr>
        <w:spacing w:after="80"/>
        <w:ind w:left="288"/>
      </w:pPr>
      <w:r>
        <w:rPr>
          <w:rFonts w:ascii="Calibri" w:hAnsi="Calibri"/>
          <w:sz w:val="20"/>
        </w:rPr>
        <w:t>5. Access Unlocked: Once approved, the building owner logs in and gains full dashboard management rights.</w:t>
      </w:r>
    </w:p>
    <w:p>
      <w:pPr>
        <w:keepNext/>
        <w:spacing w:before="240" w:after="80"/>
      </w:pPr>
      <w:r>
        <w:rPr>
          <w:rFonts w:ascii="Calibri" w:hAnsi="Calibri"/>
          <w:b/>
          <w:color w:val="1E3A8A"/>
          <w:sz w:val="26"/>
        </w:rPr>
        <w:t>Workflow B: Building Owner ↔ Resident (Apartment Onboarding &amp; Invitation Dispatch)</w:t>
      </w:r>
    </w:p>
    <w:p>
      <w:pPr>
        <w:spacing w:after="80"/>
        <w:ind w:left="288"/>
      </w:pPr>
      <w:r>
        <w:rPr>
          <w:rFonts w:ascii="Calibri" w:hAnsi="Calibri"/>
          <w:sz w:val="20"/>
        </w:rPr>
        <w:t>1. Flat Allocation: Building Owner defines apartments in their building (e.g., Flat 101, 102) and assigns water sub-meter serial numbers.</w:t>
      </w:r>
    </w:p>
    <w:p>
      <w:pPr>
        <w:spacing w:after="80"/>
        <w:ind w:left="288"/>
      </w:pPr>
      <w:r>
        <w:rPr>
          <w:rFonts w:ascii="Calibri" w:hAnsi="Calibri"/>
          <w:sz w:val="20"/>
        </w:rPr>
        <w:t>2. Invitation Creation: Owner enters the resident's full name, email address, phone, and flat number on /owner/residents.</w:t>
      </w:r>
    </w:p>
    <w:p>
      <w:pPr>
        <w:spacing w:after="80"/>
        <w:ind w:left="288"/>
      </w:pPr>
      <w:r>
        <w:rPr>
          <w:rFonts w:ascii="Calibri" w:hAnsi="Calibri"/>
          <w:sz w:val="20"/>
        </w:rPr>
        <w:t>3. Cryptographic Token Generation: The TokenGenerator service creates a high-entropy 64-character random token and computes a SHA-256 hash. A ResidentInvitation entity is stored with status PENDING and an expiration timestamp (24 hours default).</w:t>
      </w:r>
    </w:p>
    <w:p>
      <w:pPr>
        <w:spacing w:after="80"/>
        <w:ind w:left="288"/>
      </w:pPr>
      <w:r>
        <w:rPr>
          <w:rFonts w:ascii="Calibri" w:hAnsi="Calibri"/>
          <w:sz w:val="20"/>
        </w:rPr>
        <w:t>4. Asynchronous Email Dispatch: EmailService triggers an HTML email with the secure URL containing the invitation token.</w:t>
      </w:r>
    </w:p>
    <w:p>
      <w:pPr>
        <w:spacing w:after="80"/>
        <w:ind w:left="288"/>
      </w:pPr>
      <w:r>
        <w:rPr>
          <w:rFonts w:ascii="Calibri" w:hAnsi="Calibri"/>
          <w:sz w:val="20"/>
        </w:rPr>
        <w:t>5. Resident Acceptance: The resident opens the email link (/accept-invitation?token=...), sets a strong password, and completes registration.</w:t>
      </w:r>
    </w:p>
    <w:p>
      <w:pPr>
        <w:spacing w:after="80"/>
        <w:ind w:left="288"/>
      </w:pPr>
      <w:r>
        <w:rPr>
          <w:rFonts w:ascii="Calibri" w:hAnsi="Calibri"/>
          <w:sz w:val="20"/>
        </w:rPr>
        <w:t>6. Account Transition: The backend validates token expiration and hash match, sets account status to ACTIVE, marks invitation as ACCEPTED, and links the resident entity to the user account.</w:t>
      </w:r>
    </w:p>
    <w:p>
      <w:pPr>
        <w:keepNext/>
        <w:spacing w:before="240" w:after="80"/>
      </w:pPr>
      <w:r>
        <w:rPr>
          <w:rFonts w:ascii="Calibri" w:hAnsi="Calibri"/>
          <w:b/>
          <w:color w:val="1E3A8A"/>
          <w:sz w:val="26"/>
        </w:rPr>
        <w:t>Workflow C: Building Owner ↔ Resident (Monthly Meter Reading &amp; Bill Distribution)</w:t>
      </w:r>
    </w:p>
    <w:p>
      <w:pPr>
        <w:spacing w:after="80"/>
        <w:ind w:left="288"/>
      </w:pPr>
      <w:r>
        <w:rPr>
          <w:rFonts w:ascii="Calibri" w:hAnsi="Calibri"/>
          <w:sz w:val="20"/>
        </w:rPr>
        <w:t>1. Billing Cycle Creation: Owner initiates a new billing cycle for a specific month (e.g., October 2026). The cycle enters OPEN state.</w:t>
      </w:r>
    </w:p>
    <w:p>
      <w:pPr>
        <w:spacing w:after="80"/>
        <w:ind w:left="288"/>
      </w:pPr>
      <w:r>
        <w:rPr>
          <w:rFonts w:ascii="Calibri" w:hAnsi="Calibri"/>
          <w:sz w:val="20"/>
        </w:rPr>
        <w:t>2. Bulk Water Purchases: Owner logs water tanker deliveries (volume, cost, vendor) for the cycle.</w:t>
      </w:r>
    </w:p>
    <w:p>
      <w:pPr>
        <w:spacing w:after="80"/>
        <w:ind w:left="288"/>
      </w:pPr>
      <w:r>
        <w:rPr>
          <w:rFonts w:ascii="Calibri" w:hAnsi="Calibri"/>
          <w:sz w:val="20"/>
        </w:rPr>
        <w:t>3. CSV Template Download: Owner downloads an auto-populated CSV file containing every apartment, resident ID, meter serial number, and previous month's final reading.</w:t>
      </w:r>
    </w:p>
    <w:p>
      <w:pPr>
        <w:spacing w:after="80"/>
        <w:ind w:left="288"/>
      </w:pPr>
      <w:r>
        <w:rPr>
          <w:rFonts w:ascii="Calibri" w:hAnsi="Calibri"/>
          <w:sz w:val="20"/>
        </w:rPr>
        <w:t>4. CSV Reading Ingestion: Owner enters current meter readings into the CSV and uploads it to /api/bulk-billing/validate.</w:t>
      </w:r>
    </w:p>
    <w:p>
      <w:pPr>
        <w:spacing w:after="80"/>
        <w:ind w:left="288"/>
      </w:pPr>
      <w:r>
        <w:rPr>
          <w:rFonts w:ascii="Calibri" w:hAnsi="Calibri"/>
          <w:sz w:val="20"/>
        </w:rPr>
        <w:t>5. Two-Phase Pre-Validation: System checks for non-numeric values, negative consumption (current &lt; previous), missing flats, and format anomalies. Zero records are touched if any validation error occurs.</w:t>
      </w:r>
    </w:p>
    <w:p>
      <w:pPr>
        <w:spacing w:after="80"/>
        <w:ind w:left="288"/>
      </w:pPr>
      <w:r>
        <w:rPr>
          <w:rFonts w:ascii="Calibri" w:hAnsi="Calibri"/>
          <w:sz w:val="20"/>
        </w:rPr>
        <w:t>6. Algorithmic Slab Calculation: Once validated, the owner triggers bill generation. The system distributes bulk water costs and applies 3-tier progressive tariffs.</w:t>
      </w:r>
    </w:p>
    <w:p>
      <w:pPr>
        <w:spacing w:after="80"/>
        <w:ind w:left="288"/>
      </w:pPr>
      <w:r>
        <w:rPr>
          <w:rFonts w:ascii="Calibri" w:hAnsi="Calibri"/>
          <w:sz w:val="20"/>
        </w:rPr>
        <w:t>7. Finalization &amp; Notification Dispatch: Owner finalizes the billing cycle. The database commits the bills with pessimistic locking to prevent race conditions. Simultaneously, EmailService dispatches itemized invoice emails with PDF attachments to every resident, and in-app Notification records are created.</w:t>
      </w:r>
    </w:p>
    <w:p>
      <w:pPr>
        <w:keepNext/>
        <w:spacing w:before="240" w:after="80"/>
      </w:pPr>
      <w:r>
        <w:rPr>
          <w:rFonts w:ascii="Calibri" w:hAnsi="Calibri"/>
          <w:b/>
          <w:color w:val="1E3A8A"/>
          <w:sz w:val="26"/>
        </w:rPr>
        <w:t>Workflow D: Resident ↔ Building Owner (Payment &amp; Financial Settlement)</w:t>
      </w:r>
    </w:p>
    <w:p>
      <w:pPr>
        <w:spacing w:after="80"/>
        <w:ind w:left="288"/>
      </w:pPr>
      <w:r>
        <w:rPr>
          <w:rFonts w:ascii="Calibri" w:hAnsi="Calibri"/>
          <w:sz w:val="20"/>
        </w:rPr>
        <w:t>1. Bill Inspection: Resident logs in to /resident/bills, views total due, payment deadline, and detailed tier consumption slabs.</w:t>
      </w:r>
    </w:p>
    <w:p>
      <w:pPr>
        <w:spacing w:after="80"/>
        <w:ind w:left="288"/>
      </w:pPr>
      <w:r>
        <w:rPr>
          <w:rFonts w:ascii="Calibri" w:hAnsi="Calibri"/>
          <w:sz w:val="20"/>
        </w:rPr>
        <w:t>2. PDF Generation: Resident can click 'Download PDF' to receive an official, formatted water bill invoice.</w:t>
      </w:r>
    </w:p>
    <w:p>
      <w:pPr>
        <w:spacing w:after="80"/>
        <w:ind w:left="288"/>
      </w:pPr>
      <w:r>
        <w:rPr>
          <w:rFonts w:ascii="Calibri" w:hAnsi="Calibri"/>
          <w:sz w:val="20"/>
        </w:rPr>
        <w:t>3. Payment Submission: Resident selects a payment method (UPI / Net Banking / Card) on /resident/pay and submits transaction.</w:t>
      </w:r>
    </w:p>
    <w:p>
      <w:pPr>
        <w:spacing w:after="80"/>
        <w:ind w:left="288"/>
      </w:pPr>
      <w:r>
        <w:rPr>
          <w:rFonts w:ascii="Calibri" w:hAnsi="Calibri"/>
          <w:sz w:val="20"/>
        </w:rPr>
        <w:t>4. Instant Reconciliation: Bill status transitions from UNPAID to PAID; a Payment transaction record is logged with timestamp and reference ID.</w:t>
      </w:r>
    </w:p>
    <w:p>
      <w:pPr>
        <w:spacing w:after="80"/>
        <w:ind w:left="288"/>
      </w:pPr>
      <w:r>
        <w:rPr>
          <w:rFonts w:ascii="Calibri" w:hAnsi="Calibri"/>
          <w:sz w:val="20"/>
        </w:rPr>
        <w:t>5. Owner Dashboard Update: Owner's revenue metrics and financial summaries reflect the paid amount in real time without manual reconciliation.</w:t>
      </w:r>
    </w:p>
    <w:p>
      <w:pPr>
        <w:keepNext/>
        <w:spacing w:before="320" w:after="160"/>
      </w:pPr>
      <w:r>
        <w:rPr>
          <w:rFonts w:ascii="Calibri" w:hAnsi="Calibri"/>
          <w:b/>
          <w:color w:val="0284C7"/>
          <w:sz w:val="36"/>
        </w:rPr>
        <w:t>4. 3-Tier Progressive Tariff &amp; Calculation Mechanics</w:t>
      </w:r>
    </w:p>
    <w:p>
      <w:pPr>
        <w:spacing w:after="160"/>
      </w:pPr>
      <w:r>
        <w:rPr>
          <w:rFonts w:ascii="Calibri" w:hAnsi="Calibri"/>
          <w:sz w:val="21"/>
        </w:rPr>
        <w:t>To promote water conservation and fair cost distribution, AquaFlow implements a dynamic 3-Tier Slab Pricing Model. Unlike fixed-rate systems, tariffs dynamically reflect actual monthly water procurement expenses (e.g. rising tanker costs during summer) while guaranteeing that frugal households pay baseline lifeline rates.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0284C7"/>
              <w:bottom w:val="none"/>
              <w:right w:val="none"/>
            </w:tcBorders>
          </w:tcPr>
          <w:p>
            <w:pPr>
              <w:spacing w:before="40" w:after="40"/>
            </w:pPr>
            <w:r>
              <w:rPr>
                <w:rFonts w:ascii="Calibri" w:hAnsi="Calibri"/>
                <w:b/>
                <w:color w:val="0284C7"/>
                <w:sz w:val="21"/>
              </w:rPr>
              <w:t xml:space="preserve">📌 Mathematical Calculation Principle: </w:t>
            </w:r>
            <w:r>
              <w:rPr>
                <w:rFonts w:ascii="Calibri" w:hAnsi="Calibri"/>
                <w:color w:val="334155"/>
                <w:sz w:val="20"/>
              </w:rPr>
              <w:t>Effective Rate per kL = (Total Water Purchase Cost + Owner Maintenance Markup %) ÷ Total Net Water Consumed (kL).</w:t>
              <w:br/>
              <w:t>Individual Bill = (Tier 1 Units × Tier 1 Rate) + (Tier 2 Units × Tier 2 Rate) + (Tier 3 Units × Tier 3 Rate).</w:t>
            </w:r>
          </w:p>
        </w:tc>
      </w:tr>
    </w:tbl>
    <w:p>
      <w:pPr>
        <w:spacing w:after="120"/>
      </w:pPr>
    </w:p>
    <w:p>
      <w:pPr>
        <w:keepNext/>
        <w:spacing w:before="160" w:after="80"/>
      </w:pPr>
      <w:r>
        <w:rPr>
          <w:rFonts w:ascii="Calibri" w:hAnsi="Calibri"/>
          <w:b/>
          <w:color w:val="1E3A8A"/>
          <w:sz w:val="24"/>
        </w:rPr>
        <w:t>Standard 3-Tier Slab Distribution Breakdown:</w:t>
      </w:r>
    </w:p>
    <w:p>
      <w:pPr>
        <w:pStyle w:val="ListBullet"/>
        <w:spacing w:after="60"/>
      </w:pPr>
      <w:r>
        <w:rPr>
          <w:rFonts w:ascii="Calibri" w:hAnsi="Calibri"/>
          <w:b/>
          <w:color w:val="1E3A8A"/>
          <w:sz w:val="20"/>
        </w:rPr>
        <w:t xml:space="preserve">Tier 1 (Lifeline / Essential Consumption): </w:t>
      </w:r>
      <w:r>
        <w:rPr>
          <w:rFonts w:ascii="Calibri" w:hAnsi="Calibri"/>
          <w:sz w:val="20"/>
        </w:rPr>
        <w:t>[0 to 15,000 Liters (0 - 15 kL)] — Baseline subsidized rate designed for basic human needs (drinking, cooking, sanitary).</w:t>
      </w:r>
    </w:p>
    <w:p>
      <w:pPr>
        <w:pStyle w:val="ListBullet"/>
        <w:spacing w:after="60"/>
      </w:pPr>
      <w:r>
        <w:rPr>
          <w:rFonts w:ascii="Calibri" w:hAnsi="Calibri"/>
          <w:b/>
          <w:color w:val="1E3A8A"/>
          <w:sz w:val="20"/>
        </w:rPr>
        <w:t xml:space="preserve">Tier 2 (Standard Domestic Usage): </w:t>
      </w:r>
      <w:r>
        <w:rPr>
          <w:rFonts w:ascii="Calibri" w:hAnsi="Calibri"/>
          <w:sz w:val="20"/>
        </w:rPr>
        <w:t>[15,001 to 30,000 Liters (15 - 30 kL)] — Standard domestic rate matching actual procurement cost per unit.</w:t>
      </w:r>
    </w:p>
    <w:p>
      <w:pPr>
        <w:pStyle w:val="ListBullet"/>
        <w:spacing w:after="60"/>
      </w:pPr>
      <w:r>
        <w:rPr>
          <w:rFonts w:ascii="Calibri" w:hAnsi="Calibri"/>
          <w:b/>
          <w:color w:val="1E3A8A"/>
          <w:sz w:val="20"/>
        </w:rPr>
        <w:t xml:space="preserve">Tier 3 (Excessive / High Consumption): </w:t>
      </w:r>
      <w:r>
        <w:rPr>
          <w:rFonts w:ascii="Calibri" w:hAnsi="Calibri"/>
          <w:sz w:val="20"/>
        </w:rPr>
        <w:t>[Above 30,000 Liters (&gt; 30 kL)] — Conservation penalty rate (e.g. 1.5x - 2x baseline) discouraging excessive water waste.</w:t>
      </w:r>
    </w:p>
    <w:p>
      <w:pPr>
        <w:keepNext/>
        <w:spacing w:before="320" w:after="160"/>
      </w:pPr>
      <w:r>
        <w:rPr>
          <w:rFonts w:ascii="Calibri" w:hAnsi="Calibri"/>
          <w:b/>
          <w:color w:val="0284C7"/>
          <w:sz w:val="36"/>
        </w:rPr>
        <w:t>5. Technical Architecture &amp; Role-Based Modular Reorganization</w:t>
      </w:r>
    </w:p>
    <w:p>
      <w:pPr>
        <w:spacing w:after="160"/>
      </w:pPr>
      <w:r>
        <w:rPr>
          <w:rFonts w:ascii="Calibri" w:hAnsi="Calibri"/>
          <w:sz w:val="21"/>
        </w:rPr>
        <w:t>The project has been refactored into a role-aligned modular architecture. Genuinely shared components reside in the common module, while domain-specific logic is strictly partitioned into role-based subpackages for Super Admin, Building Owner, and Resident. This architectural structure eliminates circular dependencies and guarantees clean separation of concerns.</w:t>
      </w:r>
    </w:p>
    <w:p>
      <w:pPr>
        <w:keepNext/>
        <w:spacing w:before="200" w:after="80"/>
      </w:pPr>
      <w:r>
        <w:rPr>
          <w:rFonts w:ascii="Calibri" w:hAnsi="Calibri"/>
          <w:b/>
          <w:color w:val="1E3A8A"/>
          <w:sz w:val="26"/>
        </w:rPr>
        <w:t>Backend Package Architecture (com.smartwater.billing)</w:t>
      </w:r>
    </w:p>
    <w:p>
      <w:pPr>
        <w:pStyle w:val="ListBullet"/>
        <w:spacing w:after="60"/>
      </w:pPr>
      <w:r>
        <w:rPr>
          <w:rFonts w:ascii="Calibri" w:hAnsi="Calibri"/>
          <w:b/>
          <w:color w:val="1E3A8A"/>
          <w:sz w:val="19"/>
        </w:rPr>
        <w:t>SmartWaterApplication.java:</w:t>
      </w:r>
      <w:r>
        <w:rPr>
          <w:rFonts w:ascii="Calibri" w:hAnsi="Calibri"/>
          <w:sz w:val="19"/>
        </w:rPr>
        <w:t xml:space="preserve"> Root Spring Boot 3.2.5 application class automatically scanning all subpackages.</w:t>
      </w:r>
    </w:p>
    <w:p>
      <w:pPr>
        <w:pStyle w:val="ListBullet"/>
        <w:spacing w:after="60"/>
      </w:pPr>
      <w:r>
        <w:rPr>
          <w:rFonts w:ascii="Calibri" w:hAnsi="Calibri"/>
          <w:b/>
          <w:color w:val="1E3A8A"/>
          <w:sz w:val="19"/>
        </w:rPr>
        <w:t>common/ (Shared Core):</w:t>
      </w:r>
      <w:r>
        <w:rPr>
          <w:rFonts w:ascii="Calibri" w:hAnsi="Calibri"/>
          <w:sz w:val="19"/>
        </w:rPr>
        <w:t xml:space="preserve"> Contains shared entities (User, WaterMeter, WaterUsage, BillingCycle, Bill, Invoice, Payment), shared repositories, shared services (AuthService, BillingCycleService, BillingService, EmailService, PdfGeneratorService, UserService, WaterUsageService), config (SecurityConfig, JwtUtils, CorsConfig), exception handlers, and util classes.</w:t>
      </w:r>
    </w:p>
    <w:p>
      <w:pPr>
        <w:pStyle w:val="ListBullet"/>
        <w:spacing w:after="60"/>
      </w:pPr>
      <w:r>
        <w:rPr>
          <w:rFonts w:ascii="Calibri" w:hAnsi="Calibri"/>
          <w:b/>
          <w:color w:val="1E3A8A"/>
          <w:sz w:val="19"/>
        </w:rPr>
        <w:t>owner/ (Building Owner Domain):</w:t>
      </w:r>
      <w:r>
        <w:rPr>
          <w:rFonts w:ascii="Calibri" w:hAnsi="Calibri"/>
          <w:sz w:val="19"/>
        </w:rPr>
        <w:t xml:space="preserve"> Dedicated controller (8 controllers), service (8 services), entity (Building, BuildingOwner, WaterPurchase, TariffPlan, Tariff), repository (5 repositories), and DTO subpackages.</w:t>
      </w:r>
    </w:p>
    <w:p>
      <w:pPr>
        <w:pStyle w:val="ListBullet"/>
        <w:spacing w:after="60"/>
      </w:pPr>
      <w:r>
        <w:rPr>
          <w:rFonts w:ascii="Calibri" w:hAnsi="Calibri"/>
          <w:b/>
          <w:color w:val="1E3A8A"/>
          <w:sz w:val="19"/>
        </w:rPr>
        <w:t>resident/ (Resident Domain):</w:t>
      </w:r>
      <w:r>
        <w:rPr>
          <w:rFonts w:ascii="Calibri" w:hAnsi="Calibri"/>
          <w:sz w:val="19"/>
        </w:rPr>
        <w:t xml:space="preserve"> Dedicated controller (ResidentController, NotificationController), service (ResidentService), entity (Resident, ResidentInvitation, Notification), repository (3 repositories), and DTO subpackages.</w:t>
      </w:r>
    </w:p>
    <w:p>
      <w:pPr>
        <w:pStyle w:val="ListBullet"/>
        <w:spacing w:after="60"/>
      </w:pPr>
      <w:r>
        <w:rPr>
          <w:rFonts w:ascii="Calibri" w:hAnsi="Calibri"/>
          <w:b/>
          <w:color w:val="1E3A8A"/>
          <w:sz w:val="19"/>
        </w:rPr>
        <w:t>superadmin/ (Platform Governance):</w:t>
      </w:r>
      <w:r>
        <w:rPr>
          <w:rFonts w:ascii="Calibri" w:hAnsi="Calibri"/>
          <w:sz w:val="19"/>
        </w:rPr>
        <w:t xml:space="preserve"> Dedicated controller (SuperAdminController), service (SuperAdminService), DTO, entity, repository, and exception subpackages.</w:t>
      </w:r>
    </w:p>
    <w:p>
      <w:pPr>
        <w:keepNext/>
        <w:spacing w:before="200" w:after="80"/>
      </w:pPr>
      <w:r>
        <w:rPr>
          <w:rFonts w:ascii="Calibri" w:hAnsi="Calibri"/>
          <w:b/>
          <w:color w:val="1E3A8A"/>
          <w:sz w:val="26"/>
        </w:rPr>
        <w:t>Frontend Application Structure (frontend/src)</w:t>
      </w:r>
    </w:p>
    <w:p>
      <w:pPr>
        <w:pStyle w:val="ListBullet"/>
        <w:spacing w:after="60"/>
      </w:pPr>
      <w:r>
        <w:rPr>
          <w:rFonts w:ascii="Calibri" w:hAnsi="Calibri"/>
          <w:b/>
          <w:color w:val="1E3A8A"/>
          <w:sz w:val="19"/>
        </w:rPr>
        <w:t>superadmin/pages/:</w:t>
      </w:r>
      <w:r>
        <w:rPr>
          <w:rFonts w:ascii="Calibri" w:hAnsi="Calibri"/>
          <w:sz w:val="19"/>
        </w:rPr>
        <w:t xml:space="preserve"> AdminDashboard.jsx, AdminOwnersPage.jsx, AdminPendingOwnersPage.jsx.</w:t>
      </w:r>
    </w:p>
    <w:p>
      <w:pPr>
        <w:pStyle w:val="ListBullet"/>
        <w:spacing w:after="60"/>
      </w:pPr>
      <w:r>
        <w:rPr>
          <w:rFonts w:ascii="Calibri" w:hAnsi="Calibri"/>
          <w:b/>
          <w:color w:val="1E3A8A"/>
          <w:sz w:val="19"/>
        </w:rPr>
        <w:t>owner/pages/:</w:t>
      </w:r>
      <w:r>
        <w:rPr>
          <w:rFonts w:ascii="Calibri" w:hAnsi="Calibri"/>
          <w:sz w:val="19"/>
        </w:rPr>
        <w:t xml:space="preserve"> OwnerDashboard.jsx, OwnerBuildingsPage.jsx, OwnerResidentsPage.jsx, BulkBillingPage.jsx, OwnerBillingPage.jsx, OwnerUsagePage.jsx, OwnerUsageComparisonPage.jsx, InvoicesPage.jsx.</w:t>
      </w:r>
    </w:p>
    <w:p>
      <w:pPr>
        <w:pStyle w:val="ListBullet"/>
        <w:spacing w:after="60"/>
      </w:pPr>
      <w:r>
        <w:rPr>
          <w:rFonts w:ascii="Calibri" w:hAnsi="Calibri"/>
          <w:b/>
          <w:color w:val="1E3A8A"/>
          <w:sz w:val="19"/>
        </w:rPr>
        <w:t>resident/pages/:</w:t>
      </w:r>
      <w:r>
        <w:rPr>
          <w:rFonts w:ascii="Calibri" w:hAnsi="Calibri"/>
          <w:sz w:val="19"/>
        </w:rPr>
        <w:t xml:space="preserve"> ResidentDashboard.jsx, ResidentBillsPage.jsx, ResidentComparisonPage.jsx, ResidentNotificationsPage.jsx.</w:t>
      </w:r>
    </w:p>
    <w:p>
      <w:pPr>
        <w:pStyle w:val="ListBullet"/>
        <w:spacing w:after="60"/>
      </w:pPr>
      <w:r>
        <w:rPr>
          <w:rFonts w:ascii="Calibri" w:hAnsi="Calibri"/>
          <w:b/>
          <w:color w:val="1E3A8A"/>
          <w:sz w:val="19"/>
        </w:rPr>
        <w:t>shared/:</w:t>
      </w:r>
      <w:r>
        <w:rPr>
          <w:rFonts w:ascii="Calibri" w:hAnsi="Calibri"/>
          <w:sz w:val="19"/>
        </w:rPr>
        <w:t xml:space="preserve"> Reusable UI components (Navbar, Sidebar, StatCard, LoadingSpinner), Auth pages (LoginPage, RegisterOwnerPage, AcceptInvitationPage, LandingPage), Layouts (DashboardLayout with role guards, PublicLayout), context (AuthContext), and API services.</w:t>
      </w:r>
    </w:p>
    <w:p>
      <w:pPr>
        <w:keepNext/>
        <w:spacing w:before="320" w:after="160"/>
      </w:pPr>
      <w:r>
        <w:rPr>
          <w:rFonts w:ascii="Calibri" w:hAnsi="Calibri"/>
          <w:b/>
          <w:color w:val="0284C7"/>
          <w:sz w:val="36"/>
        </w:rPr>
        <w:t>6. Database Entities &amp; Relational Data Model</w:t>
      </w:r>
    </w:p>
    <w:p>
      <w:pPr>
        <w:spacing w:after="120"/>
      </w:pPr>
      <w:r>
        <w:rPr>
          <w:rFonts w:ascii="Calibri" w:hAnsi="Calibri"/>
          <w:sz w:val="21"/>
        </w:rPr>
        <w:t>The relational database schema is structured around 14 primary entities mapped via JPA / Hibernate:</w:t>
      </w:r>
    </w:p>
    <w:p>
      <w:pPr>
        <w:pStyle w:val="ListBullet"/>
        <w:spacing w:after="60"/>
      </w:pPr>
      <w:r>
        <w:rPr>
          <w:rFonts w:ascii="Consolas" w:hAnsi="Consolas"/>
          <w:b/>
          <w:color w:val="1E3A8A"/>
          <w:sz w:val="19"/>
        </w:rPr>
        <w:t xml:space="preserve">`users`: </w:t>
      </w:r>
      <w:r>
        <w:rPr>
          <w:rFonts w:ascii="Calibri" w:hAnsi="Calibri"/>
          <w:sz w:val="20"/>
        </w:rPr>
        <w:t>Central authentication identity storing email, BCrypt-hashed password, role (SUPER_ADMIN, BUILDING_OWNER, RESIDENT), and account status.</w:t>
      </w:r>
    </w:p>
    <w:p>
      <w:pPr>
        <w:pStyle w:val="ListBullet"/>
        <w:spacing w:after="60"/>
      </w:pPr>
      <w:r>
        <w:rPr>
          <w:rFonts w:ascii="Consolas" w:hAnsi="Consolas"/>
          <w:b/>
          <w:color w:val="1E3A8A"/>
          <w:sz w:val="19"/>
        </w:rPr>
        <w:t xml:space="preserve">`building_owners`: </w:t>
      </w:r>
      <w:r>
        <w:rPr>
          <w:rFonts w:ascii="Calibri" w:hAnsi="Calibri"/>
          <w:sz w:val="20"/>
        </w:rPr>
        <w:t>Profile entity linked to users(user_id); maintains phone, legal name, and approval status (PENDING, APPROVED, REJECTED).</w:t>
      </w:r>
    </w:p>
    <w:p>
      <w:pPr>
        <w:pStyle w:val="ListBullet"/>
        <w:spacing w:after="60"/>
      </w:pPr>
      <w:r>
        <w:rPr>
          <w:rFonts w:ascii="Consolas" w:hAnsi="Consolas"/>
          <w:b/>
          <w:color w:val="1E3A8A"/>
          <w:sz w:val="19"/>
        </w:rPr>
        <w:t xml:space="preserve">`buildings`: </w:t>
      </w:r>
      <w:r>
        <w:rPr>
          <w:rFonts w:ascii="Calibri" w:hAnsi="Calibri"/>
          <w:sz w:val="20"/>
        </w:rPr>
        <w:t>Physical building/property owned by a BuildingOwner; stores building_name, location, total_flats, and building_number.</w:t>
      </w:r>
    </w:p>
    <w:p>
      <w:pPr>
        <w:pStyle w:val="ListBullet"/>
        <w:spacing w:after="60"/>
      </w:pPr>
      <w:r>
        <w:rPr>
          <w:rFonts w:ascii="Consolas" w:hAnsi="Consolas"/>
          <w:b/>
          <w:color w:val="1E3A8A"/>
          <w:sz w:val="19"/>
        </w:rPr>
        <w:t xml:space="preserve">`residents`: </w:t>
      </w:r>
      <w:r>
        <w:rPr>
          <w:rFonts w:ascii="Calibri" w:hAnsi="Calibri"/>
          <w:sz w:val="20"/>
        </w:rPr>
        <w:t>Resident occupant record mapped to a building and flat number; maintains invitation status and account link.</w:t>
      </w:r>
    </w:p>
    <w:p>
      <w:pPr>
        <w:pStyle w:val="ListBullet"/>
        <w:spacing w:after="60"/>
      </w:pPr>
      <w:r>
        <w:rPr>
          <w:rFonts w:ascii="Consolas" w:hAnsi="Consolas"/>
          <w:b/>
          <w:color w:val="1E3A8A"/>
          <w:sz w:val="19"/>
        </w:rPr>
        <w:t xml:space="preserve">`resident_invitations`: </w:t>
      </w:r>
      <w:r>
        <w:rPr>
          <w:rFonts w:ascii="Calibri" w:hAnsi="Calibri"/>
          <w:sz w:val="20"/>
        </w:rPr>
        <w:t>Invitation records containing 64-char token, token_hash, expiration timestamp, and invitation state.</w:t>
      </w:r>
    </w:p>
    <w:p>
      <w:pPr>
        <w:pStyle w:val="ListBullet"/>
        <w:spacing w:after="60"/>
      </w:pPr>
      <w:r>
        <w:rPr>
          <w:rFonts w:ascii="Consolas" w:hAnsi="Consolas"/>
          <w:b/>
          <w:color w:val="1E3A8A"/>
          <w:sz w:val="19"/>
        </w:rPr>
        <w:t xml:space="preserve">`water_meters`: </w:t>
      </w:r>
      <w:r>
        <w:rPr>
          <w:rFonts w:ascii="Calibri" w:hAnsi="Calibri"/>
          <w:sz w:val="20"/>
        </w:rPr>
        <w:t>Hardware sub-meter identifier mapped to an individual apartment flat and building.</w:t>
      </w:r>
    </w:p>
    <w:p>
      <w:pPr>
        <w:pStyle w:val="ListBullet"/>
        <w:spacing w:after="60"/>
      </w:pPr>
      <w:r>
        <w:rPr>
          <w:rFonts w:ascii="Consolas" w:hAnsi="Consolas"/>
          <w:b/>
          <w:color w:val="1E3A8A"/>
          <w:sz w:val="19"/>
        </w:rPr>
        <w:t xml:space="preserve">`water_purchases`: </w:t>
      </w:r>
      <w:r>
        <w:rPr>
          <w:rFonts w:ascii="Calibri" w:hAnsi="Calibri"/>
          <w:sz w:val="20"/>
        </w:rPr>
        <w:t>Records external water procurement: supplier name, water volume (liters/kL), invoice cost, and delivery date.</w:t>
      </w:r>
    </w:p>
    <w:p>
      <w:pPr>
        <w:pStyle w:val="ListBullet"/>
        <w:spacing w:after="60"/>
      </w:pPr>
      <w:r>
        <w:rPr>
          <w:rFonts w:ascii="Consolas" w:hAnsi="Consolas"/>
          <w:b/>
          <w:color w:val="1E3A8A"/>
          <w:sz w:val="19"/>
        </w:rPr>
        <w:t xml:space="preserve">`tariffs &amp; tariff_plans`: </w:t>
      </w:r>
      <w:r>
        <w:rPr>
          <w:rFonts w:ascii="Calibri" w:hAnsi="Calibri"/>
          <w:sz w:val="20"/>
        </w:rPr>
        <w:t>Dynamic billing rule sets defining base rates, slab unit boundaries (Tier 1/2/3), markup percentages, and effective dates.</w:t>
      </w:r>
    </w:p>
    <w:p>
      <w:pPr>
        <w:pStyle w:val="ListBullet"/>
        <w:spacing w:after="60"/>
      </w:pPr>
      <w:r>
        <w:rPr>
          <w:rFonts w:ascii="Consolas" w:hAnsi="Consolas"/>
          <w:b/>
          <w:color w:val="1E3A8A"/>
          <w:sz w:val="19"/>
        </w:rPr>
        <w:t xml:space="preserve">`billing_cycles`: </w:t>
      </w:r>
      <w:r>
        <w:rPr>
          <w:rFonts w:ascii="Calibri" w:hAnsi="Calibri"/>
          <w:sz w:val="20"/>
        </w:rPr>
        <w:t>Monthly billing period record per building; features status (OPEN, FINALIZED, ARCHIVED) and concurrency safeguards.</w:t>
      </w:r>
    </w:p>
    <w:p>
      <w:pPr>
        <w:pStyle w:val="ListBullet"/>
        <w:spacing w:after="60"/>
      </w:pPr>
      <w:r>
        <w:rPr>
          <w:rFonts w:ascii="Consolas" w:hAnsi="Consolas"/>
          <w:b/>
          <w:color w:val="1E3A8A"/>
          <w:sz w:val="19"/>
        </w:rPr>
        <w:t xml:space="preserve">`water_usage`: </w:t>
      </w:r>
      <w:r>
        <w:rPr>
          <w:rFonts w:ascii="Calibri" w:hAnsi="Calibri"/>
          <w:sz w:val="20"/>
        </w:rPr>
        <w:t>Monthly meter reading record per flat; captures previous reading, current reading, units consumed, and anomaly flags.</w:t>
      </w:r>
    </w:p>
    <w:p>
      <w:pPr>
        <w:pStyle w:val="ListBullet"/>
        <w:spacing w:after="60"/>
      </w:pPr>
      <w:r>
        <w:rPr>
          <w:rFonts w:ascii="Consolas" w:hAnsi="Consolas"/>
          <w:b/>
          <w:color w:val="1E3A8A"/>
          <w:sz w:val="19"/>
        </w:rPr>
        <w:t xml:space="preserve">`bills`: </w:t>
      </w:r>
      <w:r>
        <w:rPr>
          <w:rFonts w:ascii="Calibri" w:hAnsi="Calibri"/>
          <w:sz w:val="20"/>
        </w:rPr>
        <w:t>Generated resident bill; contains total amount due, payment due date, status (UNPAID, PAID, OVERDUE), and Tier 1/2/3 itemized breakdowns.</w:t>
      </w:r>
    </w:p>
    <w:p>
      <w:pPr>
        <w:pStyle w:val="ListBullet"/>
        <w:spacing w:after="60"/>
      </w:pPr>
      <w:r>
        <w:rPr>
          <w:rFonts w:ascii="Consolas" w:hAnsi="Consolas"/>
          <w:b/>
          <w:color w:val="1E3A8A"/>
          <w:sz w:val="19"/>
        </w:rPr>
        <w:t xml:space="preserve">`invoices`: </w:t>
      </w:r>
      <w:r>
        <w:rPr>
          <w:rFonts w:ascii="Calibri" w:hAnsi="Calibri"/>
          <w:sz w:val="20"/>
        </w:rPr>
        <w:t>Aggregated monthly financial statement generated for the building owner summarizing total water purchased, distributed, and billed.</w:t>
      </w:r>
    </w:p>
    <w:p>
      <w:pPr>
        <w:pStyle w:val="ListBullet"/>
        <w:spacing w:after="60"/>
      </w:pPr>
      <w:r>
        <w:rPr>
          <w:rFonts w:ascii="Consolas" w:hAnsi="Consolas"/>
          <w:b/>
          <w:color w:val="1E3A8A"/>
          <w:sz w:val="19"/>
        </w:rPr>
        <w:t xml:space="preserve">`payments`: </w:t>
      </w:r>
      <w:r>
        <w:rPr>
          <w:rFonts w:ascii="Calibri" w:hAnsi="Calibri"/>
          <w:sz w:val="20"/>
        </w:rPr>
        <w:t>Transaction log recording resident bill payments, payment method, transaction reference number, and payment timestamp.</w:t>
      </w:r>
    </w:p>
    <w:p>
      <w:pPr>
        <w:pStyle w:val="ListBullet"/>
        <w:spacing w:after="60"/>
      </w:pPr>
      <w:r>
        <w:rPr>
          <w:rFonts w:ascii="Consolas" w:hAnsi="Consolas"/>
          <w:b/>
          <w:color w:val="1E3A8A"/>
          <w:sz w:val="19"/>
        </w:rPr>
        <w:t xml:space="preserve">`notifications`: </w:t>
      </w:r>
      <w:r>
        <w:rPr>
          <w:rFonts w:ascii="Calibri" w:hAnsi="Calibri"/>
          <w:sz w:val="20"/>
        </w:rPr>
        <w:t>In-app alerts dispatched to users; tracks notification title, message body, read status, and delivery date.</w:t>
      </w:r>
    </w:p>
    <w:p>
      <w:pPr>
        <w:keepNext/>
        <w:spacing w:before="320" w:after="160"/>
      </w:pPr>
      <w:r>
        <w:rPr>
          <w:rFonts w:ascii="Calibri" w:hAnsi="Calibri"/>
          <w:b/>
          <w:color w:val="0284C7"/>
          <w:sz w:val="36"/>
        </w:rPr>
        <w:t>7. Security Architecture &amp; Concurrency Safeguards</w:t>
      </w:r>
    </w:p>
    <w:p>
      <w:pPr>
        <w:keepNext/>
        <w:spacing w:before="160" w:after="60"/>
      </w:pPr>
      <w:r>
        <w:rPr>
          <w:rFonts w:ascii="Calibri" w:hAnsi="Calibri"/>
          <w:b/>
          <w:color w:val="1E3A8A"/>
          <w:sz w:val="24"/>
        </w:rPr>
        <w:t>Stateless JWT Authentication</w:t>
      </w:r>
    </w:p>
    <w:p>
      <w:pPr>
        <w:spacing w:after="80"/>
        <w:ind w:left="288"/>
      </w:pPr>
      <w:r>
        <w:rPr>
          <w:rFonts w:ascii="Calibri" w:hAnsi="Calibri"/>
          <w:sz w:val="20"/>
        </w:rPr>
        <w:t>Requests require an Authorization: Bearer &lt;token&gt; header. JWTs are signed with HMAC-SHA256 and include username, role, and expiration (24 hours).</w:t>
      </w:r>
    </w:p>
    <w:p>
      <w:pPr>
        <w:keepNext/>
        <w:spacing w:before="160" w:after="60"/>
      </w:pPr>
      <w:r>
        <w:rPr>
          <w:rFonts w:ascii="Calibri" w:hAnsi="Calibri"/>
          <w:b/>
          <w:color w:val="1E3A8A"/>
          <w:sz w:val="24"/>
        </w:rPr>
        <w:t>Pessimistic Concurrency Locking</w:t>
      </w:r>
    </w:p>
    <w:p>
      <w:pPr>
        <w:spacing w:after="80"/>
        <w:ind w:left="288"/>
      </w:pPr>
      <w:r>
        <w:rPr>
          <w:rFonts w:ascii="Calibri" w:hAnsi="Calibri"/>
          <w:sz w:val="20"/>
        </w:rPr>
        <w:t>Billing cycle transitions enforce SELECT ... FOR UPDATE (Pessimistic Write Lock) in BillingCycleRepository.findByIdWithLock(), preventing double-finalization or duplicate bill generation when concurrent requests occur.</w:t>
      </w:r>
    </w:p>
    <w:p>
      <w:pPr>
        <w:keepNext/>
        <w:spacing w:before="160" w:after="60"/>
      </w:pPr>
      <w:r>
        <w:rPr>
          <w:rFonts w:ascii="Calibri" w:hAnsi="Calibri"/>
          <w:b/>
          <w:color w:val="1E3A8A"/>
          <w:sz w:val="24"/>
        </w:rPr>
        <w:t>SQL Reserved Keyword Escaping</w:t>
      </w:r>
    </w:p>
    <w:p>
      <w:pPr>
        <w:spacing w:after="80"/>
        <w:ind w:left="288"/>
      </w:pPr>
      <w:r>
        <w:rPr>
          <w:rFonts w:ascii="Calibri" w:hAnsi="Calibri"/>
          <w:sz w:val="20"/>
        </w:rPr>
        <w:t>In WaterUsage entity, JPA mappings explicitly escape MySQL 8.0 reserved keywords (`year` and `month`) using backticks, guaranteeing cross-database compatibility without query syntax crashes.</w:t>
      </w:r>
    </w:p>
    <w:p>
      <w:pPr>
        <w:keepNext/>
        <w:spacing w:before="160" w:after="60"/>
      </w:pPr>
      <w:r>
        <w:rPr>
          <w:rFonts w:ascii="Calibri" w:hAnsi="Calibri"/>
          <w:b/>
          <w:color w:val="1E3A8A"/>
          <w:sz w:val="24"/>
        </w:rPr>
        <w:t>Atomic Database Rollback on Bulk CSV</w:t>
      </w:r>
    </w:p>
    <w:p>
      <w:pPr>
        <w:spacing w:after="80"/>
        <w:ind w:left="288"/>
      </w:pPr>
      <w:r>
        <w:rPr>
          <w:rFonts w:ascii="Calibri" w:hAnsi="Calibri"/>
          <w:sz w:val="20"/>
        </w:rPr>
        <w:t>CSV meter reading imports execute within a strict @Transactional boundary. If a single flat row contains corrupt data or negative consumption, the entire batch rolls back, leaving database state pristine.</w:t>
      </w:r>
    </w:p>
    <w:p>
      <w:pPr>
        <w:keepNext/>
        <w:spacing w:before="160" w:after="60"/>
      </w:pPr>
      <w:r>
        <w:rPr>
          <w:rFonts w:ascii="Calibri" w:hAnsi="Calibri"/>
          <w:b/>
          <w:color w:val="1E3A8A"/>
          <w:sz w:val="24"/>
        </w:rPr>
        <w:t>Complete Test Isolation</w:t>
      </w:r>
    </w:p>
    <w:p>
      <w:pPr>
        <w:spacing w:after="80"/>
        <w:ind w:left="288"/>
      </w:pPr>
      <w:r>
        <w:rPr>
          <w:rFonts w:ascii="Calibri" w:hAnsi="Calibri"/>
          <w:sz w:val="20"/>
        </w:rPr>
        <w:t>Automated test suites (BulkBillingRollbackIntegrationTest, CsvMeterReadingInputTest, BillingCycleSafeguardTest) run against dedicated in-memory H2 databases (jdbc:h2:mem:*), guaranteeing that running mvn test never modifies or corrupts the production MySQL database.</w:t>
      </w:r>
    </w:p>
    <w:p>
      <w:pPr>
        <w:keepNext/>
        <w:spacing w:before="320" w:after="160"/>
      </w:pPr>
      <w:r>
        <w:rPr>
          <w:rFonts w:ascii="Calibri" w:hAnsi="Calibri"/>
          <w:b/>
          <w:color w:val="0284C7"/>
          <w:sz w:val="36"/>
        </w:rPr>
        <w:t>8. Operational Verification &amp; Conclusion</w:t>
      </w:r>
    </w:p>
    <w:p>
      <w:pPr>
        <w:spacing w:after="120"/>
      </w:pPr>
      <w:r>
        <w:rPr>
          <w:rFonts w:ascii="Calibri" w:hAnsi="Calibri"/>
          <w:sz w:val="21"/>
        </w:rPr>
        <w:t>The AquaFlow (REP) system delivers a complete, secure, and intuitive water billing automation platform. By enforcing strict role-based folder boundaries across Super Admin, Building Owner, and Resident modules, the codebase provides maximum maintainability and clear domain ownership while preserving 100% of the underlying business logic, CSV batch workflows, and transaction concurrency safeguards.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0284C7"/>
              <w:bottom w:val="none"/>
              <w:right w:val="none"/>
            </w:tcBorders>
          </w:tcPr>
          <w:p>
            <w:pPr>
              <w:spacing w:before="40" w:after="40"/>
            </w:pPr>
            <w:r>
              <w:rPr>
                <w:rFonts w:ascii="Calibri" w:hAnsi="Calibri"/>
                <w:b/>
                <w:color w:val="0284C7"/>
                <w:sz w:val="21"/>
              </w:rPr>
              <w:t xml:space="preserve">📌 System Health &amp; Readiness Summary: </w:t>
            </w:r>
            <w:r>
              <w:rPr>
                <w:rFonts w:ascii="Calibri" w:hAnsi="Calibri"/>
                <w:color w:val="334155"/>
                <w:sz w:val="20"/>
              </w:rPr>
              <w:t>• Backend Build &amp; Test Suite: 15 of 15 automated integration tests PASS with 0 failures and 0 errors.</w:t>
              <w:br/>
              <w:t>• Frontend Production Bundle: 714 modules transformed with 0 build errors (Vite v6.4.3).</w:t>
              <w:br/>
              <w:t>• Database Integrity: Zero unintended modifications to MySQL table records.</w:t>
              <w:br/>
              <w:t>• Live Endpoints: All 120+ REST API routes active and serving authenticated requests.</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Confidential — For Internal Project &amp; Engineering Architecture Review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AquaFlow (REP) — Smart Water Billing &amp;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