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Arial" w:hAnsi="Arial"/>
          <w:b/>
          <w:color w:val="0A9396"/>
          <w:sz w:val="22"/>
        </w:rPr>
        <w:t>ENTERPRISE ARCHITECTURAL SPECIFICATION</w:t>
      </w:r>
    </w:p>
    <w:p>
      <w:pPr>
        <w:spacing w:before="0" w:after="240"/>
      </w:pPr>
      <w:r>
        <w:rPr>
          <w:rFonts w:ascii="Arial" w:hAnsi="Arial"/>
          <w:b/>
          <w:color w:val="005F73"/>
          <w:sz w:val="48"/>
        </w:rPr>
        <w:t>Smart Water Billing System</w:t>
        <w:br/>
        <w:t>Building Owner Role Architecture &amp; Business Logic Manual</w:t>
      </w:r>
    </w:p>
    <w:p>
      <w:pPr>
        <w:spacing w:before="0" w:after="480"/>
      </w:pPr>
      <w:r>
        <w:rPr>
          <w:rFonts w:ascii="Arial" w:hAnsi="Arial"/>
          <w:color w:val="6C757D"/>
          <w:sz w:val="22"/>
        </w:rPr>
        <w:t>Comprehensive Engineering Documentation of the Building Owner Subsystem: Tenancy Models, Water Metering, Bulk Procurement, 3-Tier Dynamic Tariffs, Automated Batch Billing, Invoices Governance, and PDF Generation</w:t>
      </w:r>
    </w:p>
    <w:tbl>
      <w:tblPr>
        <w:tblW w:type="auto" w:w="0"/>
        <w:jc w:val="center"/>
        <w:tblLook w:firstColumn="1" w:firstRow="1" w:lastColumn="0" w:lastRow="0" w:noHBand="0" w:noVBand="1" w:val="04A0"/>
      </w:tblPr>
      <w:tblGrid>
        <w:gridCol w:w="4680"/>
        <w:gridCol w:w="4680"/>
      </w:tblGrid>
      <w:tr>
        <w:tc>
          <w:tcPr>
            <w:tcW w:type="dxa" w:w="3168"/>
            <w:shd w:fill="F4F9FA"/>
            <w:tcMar>
              <w:top w:w="60" w:type="dxa"/>
              <w:bottom w:w="60" w:type="dxa"/>
              <w:left w:w="100" w:type="dxa"/>
              <w:right w:w="100" w:type="dxa"/>
            </w:tcMar>
          </w:tcPr>
          <w:p>
            <w:pPr>
              <w:spacing w:before="0" w:after="0"/>
            </w:pPr>
            <w:r>
              <w:rPr>
                <w:rFonts w:ascii="Arial" w:hAnsi="Arial"/>
                <w:b/>
                <w:color w:val="005F73"/>
                <w:sz w:val="19"/>
              </w:rPr>
              <w:t>System Name:</w:t>
            </w:r>
          </w:p>
        </w:tc>
        <w:tc>
          <w:tcPr>
            <w:tcW w:type="dxa" w:w="6192"/>
            <w:shd w:fill="F4F9FA"/>
            <w:tcMar>
              <w:top w:w="60" w:type="dxa"/>
              <w:bottom w:w="60" w:type="dxa"/>
              <w:left w:w="100" w:type="dxa"/>
              <w:right w:w="100" w:type="dxa"/>
            </w:tcMar>
          </w:tcPr>
          <w:p>
            <w:pPr>
              <w:spacing w:before="0" w:after="0"/>
            </w:pPr>
            <w:r>
              <w:rPr>
                <w:rFonts w:ascii="Arial" w:hAnsi="Arial"/>
                <w:color w:val="212529"/>
                <w:sz w:val="19"/>
              </w:rPr>
              <w:t>AquaTrack / Smart Water Billing &amp; Consumption Management System</w:t>
            </w:r>
          </w:p>
        </w:tc>
      </w:tr>
      <w:tr>
        <w:tc>
          <w:tcPr>
            <w:tcW w:type="dxa" w:w="3168"/>
            <w:shd w:fill="F4F9FA"/>
            <w:tcMar>
              <w:top w:w="60" w:type="dxa"/>
              <w:bottom w:w="60" w:type="dxa"/>
              <w:left w:w="100" w:type="dxa"/>
              <w:right w:w="100" w:type="dxa"/>
            </w:tcMar>
          </w:tcPr>
          <w:p>
            <w:pPr>
              <w:spacing w:before="0" w:after="0"/>
            </w:pPr>
            <w:r>
              <w:rPr>
                <w:rFonts w:ascii="Arial" w:hAnsi="Arial"/>
                <w:b/>
                <w:color w:val="005F73"/>
                <w:sz w:val="19"/>
              </w:rPr>
              <w:t>Architectural Scope:</w:t>
            </w:r>
          </w:p>
        </w:tc>
        <w:tc>
          <w:tcPr>
            <w:tcW w:type="dxa" w:w="6192"/>
            <w:shd w:fill="F4F9FA"/>
            <w:tcMar>
              <w:top w:w="60" w:type="dxa"/>
              <w:bottom w:w="60" w:type="dxa"/>
              <w:left w:w="100" w:type="dxa"/>
              <w:right w:w="100" w:type="dxa"/>
            </w:tcMar>
          </w:tcPr>
          <w:p>
            <w:pPr>
              <w:spacing w:before="0" w:after="0"/>
            </w:pPr>
            <w:r>
              <w:rPr>
                <w:rFonts w:ascii="Arial" w:hAnsi="Arial"/>
                <w:color w:val="212529"/>
                <w:sz w:val="19"/>
              </w:rPr>
              <w:t>Building Owner (`BUILDING_OWNER`) Role &amp; Subsystem Domain</w:t>
            </w:r>
          </w:p>
        </w:tc>
      </w:tr>
      <w:tr>
        <w:tc>
          <w:tcPr>
            <w:tcW w:type="dxa" w:w="3168"/>
            <w:shd w:fill="F4F9FA"/>
            <w:tcMar>
              <w:top w:w="60" w:type="dxa"/>
              <w:bottom w:w="60" w:type="dxa"/>
              <w:left w:w="100" w:type="dxa"/>
              <w:right w:w="100" w:type="dxa"/>
            </w:tcMar>
          </w:tcPr>
          <w:p>
            <w:pPr>
              <w:spacing w:before="0" w:after="0"/>
            </w:pPr>
            <w:r>
              <w:rPr>
                <w:rFonts w:ascii="Arial" w:hAnsi="Arial"/>
                <w:b/>
                <w:color w:val="005F73"/>
                <w:sz w:val="19"/>
              </w:rPr>
              <w:t>Technology Stack:</w:t>
            </w:r>
          </w:p>
        </w:tc>
        <w:tc>
          <w:tcPr>
            <w:tcW w:type="dxa" w:w="6192"/>
            <w:shd w:fill="F4F9FA"/>
            <w:tcMar>
              <w:top w:w="60" w:type="dxa"/>
              <w:bottom w:w="60" w:type="dxa"/>
              <w:left w:w="100" w:type="dxa"/>
              <w:right w:w="100" w:type="dxa"/>
            </w:tcMar>
          </w:tcPr>
          <w:p>
            <w:pPr>
              <w:spacing w:before="0" w:after="0"/>
            </w:pPr>
            <w:r>
              <w:rPr>
                <w:rFonts w:ascii="Arial" w:hAnsi="Arial"/>
                <w:color w:val="212529"/>
                <w:sz w:val="19"/>
              </w:rPr>
              <w:t>Spring Boot 3.2.5, React 19, MySQL 8.0, Spring Security 6, iText PDF</w:t>
            </w:r>
          </w:p>
        </w:tc>
      </w:tr>
      <w:tr>
        <w:tc>
          <w:tcPr>
            <w:tcW w:type="dxa" w:w="3168"/>
            <w:shd w:fill="F4F9FA"/>
            <w:tcMar>
              <w:top w:w="60" w:type="dxa"/>
              <w:bottom w:w="60" w:type="dxa"/>
              <w:left w:w="100" w:type="dxa"/>
              <w:right w:w="100" w:type="dxa"/>
            </w:tcMar>
          </w:tcPr>
          <w:p>
            <w:pPr>
              <w:spacing w:before="0" w:after="0"/>
            </w:pPr>
            <w:r>
              <w:rPr>
                <w:rFonts w:ascii="Arial" w:hAnsi="Arial"/>
                <w:b/>
                <w:color w:val="005F73"/>
                <w:sz w:val="19"/>
              </w:rPr>
              <w:t>Document Version:</w:t>
            </w:r>
          </w:p>
        </w:tc>
        <w:tc>
          <w:tcPr>
            <w:tcW w:type="dxa" w:w="6192"/>
            <w:shd w:fill="F4F9FA"/>
            <w:tcMar>
              <w:top w:w="60" w:type="dxa"/>
              <w:bottom w:w="60" w:type="dxa"/>
              <w:left w:w="100" w:type="dxa"/>
              <w:right w:w="100" w:type="dxa"/>
            </w:tcMar>
          </w:tcPr>
          <w:p>
            <w:pPr>
              <w:spacing w:before="0" w:after="0"/>
            </w:pPr>
            <w:r>
              <w:rPr>
                <w:rFonts w:ascii="Arial" w:hAnsi="Arial"/>
                <w:color w:val="212529"/>
                <w:sz w:val="19"/>
              </w:rPr>
              <w:t>v2.4.0 (Enterprise Release)</w:t>
            </w:r>
          </w:p>
        </w:tc>
      </w:tr>
      <w:tr>
        <w:tc>
          <w:tcPr>
            <w:tcW w:type="dxa" w:w="3168"/>
            <w:shd w:fill="F4F9FA"/>
            <w:tcMar>
              <w:top w:w="60" w:type="dxa"/>
              <w:bottom w:w="60" w:type="dxa"/>
              <w:left w:w="100" w:type="dxa"/>
              <w:right w:w="100" w:type="dxa"/>
            </w:tcMar>
          </w:tcPr>
          <w:p>
            <w:pPr>
              <w:spacing w:before="0" w:after="0"/>
            </w:pPr>
            <w:r>
              <w:rPr>
                <w:rFonts w:ascii="Arial" w:hAnsi="Arial"/>
                <w:b/>
                <w:color w:val="005F73"/>
                <w:sz w:val="19"/>
              </w:rPr>
              <w:t>Date of Publication:</w:t>
            </w:r>
          </w:p>
        </w:tc>
        <w:tc>
          <w:tcPr>
            <w:tcW w:type="dxa" w:w="6192"/>
            <w:shd w:fill="F4F9FA"/>
            <w:tcMar>
              <w:top w:w="60" w:type="dxa"/>
              <w:bottom w:w="60" w:type="dxa"/>
              <w:left w:w="100" w:type="dxa"/>
              <w:right w:w="100" w:type="dxa"/>
            </w:tcMar>
          </w:tcPr>
          <w:p>
            <w:pPr>
              <w:spacing w:before="0" w:after="0"/>
            </w:pPr>
            <w:r>
              <w:rPr>
                <w:rFonts w:ascii="Arial" w:hAnsi="Arial"/>
                <w:color w:val="212529"/>
                <w:sz w:val="19"/>
              </w:rPr>
              <w:t>October 2026</w:t>
            </w:r>
          </w:p>
        </w:tc>
      </w:tr>
    </w:tbl>
    <w:p>
      <w:r>
        <w:br w:type="page"/>
      </w:r>
    </w:p>
    <w:p>
      <w:pPr>
        <w:keepNext/>
        <w:spacing w:before="360" w:after="160"/>
      </w:pPr>
      <w:r>
        <w:rPr>
          <w:rFonts w:ascii="Arial" w:hAnsi="Arial"/>
          <w:b/>
          <w:color w:val="005F73"/>
          <w:sz w:val="36"/>
        </w:rPr>
        <w:t>1. Executive Summary &amp; Architectural Overview</w:t>
      </w:r>
    </w:p>
    <w:p>
      <w:pPr>
        <w:spacing w:before="0" w:after="120" w:line="276" w:lineRule="auto"/>
      </w:pPr>
      <w:r>
        <w:rPr>
          <w:rFonts w:ascii="Arial" w:hAnsi="Arial"/>
          <w:color w:val="212529"/>
          <w:sz w:val="20"/>
        </w:rPr>
        <w:t>The Smart Water Billing and Consumption Management System (AquaTrack) is an enterprise multi-tenant platform engineered to resolve water scarcity management, bulk water procurement reconciliation, equitable tariff distribution, and automated resident billing in residential and commercial apartment complexes.</w:t>
      </w:r>
    </w:p>
    <w:p>
      <w:pPr>
        <w:spacing w:before="0" w:after="120" w:line="276" w:lineRule="auto"/>
      </w:pPr>
      <w:r>
        <w:rPr>
          <w:rFonts w:ascii="Arial" w:hAnsi="Arial"/>
          <w:color w:val="212529"/>
          <w:sz w:val="20"/>
        </w:rPr>
        <w:t>Within the system hierarchy, the Building Owner (`BUILDING_OWNER`) represents the critical property administration persona. Unlike the Super Admin, who handles platform governance and owner approvals, the Building Owner directly orchestrates the physical property's day-to-day operations: managing building complexes, onboarding residents, recording digital water meter readings, tracking bulk tanker water deliveries, calculating dynamic tiered water tariffs, issuing monthly batch billing cycles, and monitoring apartment invoice payments.</w:t>
      </w:r>
    </w:p>
    <w:p>
      <w:pPr>
        <w:keepNext/>
        <w:spacing w:before="280" w:after="120"/>
      </w:pPr>
      <w:r>
        <w:rPr>
          <w:rFonts w:ascii="Arial" w:hAnsi="Arial"/>
          <w:b/>
          <w:color w:val="0A9396"/>
          <w:sz w:val="28"/>
        </w:rPr>
        <w:t>1.1 Multi-Tenant Tenancy Model &amp; Scoping Hierarchy</w:t>
      </w:r>
    </w:p>
    <w:p>
      <w:pPr>
        <w:spacing w:before="0" w:after="120" w:line="276" w:lineRule="auto"/>
      </w:pPr>
      <w:r>
        <w:rPr>
          <w:rFonts w:ascii="Arial" w:hAnsi="Arial"/>
          <w:color w:val="212529"/>
          <w:sz w:val="20"/>
        </w:rPr>
        <w:t>The system enforces a multi-tier organizational hierarchy ensuring complete tenant data isolation:</w:t>
      </w:r>
    </w:p>
    <w:p>
      <w:pPr>
        <w:pStyle w:val="ListBullet"/>
        <w:spacing w:before="0" w:after="80" w:line="276" w:lineRule="auto"/>
      </w:pPr>
      <w:r>
        <w:rPr>
          <w:rFonts w:ascii="Arial" w:hAnsi="Arial"/>
          <w:b/>
          <w:color w:val="212529"/>
          <w:sz w:val="20"/>
        </w:rPr>
        <w:t xml:space="preserve">Platform Layer: </w:t>
      </w:r>
      <w:r>
        <w:rPr>
          <w:rFonts w:ascii="Arial" w:hAnsi="Arial"/>
          <w:color w:val="212529"/>
          <w:sz w:val="20"/>
        </w:rPr>
        <w:t>Super Admin: Platform supervisor approving registered owners and inspecting platform analytics.</w:t>
      </w:r>
    </w:p>
    <w:p>
      <w:pPr>
        <w:pStyle w:val="ListBullet"/>
        <w:spacing w:before="0" w:after="80" w:line="276" w:lineRule="auto"/>
      </w:pPr>
      <w:r>
        <w:rPr>
          <w:rFonts w:ascii="Arial" w:hAnsi="Arial"/>
          <w:b/>
          <w:color w:val="212529"/>
          <w:sz w:val="20"/>
        </w:rPr>
        <w:t xml:space="preserve">Property Domain Layer: </w:t>
      </w:r>
      <w:r>
        <w:rPr>
          <w:rFonts w:ascii="Arial" w:hAnsi="Arial"/>
          <w:color w:val="212529"/>
          <w:sz w:val="20"/>
        </w:rPr>
        <w:t>Building Owner (Administrator): Owns and manages one or more residential/commercial properties. All resident data, water meters, usage logs, procurement bills, and invoices are strictly scoped to the owner's legal entity.</w:t>
      </w:r>
    </w:p>
    <w:p>
      <w:pPr>
        <w:pStyle w:val="ListBullet"/>
        <w:spacing w:before="0" w:after="80" w:line="276" w:lineRule="auto"/>
      </w:pPr>
      <w:r>
        <w:rPr>
          <w:rFonts w:ascii="Arial" w:hAnsi="Arial"/>
          <w:b/>
          <w:color w:val="212529"/>
          <w:sz w:val="20"/>
        </w:rPr>
        <w:t xml:space="preserve">Asset Layer: </w:t>
      </w:r>
      <w:r>
        <w:rPr>
          <w:rFonts w:ascii="Arial" w:hAnsi="Arial"/>
          <w:color w:val="212529"/>
          <w:sz w:val="20"/>
        </w:rPr>
        <w:t>Building: Physical apartment structure containing defined flats/apartments, common water storage tanks, and dedicated bulk meters.</w:t>
      </w:r>
    </w:p>
    <w:p>
      <w:pPr>
        <w:pStyle w:val="ListBullet"/>
        <w:spacing w:before="0" w:after="80" w:line="276" w:lineRule="auto"/>
      </w:pPr>
      <w:r>
        <w:rPr>
          <w:rFonts w:ascii="Arial" w:hAnsi="Arial"/>
          <w:b/>
          <w:color w:val="212529"/>
          <w:sz w:val="20"/>
        </w:rPr>
        <w:t xml:space="preserve">Sub-Meter Layer: </w:t>
      </w:r>
      <w:r>
        <w:rPr>
          <w:rFonts w:ascii="Arial" w:hAnsi="Arial"/>
          <w:color w:val="212529"/>
          <w:sz w:val="20"/>
        </w:rPr>
        <w:t>Apartment &amp; Water Meter: Individual sub-metered dwelling units with dedicated digital or mechanical pulse water meters.</w:t>
      </w:r>
    </w:p>
    <w:p>
      <w:pPr>
        <w:pStyle w:val="ListBullet"/>
        <w:spacing w:before="0" w:after="80" w:line="276" w:lineRule="auto"/>
      </w:pPr>
      <w:r>
        <w:rPr>
          <w:rFonts w:ascii="Arial" w:hAnsi="Arial"/>
          <w:b/>
          <w:color w:val="212529"/>
          <w:sz w:val="20"/>
        </w:rPr>
        <w:t xml:space="preserve">Consumer Layer: </w:t>
      </w:r>
      <w:r>
        <w:rPr>
          <w:rFonts w:ascii="Arial" w:hAnsi="Arial"/>
          <w:color w:val="212529"/>
          <w:sz w:val="20"/>
        </w:rPr>
        <w:t>Resident: Occupant consuming water, receiving itemized billing invoices, reviewing consumption telemetry, and executing digital invoice payments.</w:t>
      </w:r>
    </w:p>
    <w:tbl>
      <w:tblPr>
        <w:tblW w:type="auto" w:w="0"/>
        <w:jc w:val="center"/>
        <w:tblLayout w:type="fixed"/>
        <w:tblLook w:firstColumn="1" w:firstRow="1" w:lastColumn="0" w:lastRow="0" w:noHBand="0" w:noVBand="1" w:val="04A0"/>
      </w:tblPr>
      <w:tblGrid>
        <w:gridCol w:w="9360"/>
      </w:tblGrid>
      <w:tr>
        <w:tc>
          <w:tcPr>
            <w:tcW w:type="dxa" w:w="9360"/>
            <w:shd w:fill="F4F9FA"/>
            <w:tcMar>
              <w:top w:w="140" w:type="dxa"/>
              <w:bottom w:w="140" w:type="dxa"/>
              <w:left w:w="180" w:type="dxa"/>
              <w:right w:w="180" w:type="dxa"/>
            </w:tcMar>
            <w:tcBorders>
              <w:top w:val="none"/>
              <w:left w:val="single" w:sz="36" w:space="0" w:color="005F73"/>
              <w:bottom w:val="none"/>
              <w:right w:val="none"/>
            </w:tcBorders>
          </w:tcPr>
          <w:p>
            <w:pPr>
              <w:spacing w:before="0" w:after="80"/>
            </w:pPr>
            <w:r>
              <w:rPr>
                <w:rFonts w:ascii="Arial" w:hAnsi="Arial"/>
                <w:b/>
                <w:color w:val="005F73"/>
                <w:sz w:val="21"/>
              </w:rPr>
              <w:t>📌 Architectural Isolation Guarantee</w:t>
              <w:br/>
            </w:r>
            <w:r>
              <w:rPr>
                <w:rFonts w:ascii="Arial" w:hAnsi="Arial"/>
                <w:color w:val="212529"/>
                <w:sz w:val="19"/>
              </w:rPr>
              <w:t>Every service layer operation executing on behalf of a Building Owner explicitly resolves the authenticated user's ID via `ownerRepository.findByUser(user)`. Database queries filter by `ownerId` or `building.owner.ownerId`. Cross-owner data leakage is prevented at both the service boundary and database query layers.</w:t>
            </w:r>
          </w:p>
        </w:tc>
      </w:tr>
    </w:tbl>
    <w:p>
      <w:pPr>
        <w:spacing w:after="120"/>
      </w:pPr>
    </w:p>
    <w:p>
      <w:pPr>
        <w:keepNext/>
        <w:spacing w:before="280" w:after="120"/>
      </w:pPr>
      <w:r>
        <w:rPr>
          <w:rFonts w:ascii="Arial" w:hAnsi="Arial"/>
          <w:b/>
          <w:color w:val="0A9396"/>
          <w:sz w:val="28"/>
        </w:rPr>
        <w:t>1.2 High-Level Technology Stack</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005F73"/>
            <w:tcMar>
              <w:top w:w="140" w:type="dxa"/>
              <w:bottom w:w="140" w:type="dxa"/>
              <w:left w:w="140" w:type="dxa"/>
              <w:right w:w="140" w:type="dxa"/>
            </w:tcMar>
          </w:tcPr>
          <w:p>
            <w:pPr>
              <w:spacing w:before="0" w:after="0"/>
              <w:jc w:val="left"/>
            </w:pPr>
            <w:r>
              <w:rPr>
                <w:rFonts w:ascii="Arial" w:hAnsi="Arial"/>
                <w:b/>
                <w:color w:val="FFFFFF"/>
                <w:sz w:val="19"/>
              </w:rPr>
              <w:t>Layer / Component</w:t>
            </w:r>
          </w:p>
        </w:tc>
        <w:tc>
          <w:tcPr>
            <w:tcW w:type="dxa" w:w="2016"/>
            <w:shd w:fill="005F73"/>
            <w:tcMar>
              <w:top w:w="140" w:type="dxa"/>
              <w:bottom w:w="140" w:type="dxa"/>
              <w:left w:w="140" w:type="dxa"/>
              <w:right w:w="140" w:type="dxa"/>
            </w:tcMar>
          </w:tcPr>
          <w:p>
            <w:pPr>
              <w:spacing w:before="0" w:after="0"/>
              <w:jc w:val="left"/>
            </w:pPr>
            <w:r>
              <w:rPr>
                <w:rFonts w:ascii="Arial" w:hAnsi="Arial"/>
                <w:b/>
                <w:color w:val="FFFFFF"/>
                <w:sz w:val="19"/>
              </w:rPr>
              <w:t>Technology / Framework</w:t>
            </w:r>
          </w:p>
        </w:tc>
        <w:tc>
          <w:tcPr>
            <w:tcW w:type="dxa" w:w="1152"/>
            <w:shd w:fill="005F73"/>
            <w:tcMar>
              <w:top w:w="140" w:type="dxa"/>
              <w:bottom w:w="140" w:type="dxa"/>
              <w:left w:w="140" w:type="dxa"/>
              <w:right w:w="140" w:type="dxa"/>
            </w:tcMar>
          </w:tcPr>
          <w:p>
            <w:pPr>
              <w:spacing w:before="0" w:after="0"/>
              <w:jc w:val="left"/>
            </w:pPr>
            <w:r>
              <w:rPr>
                <w:rFonts w:ascii="Arial" w:hAnsi="Arial"/>
                <w:b/>
                <w:color w:val="FFFFFF"/>
                <w:sz w:val="19"/>
              </w:rPr>
              <w:t>Version</w:t>
            </w:r>
          </w:p>
        </w:tc>
        <w:tc>
          <w:tcPr>
            <w:tcW w:type="dxa" w:w="4176"/>
            <w:shd w:fill="005F73"/>
            <w:tcMar>
              <w:top w:w="140" w:type="dxa"/>
              <w:bottom w:w="140" w:type="dxa"/>
              <w:left w:w="140" w:type="dxa"/>
              <w:right w:w="140" w:type="dxa"/>
            </w:tcMar>
          </w:tcPr>
          <w:p>
            <w:pPr>
              <w:spacing w:before="0" w:after="0"/>
              <w:jc w:val="left"/>
            </w:pPr>
            <w:r>
              <w:rPr>
                <w:rFonts w:ascii="Arial" w:hAnsi="Arial"/>
                <w:b/>
                <w:color w:val="FFFFFF"/>
                <w:sz w:val="19"/>
              </w:rPr>
              <w:t>Architectural Role &amp; Description</w:t>
            </w:r>
          </w:p>
        </w:tc>
      </w:tr>
      <w:tr>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Backend Core</w:t>
            </w:r>
          </w:p>
        </w:tc>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Spring Boot</w:t>
            </w:r>
          </w:p>
        </w:tc>
        <w:tc>
          <w:tcPr>
            <w:tcW w:type="dxa" w:w="1152"/>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3.2.5</w:t>
            </w:r>
          </w:p>
        </w:tc>
        <w:tc>
          <w:tcPr>
            <w:tcW w:type="dxa" w:w="417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REST API, transaction management, dependency injection, service orchestration.</w:t>
            </w:r>
          </w:p>
        </w:tc>
      </w:tr>
      <w:tr>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Security &amp; Auth</w:t>
            </w:r>
          </w:p>
        </w:tc>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Spring Security / JJWT</w:t>
            </w:r>
          </w:p>
        </w:tc>
        <w:tc>
          <w:tcPr>
            <w:tcW w:type="dxa" w:w="1152"/>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6.x / 0.11.5</w:t>
            </w:r>
          </w:p>
        </w:tc>
        <w:tc>
          <w:tcPr>
            <w:tcW w:type="dxa" w:w="417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Stateless JWT token authentication, RBAC authorization via `@PreAuthorize`.</w:t>
            </w:r>
          </w:p>
        </w:tc>
      </w:tr>
      <w:tr>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Persistence / ORM</w:t>
            </w:r>
          </w:p>
        </w:tc>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Spring Data JPA / Hibernate</w:t>
            </w:r>
          </w:p>
        </w:tc>
        <w:tc>
          <w:tcPr>
            <w:tcW w:type="dxa" w:w="1152"/>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6.4.4</w:t>
            </w:r>
          </w:p>
        </w:tc>
        <w:tc>
          <w:tcPr>
            <w:tcW w:type="dxa" w:w="417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Relational object mapping, transactional integrity, JPQL queries.</w:t>
            </w:r>
          </w:p>
        </w:tc>
      </w:tr>
      <w:tr>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Database Engine</w:t>
            </w:r>
          </w:p>
        </w:tc>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MySQL Database</w:t>
            </w:r>
          </w:p>
        </w:tc>
        <w:tc>
          <w:tcPr>
            <w:tcW w:type="dxa" w:w="1152"/>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8.0</w:t>
            </w:r>
          </w:p>
        </w:tc>
        <w:tc>
          <w:tcPr>
            <w:tcW w:type="dxa" w:w="417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ACID compliant relational storage, foreign key constraints, UTF8MB4.</w:t>
            </w:r>
          </w:p>
        </w:tc>
      </w:tr>
      <w:tr>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Document Generation</w:t>
            </w:r>
          </w:p>
        </w:tc>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iText PDF Engine</w:t>
            </w:r>
          </w:p>
        </w:tc>
        <w:tc>
          <w:tcPr>
            <w:tcW w:type="dxa" w:w="1152"/>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5.5.13.3</w:t>
            </w:r>
          </w:p>
        </w:tc>
        <w:tc>
          <w:tcPr>
            <w:tcW w:type="dxa" w:w="417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Server-side stream generation of water invoices and payment receipts.</w:t>
            </w:r>
          </w:p>
        </w:tc>
      </w:tr>
      <w:tr>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Asynchronous Mailer</w:t>
            </w:r>
          </w:p>
        </w:tc>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Spring Mail / JavaMailSender</w:t>
            </w:r>
          </w:p>
        </w:tc>
        <w:tc>
          <w:tcPr>
            <w:tcW w:type="dxa" w:w="1152"/>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3.2.5</w:t>
            </w:r>
          </w:p>
        </w:tc>
        <w:tc>
          <w:tcPr>
            <w:tcW w:type="dxa" w:w="417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Non-blocking email notifications for invitations, billing issuance, and alerts.</w:t>
            </w:r>
          </w:p>
        </w:tc>
      </w:tr>
      <w:tr>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Frontend Framework</w:t>
            </w:r>
          </w:p>
        </w:tc>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React / Vite</w:t>
            </w:r>
          </w:p>
        </w:tc>
        <w:tc>
          <w:tcPr>
            <w:tcW w:type="dxa" w:w="1152"/>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19.x / 6.4</w:t>
            </w:r>
          </w:p>
        </w:tc>
        <w:tc>
          <w:tcPr>
            <w:tcW w:type="dxa" w:w="417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Single Page Application (SPA), responsive glassmorphism UI, client routing.</w:t>
            </w:r>
          </w:p>
        </w:tc>
      </w:tr>
      <w:tr>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State &amp; HTTP Client</w:t>
            </w:r>
          </w:p>
        </w:tc>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React Context / Axios</w:t>
            </w:r>
          </w:p>
        </w:tc>
        <w:tc>
          <w:tcPr>
            <w:tcW w:type="dxa" w:w="1152"/>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1.7.9</w:t>
            </w:r>
          </w:p>
        </w:tc>
        <w:tc>
          <w:tcPr>
            <w:tcW w:type="dxa" w:w="417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Centralized auth state, Bearer token interceptor, REST integration.</w:t>
            </w:r>
          </w:p>
        </w:tc>
      </w:tr>
    </w:tbl>
    <w:p>
      <w:pPr>
        <w:spacing w:after="120"/>
      </w:pPr>
    </w:p>
    <w:p>
      <w:pPr>
        <w:keepNext/>
        <w:spacing w:before="360" w:after="160"/>
      </w:pPr>
      <w:r>
        <w:rPr>
          <w:rFonts w:ascii="Arial" w:hAnsi="Arial"/>
          <w:b/>
          <w:color w:val="005F73"/>
          <w:sz w:val="36"/>
        </w:rPr>
        <w:t>2. System Architecture &amp; Component Model</w:t>
      </w:r>
    </w:p>
    <w:p>
      <w:pPr>
        <w:spacing w:before="0" w:after="120" w:line="276" w:lineRule="auto"/>
      </w:pPr>
      <w:r>
        <w:rPr>
          <w:rFonts w:ascii="Arial" w:hAnsi="Arial"/>
          <w:color w:val="212529"/>
          <w:sz w:val="20"/>
        </w:rPr>
        <w:t>The Building Owner subsystem adheres to a strict 3-tier Layered Architectural Pattern with Clean Domain Boundaries. The architecture guarantees high cohesion, loose coupling, idempotency across financial calculations, and deterministic billing runs.</w:t>
      </w:r>
    </w:p>
    <w:p>
      <w:pPr>
        <w:keepNext/>
        <w:spacing w:before="280" w:after="120"/>
      </w:pPr>
      <w:r>
        <w:rPr>
          <w:rFonts w:ascii="Arial" w:hAnsi="Arial"/>
          <w:b/>
          <w:color w:val="0A9396"/>
          <w:sz w:val="28"/>
        </w:rPr>
        <w:t>2.1 Layered Architecture Pattern</w:t>
      </w:r>
    </w:p>
    <w:p>
      <w:pPr>
        <w:pStyle w:val="ListBullet"/>
        <w:spacing w:before="0" w:after="80" w:line="276" w:lineRule="auto"/>
      </w:pPr>
      <w:r>
        <w:rPr>
          <w:rFonts w:ascii="Arial" w:hAnsi="Arial"/>
          <w:b/>
          <w:color w:val="212529"/>
          <w:sz w:val="20"/>
        </w:rPr>
        <w:t xml:space="preserve">1. Web / Presentation API Layer: </w:t>
      </w:r>
      <w:r>
        <w:rPr>
          <w:rFonts w:ascii="Arial" w:hAnsi="Arial"/>
          <w:color w:val="212529"/>
          <w:sz w:val="20"/>
        </w:rPr>
        <w:t>Consists of RESTful controllers (`BuildingOwnerController`, `ResidentController`, `WaterUsageController`, `PurchaseController`, `TariffController`, `BillingCycleController`, `BillController`). Validates incoming DTOs, extracts JWT credentials, and delegates to service layer.</w:t>
      </w:r>
    </w:p>
    <w:p>
      <w:pPr>
        <w:pStyle w:val="ListBullet"/>
        <w:spacing w:before="0" w:after="80" w:line="276" w:lineRule="auto"/>
      </w:pPr>
      <w:r>
        <w:rPr>
          <w:rFonts w:ascii="Arial" w:hAnsi="Arial"/>
          <w:b/>
          <w:color w:val="212529"/>
          <w:sz w:val="20"/>
        </w:rPr>
        <w:t xml:space="preserve">2. Domain Business Service Layer: </w:t>
      </w:r>
      <w:r>
        <w:rPr>
          <w:rFonts w:ascii="Arial" w:hAnsi="Arial"/>
          <w:color w:val="212529"/>
          <w:sz w:val="20"/>
        </w:rPr>
        <w:t>Core transaction boundary (`@Transactional`). Implements business logic, tariff algorithms, 2-sigma anomaly detection, validation rules, batch cycle generators, and email dispatches.</w:t>
      </w:r>
    </w:p>
    <w:p>
      <w:pPr>
        <w:pStyle w:val="ListBullet"/>
        <w:spacing w:before="0" w:after="80" w:line="276" w:lineRule="auto"/>
      </w:pPr>
      <w:r>
        <w:rPr>
          <w:rFonts w:ascii="Arial" w:hAnsi="Arial"/>
          <w:b/>
          <w:color w:val="212529"/>
          <w:sz w:val="20"/>
        </w:rPr>
        <w:t xml:space="preserve">3. Data Access / Persistence Layer: </w:t>
      </w:r>
      <w:r>
        <w:rPr>
          <w:rFonts w:ascii="Arial" w:hAnsi="Arial"/>
          <w:color w:val="212529"/>
          <w:sz w:val="20"/>
        </w:rPr>
        <w:t>Spring Data JPA repositories extending `JpaRepository`. Executes parameterized queries, eager fetching for invoice relations, and optimistic locking where appropriate.</w:t>
      </w:r>
    </w:p>
    <w:p>
      <w:pPr>
        <w:pStyle w:val="ListBullet"/>
        <w:spacing w:before="0" w:after="80" w:line="276" w:lineRule="auto"/>
      </w:pPr>
      <w:r>
        <w:rPr>
          <w:rFonts w:ascii="Arial" w:hAnsi="Arial"/>
          <w:b/>
          <w:color w:val="212529"/>
          <w:sz w:val="20"/>
        </w:rPr>
        <w:t xml:space="preserve">4. Relational Storage Layer: </w:t>
      </w:r>
      <w:r>
        <w:rPr>
          <w:rFonts w:ascii="Arial" w:hAnsi="Arial"/>
          <w:color w:val="212529"/>
          <w:sz w:val="20"/>
        </w:rPr>
        <w:t>MySQL 8.0 relational database holding normalized tables with strict foreign keys and index coverage on foreign keys and compound cycle lookups.</w:t>
      </w:r>
    </w:p>
    <w:p>
      <w:pPr>
        <w:keepNext/>
        <w:spacing w:before="280" w:after="120"/>
      </w:pPr>
      <w:r>
        <w:rPr>
          <w:rFonts w:ascii="Arial" w:hAnsi="Arial"/>
          <w:b/>
          <w:color w:val="0A9396"/>
          <w:sz w:val="28"/>
        </w:rPr>
        <w:t>2.2 Owner Authentication &amp; Onboarding Security Lifecycle</w:t>
      </w:r>
    </w:p>
    <w:p>
      <w:pPr>
        <w:spacing w:before="0" w:after="120" w:line="276" w:lineRule="auto"/>
      </w:pPr>
      <w:r>
        <w:rPr>
          <w:rFonts w:ascii="Arial" w:hAnsi="Arial"/>
          <w:color w:val="212529"/>
          <w:sz w:val="20"/>
        </w:rPr>
        <w:t>A Building Owner undergoes a mandatory security and verification lifecycle before being granted operational access:</w:t>
      </w:r>
    </w:p>
    <w:p>
      <w:pPr>
        <w:pStyle w:val="ListBullet"/>
        <w:spacing w:before="0" w:after="80" w:line="276" w:lineRule="auto"/>
      </w:pPr>
      <w:r>
        <w:rPr>
          <w:rFonts w:ascii="Arial" w:hAnsi="Arial"/>
          <w:b/>
          <w:color w:val="212529"/>
          <w:sz w:val="20"/>
        </w:rPr>
        <w:t xml:space="preserve">Step 1: Registration: </w:t>
      </w:r>
      <w:r>
        <w:rPr>
          <w:rFonts w:ascii="Arial" w:hAnsi="Arial"/>
          <w:color w:val="212529"/>
          <w:sz w:val="20"/>
        </w:rPr>
        <w:t>Owner provides full name, corporate email, phone, business address, and initial building details.</w:t>
      </w:r>
    </w:p>
    <w:p>
      <w:pPr>
        <w:pStyle w:val="ListBullet"/>
        <w:spacing w:before="0" w:after="80" w:line="276" w:lineRule="auto"/>
      </w:pPr>
      <w:r>
        <w:rPr>
          <w:rFonts w:ascii="Arial" w:hAnsi="Arial"/>
          <w:b/>
          <w:color w:val="212529"/>
          <w:sz w:val="20"/>
        </w:rPr>
        <w:t xml:space="preserve">Step 2: Password Hashing: </w:t>
      </w:r>
      <w:r>
        <w:rPr>
          <w:rFonts w:ascii="Arial" w:hAnsi="Arial"/>
          <w:color w:val="212529"/>
          <w:sz w:val="20"/>
        </w:rPr>
        <w:t>Passwords are encrypted using BCrypt (work factor 10) before storage in the `users` table. Account status is initialized to `PENDING`.</w:t>
      </w:r>
    </w:p>
    <w:p>
      <w:pPr>
        <w:pStyle w:val="ListBullet"/>
        <w:spacing w:before="0" w:after="80" w:line="276" w:lineRule="auto"/>
      </w:pPr>
      <w:r>
        <w:rPr>
          <w:rFonts w:ascii="Arial" w:hAnsi="Arial"/>
          <w:b/>
          <w:color w:val="212529"/>
          <w:sz w:val="20"/>
        </w:rPr>
        <w:t xml:space="preserve">Step 3: Super Admin Approval Gate: </w:t>
      </w:r>
      <w:r>
        <w:rPr>
          <w:rFonts w:ascii="Arial" w:hAnsi="Arial"/>
          <w:color w:val="212529"/>
          <w:sz w:val="20"/>
        </w:rPr>
        <w:t>The registered owner cannot access property operations until a platform Super Admin verifies their legal credentials and approves the account (`PUT /api/admin/owners/{id}/approve`).</w:t>
      </w:r>
    </w:p>
    <w:p>
      <w:pPr>
        <w:pStyle w:val="ListBullet"/>
        <w:spacing w:before="0" w:after="80" w:line="276" w:lineRule="auto"/>
      </w:pPr>
      <w:r>
        <w:rPr>
          <w:rFonts w:ascii="Arial" w:hAnsi="Arial"/>
          <w:b/>
          <w:color w:val="212529"/>
          <w:sz w:val="20"/>
        </w:rPr>
        <w:t xml:space="preserve">Step 4: JWT Generation: </w:t>
      </w:r>
      <w:r>
        <w:rPr>
          <w:rFonts w:ascii="Arial" w:hAnsi="Arial"/>
          <w:color w:val="212529"/>
          <w:sz w:val="20"/>
        </w:rPr>
        <w:t>Upon approval, status transitions to `APPROVED`. When the owner logs in (`POST /api/auth/login`), an HMAC-SHA256 signed JWT Bearer Token (24-hour TTL) is generated containing `sub` (email), `role: BUILDING_OWNER`, and `userId`.</w:t>
      </w:r>
    </w:p>
    <w:p>
      <w:pPr>
        <w:pStyle w:val="ListBullet"/>
        <w:spacing w:before="0" w:after="80" w:line="276" w:lineRule="auto"/>
      </w:pPr>
      <w:r>
        <w:rPr>
          <w:rFonts w:ascii="Arial" w:hAnsi="Arial"/>
          <w:b/>
          <w:color w:val="212529"/>
          <w:sz w:val="20"/>
        </w:rPr>
        <w:t xml:space="preserve">Step 5: Request Authorization: </w:t>
      </w:r>
      <w:r>
        <w:rPr>
          <w:rFonts w:ascii="Arial" w:hAnsi="Arial"/>
          <w:color w:val="212529"/>
          <w:sz w:val="20"/>
        </w:rPr>
        <w:t>Every subsequent HTTP request passes through `JwtAuthenticationFilter`, which verifies the token signature, extracts the user details, populates `SecurityContextHolder`, and authorizes access via `@PreAuthorize("hasRole('BUILDING_OWNER')")`.</w:t>
      </w:r>
    </w:p>
    <w:p>
      <w:pPr>
        <w:keepNext/>
        <w:spacing w:before="360" w:after="160"/>
      </w:pPr>
      <w:r>
        <w:rPr>
          <w:rFonts w:ascii="Arial" w:hAnsi="Arial"/>
          <w:b/>
          <w:color w:val="005F73"/>
          <w:sz w:val="36"/>
        </w:rPr>
        <w:t>3. Property Portfolio &amp; Building Administration</w:t>
      </w:r>
    </w:p>
    <w:p>
      <w:pPr>
        <w:spacing w:before="0" w:after="120" w:line="276" w:lineRule="auto"/>
      </w:pPr>
      <w:r>
        <w:rPr>
          <w:rFonts w:ascii="Arial" w:hAnsi="Arial"/>
          <w:color w:val="212529"/>
          <w:sz w:val="20"/>
        </w:rPr>
        <w:t>Building Owners can manage multiple residential or commercial complexes simultaneously. Each building functions as an autonomous operational and financial unit with dedicated meters, resident rosters, and billing cycles.</w:t>
      </w:r>
    </w:p>
    <w:p>
      <w:pPr>
        <w:keepNext/>
        <w:spacing w:before="280" w:after="120"/>
      </w:pPr>
      <w:r>
        <w:rPr>
          <w:rFonts w:ascii="Arial" w:hAnsi="Arial"/>
          <w:b/>
          <w:color w:val="0A9396"/>
          <w:sz w:val="28"/>
        </w:rPr>
        <w:t>3.1 Data Model: Building Entity</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872"/>
            <w:shd w:fill="005F73"/>
            <w:tcMar>
              <w:top w:w="140" w:type="dxa"/>
              <w:bottom w:w="140" w:type="dxa"/>
              <w:left w:w="140" w:type="dxa"/>
              <w:right w:w="140" w:type="dxa"/>
            </w:tcMar>
          </w:tcPr>
          <w:p>
            <w:pPr>
              <w:spacing w:before="0" w:after="0"/>
              <w:jc w:val="left"/>
            </w:pPr>
            <w:r>
              <w:rPr>
                <w:rFonts w:ascii="Arial" w:hAnsi="Arial"/>
                <w:b/>
                <w:color w:val="FFFFFF"/>
                <w:sz w:val="19"/>
              </w:rPr>
              <w:t>Field Name</w:t>
            </w:r>
          </w:p>
        </w:tc>
        <w:tc>
          <w:tcPr>
            <w:tcW w:type="dxa" w:w="1584"/>
            <w:shd w:fill="005F73"/>
            <w:tcMar>
              <w:top w:w="140" w:type="dxa"/>
              <w:bottom w:w="140" w:type="dxa"/>
              <w:left w:w="140" w:type="dxa"/>
              <w:right w:w="140" w:type="dxa"/>
            </w:tcMar>
          </w:tcPr>
          <w:p>
            <w:pPr>
              <w:spacing w:before="0" w:after="0"/>
              <w:jc w:val="left"/>
            </w:pPr>
            <w:r>
              <w:rPr>
                <w:rFonts w:ascii="Arial" w:hAnsi="Arial"/>
                <w:b/>
                <w:color w:val="FFFFFF"/>
                <w:sz w:val="19"/>
              </w:rPr>
              <w:t>Data Type</w:t>
            </w:r>
          </w:p>
        </w:tc>
        <w:tc>
          <w:tcPr>
            <w:tcW w:type="dxa" w:w="2160"/>
            <w:shd w:fill="005F73"/>
            <w:tcMar>
              <w:top w:w="140" w:type="dxa"/>
              <w:bottom w:w="140" w:type="dxa"/>
              <w:left w:w="140" w:type="dxa"/>
              <w:right w:w="140" w:type="dxa"/>
            </w:tcMar>
          </w:tcPr>
          <w:p>
            <w:pPr>
              <w:spacing w:before="0" w:after="0"/>
              <w:jc w:val="left"/>
            </w:pPr>
            <w:r>
              <w:rPr>
                <w:rFonts w:ascii="Arial" w:hAnsi="Arial"/>
                <w:b/>
                <w:color w:val="FFFFFF"/>
                <w:sz w:val="19"/>
              </w:rPr>
              <w:t>Constraints</w:t>
            </w:r>
          </w:p>
        </w:tc>
        <w:tc>
          <w:tcPr>
            <w:tcW w:type="dxa" w:w="3744"/>
            <w:shd w:fill="005F73"/>
            <w:tcMar>
              <w:top w:w="140" w:type="dxa"/>
              <w:bottom w:w="140" w:type="dxa"/>
              <w:left w:w="140" w:type="dxa"/>
              <w:right w:w="140" w:type="dxa"/>
            </w:tcMar>
          </w:tcPr>
          <w:p>
            <w:pPr>
              <w:spacing w:before="0" w:after="0"/>
              <w:jc w:val="left"/>
            </w:pPr>
            <w:r>
              <w:rPr>
                <w:rFonts w:ascii="Arial" w:hAnsi="Arial"/>
                <w:b/>
                <w:color w:val="FFFFFF"/>
                <w:sz w:val="19"/>
              </w:rPr>
              <w:t>Description</w:t>
            </w:r>
          </w:p>
        </w:tc>
      </w:tr>
      <w:tr>
        <w:tc>
          <w:tcPr>
            <w:tcW w:type="dxa" w:w="1872"/>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building_id</w:t>
            </w:r>
          </w:p>
        </w:tc>
        <w:tc>
          <w:tcPr>
            <w:tcW w:type="dxa" w:w="158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BIGINT</w:t>
            </w:r>
          </w:p>
        </w:tc>
        <w:tc>
          <w:tcPr>
            <w:tcW w:type="dxa" w:w="2160"/>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PK, Auto Increment</w:t>
            </w:r>
          </w:p>
        </w:tc>
        <w:tc>
          <w:tcPr>
            <w:tcW w:type="dxa" w:w="374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Unique system identifier for the building.</w:t>
            </w:r>
          </w:p>
        </w:tc>
      </w:tr>
      <w:tr>
        <w:tc>
          <w:tcPr>
            <w:tcW w:type="dxa" w:w="1872"/>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owner_id</w:t>
            </w:r>
          </w:p>
        </w:tc>
        <w:tc>
          <w:tcPr>
            <w:tcW w:type="dxa" w:w="158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BIGINT</w:t>
            </w:r>
          </w:p>
        </w:tc>
        <w:tc>
          <w:tcPr>
            <w:tcW w:type="dxa" w:w="2160"/>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FK -&gt; building_owners</w:t>
            </w:r>
          </w:p>
        </w:tc>
        <w:tc>
          <w:tcPr>
            <w:tcW w:type="dxa" w:w="374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Foreign key linking the building to its owning legal entity.</w:t>
            </w:r>
          </w:p>
        </w:tc>
      </w:tr>
      <w:tr>
        <w:tc>
          <w:tcPr>
            <w:tcW w:type="dxa" w:w="1872"/>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building_name</w:t>
            </w:r>
          </w:p>
        </w:tc>
        <w:tc>
          <w:tcPr>
            <w:tcW w:type="dxa" w:w="158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VARCHAR(150)</w:t>
            </w:r>
          </w:p>
        </w:tc>
        <w:tc>
          <w:tcPr>
            <w:tcW w:type="dxa" w:w="2160"/>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NOT NULL</w:t>
            </w:r>
          </w:p>
        </w:tc>
        <w:tc>
          <w:tcPr>
            <w:tcW w:type="dxa" w:w="374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Descriptive building moniker (e.g., 'Skyline Luxury Towers').</w:t>
            </w:r>
          </w:p>
        </w:tc>
      </w:tr>
      <w:tr>
        <w:tc>
          <w:tcPr>
            <w:tcW w:type="dxa" w:w="1872"/>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building_number</w:t>
            </w:r>
          </w:p>
        </w:tc>
        <w:tc>
          <w:tcPr>
            <w:tcW w:type="dxa" w:w="158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VARCHAR(50)</w:t>
            </w:r>
          </w:p>
        </w:tc>
        <w:tc>
          <w:tcPr>
            <w:tcW w:type="dxa" w:w="2160"/>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NOT NULL, Unique per Owner</w:t>
            </w:r>
          </w:p>
        </w:tc>
        <w:tc>
          <w:tcPr>
            <w:tcW w:type="dxa" w:w="374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Short structural code (e.g., 'B-101', 'TOWER-A').</w:t>
            </w:r>
          </w:p>
        </w:tc>
      </w:tr>
      <w:tr>
        <w:tc>
          <w:tcPr>
            <w:tcW w:type="dxa" w:w="1872"/>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address</w:t>
            </w:r>
          </w:p>
        </w:tc>
        <w:tc>
          <w:tcPr>
            <w:tcW w:type="dxa" w:w="158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TEXT</w:t>
            </w:r>
          </w:p>
        </w:tc>
        <w:tc>
          <w:tcPr>
            <w:tcW w:type="dxa" w:w="2160"/>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NOT NULL</w:t>
            </w:r>
          </w:p>
        </w:tc>
        <w:tc>
          <w:tcPr>
            <w:tcW w:type="dxa" w:w="374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Physical street address and postal coordinates.</w:t>
            </w:r>
          </w:p>
        </w:tc>
      </w:tr>
      <w:tr>
        <w:tc>
          <w:tcPr>
            <w:tcW w:type="dxa" w:w="1872"/>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total_apartments</w:t>
            </w:r>
          </w:p>
        </w:tc>
        <w:tc>
          <w:tcPr>
            <w:tcW w:type="dxa" w:w="158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INT</w:t>
            </w:r>
          </w:p>
        </w:tc>
        <w:tc>
          <w:tcPr>
            <w:tcW w:type="dxa" w:w="2160"/>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NOT NULL, Min: 1</w:t>
            </w:r>
          </w:p>
        </w:tc>
        <w:tc>
          <w:tcPr>
            <w:tcW w:type="dxa" w:w="374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Total number of residential units contained in the structure.</w:t>
            </w:r>
          </w:p>
        </w:tc>
      </w:tr>
      <w:tr>
        <w:tc>
          <w:tcPr>
            <w:tcW w:type="dxa" w:w="1872"/>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created_at</w:t>
            </w:r>
          </w:p>
        </w:tc>
        <w:tc>
          <w:tcPr>
            <w:tcW w:type="dxa" w:w="158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DATETIME</w:t>
            </w:r>
          </w:p>
        </w:tc>
        <w:tc>
          <w:tcPr>
            <w:tcW w:type="dxa" w:w="2160"/>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Auto generated</w:t>
            </w:r>
          </w:p>
        </w:tc>
        <w:tc>
          <w:tcPr>
            <w:tcW w:type="dxa" w:w="374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Timestamp when the building was onboarded.</w:t>
            </w:r>
          </w:p>
        </w:tc>
      </w:tr>
    </w:tbl>
    <w:p>
      <w:pPr>
        <w:spacing w:after="120"/>
      </w:pPr>
    </w:p>
    <w:p>
      <w:pPr>
        <w:keepNext/>
        <w:spacing w:before="280" w:after="120"/>
      </w:pPr>
      <w:r>
        <w:rPr>
          <w:rFonts w:ascii="Arial" w:hAnsi="Arial"/>
          <w:b/>
          <w:color w:val="0A9396"/>
          <w:sz w:val="28"/>
        </w:rPr>
        <w:t>3.2 Business Rules &amp; Validations</w:t>
      </w:r>
    </w:p>
    <w:p>
      <w:pPr>
        <w:pStyle w:val="ListBullet"/>
        <w:spacing w:before="0" w:after="80" w:line="276" w:lineRule="auto"/>
      </w:pPr>
      <w:r>
        <w:rPr>
          <w:rFonts w:ascii="Arial" w:hAnsi="Arial"/>
          <w:b/>
          <w:color w:val="212529"/>
          <w:sz w:val="20"/>
        </w:rPr>
        <w:t xml:space="preserve">Duplicate Building Code Prevention: </w:t>
      </w:r>
      <w:r>
        <w:rPr>
          <w:rFonts w:ascii="Arial" w:hAnsi="Arial"/>
          <w:color w:val="212529"/>
          <w:sz w:val="20"/>
        </w:rPr>
        <w:t>An owner cannot register a new building with an existing `building_number` belonging to the same owner portfolio.</w:t>
      </w:r>
    </w:p>
    <w:p>
      <w:pPr>
        <w:pStyle w:val="ListBullet"/>
        <w:spacing w:before="0" w:after="80" w:line="276" w:lineRule="auto"/>
      </w:pPr>
      <w:r>
        <w:rPr>
          <w:rFonts w:ascii="Arial" w:hAnsi="Arial"/>
          <w:b/>
          <w:color w:val="212529"/>
          <w:sz w:val="20"/>
        </w:rPr>
        <w:t xml:space="preserve">Capacity Boundary Enforcement: </w:t>
      </w:r>
      <w:r>
        <w:rPr>
          <w:rFonts w:ascii="Arial" w:hAnsi="Arial"/>
          <w:color w:val="212529"/>
          <w:sz w:val="20"/>
        </w:rPr>
        <w:t>Active residents cannot exceed `total_apartments`. An owner must increase building capacity before inviting additional tenants.</w:t>
      </w:r>
    </w:p>
    <w:p>
      <w:pPr>
        <w:pStyle w:val="ListBullet"/>
        <w:spacing w:before="0" w:after="80" w:line="276" w:lineRule="auto"/>
      </w:pPr>
      <w:r>
        <w:rPr>
          <w:rFonts w:ascii="Arial" w:hAnsi="Arial"/>
          <w:b/>
          <w:color w:val="212529"/>
          <w:sz w:val="20"/>
        </w:rPr>
        <w:t xml:space="preserve">Financial Audit Cascade Protection: </w:t>
      </w:r>
      <w:r>
        <w:rPr>
          <w:rFonts w:ascii="Arial" w:hAnsi="Arial"/>
          <w:color w:val="212529"/>
          <w:sz w:val="20"/>
        </w:rPr>
        <w:t>Buildings with historical billing cycles, active meters, or unpaid invoices cannot be hard deleted. Soft deactivation or archival is enforced to preserve financial audits.</w:t>
      </w:r>
    </w:p>
    <w:p>
      <w:pPr>
        <w:keepNext/>
        <w:spacing w:before="360" w:after="160"/>
      </w:pPr>
      <w:r>
        <w:rPr>
          <w:rFonts w:ascii="Arial" w:hAnsi="Arial"/>
          <w:b/>
          <w:color w:val="005F73"/>
          <w:sz w:val="36"/>
        </w:rPr>
        <w:t>4. Resident Lifecycle &amp; Tenancy Management</w:t>
      </w:r>
    </w:p>
    <w:p>
      <w:pPr>
        <w:spacing w:before="0" w:after="120" w:line="276" w:lineRule="auto"/>
      </w:pPr>
      <w:r>
        <w:rPr>
          <w:rFonts w:ascii="Arial" w:hAnsi="Arial"/>
          <w:color w:val="212529"/>
          <w:sz w:val="20"/>
        </w:rPr>
        <w:t>The Resident Lifecycle subsystem automates tenant onboarding, cryptographic email invitations, apartment assignment, and meter linking while guaranteeing zero unauthorized registrations.</w:t>
      </w:r>
    </w:p>
    <w:p>
      <w:pPr>
        <w:keepNext/>
        <w:spacing w:before="280" w:after="120"/>
      </w:pPr>
      <w:r>
        <w:rPr>
          <w:rFonts w:ascii="Arial" w:hAnsi="Arial"/>
          <w:b/>
          <w:color w:val="0A9396"/>
          <w:sz w:val="28"/>
        </w:rPr>
        <w:t>4.1 Resident Invitation Flow</w:t>
      </w:r>
    </w:p>
    <w:p>
      <w:pPr>
        <w:pStyle w:val="ListBullet"/>
        <w:spacing w:before="0" w:after="80" w:line="276" w:lineRule="auto"/>
      </w:pPr>
      <w:r>
        <w:rPr>
          <w:rFonts w:ascii="Arial" w:hAnsi="Arial"/>
          <w:b/>
          <w:color w:val="212529"/>
          <w:sz w:val="20"/>
        </w:rPr>
        <w:t xml:space="preserve">1. Dispatch Request: </w:t>
      </w:r>
      <w:r>
        <w:rPr>
          <w:rFonts w:ascii="Arial" w:hAnsi="Arial"/>
          <w:color w:val="212529"/>
          <w:sz w:val="20"/>
        </w:rPr>
        <w:t>Building Owner initiates resident invite via `POST /api/residents/invite` specifying resident name, email, phone, building ID, and apartment number.</w:t>
      </w:r>
    </w:p>
    <w:p>
      <w:pPr>
        <w:pStyle w:val="ListBullet"/>
        <w:spacing w:before="0" w:after="80" w:line="276" w:lineRule="auto"/>
      </w:pPr>
      <w:r>
        <w:rPr>
          <w:rFonts w:ascii="Arial" w:hAnsi="Arial"/>
          <w:b/>
          <w:color w:val="212529"/>
          <w:sz w:val="20"/>
        </w:rPr>
        <w:t xml:space="preserve">2. Existing Account Audit: </w:t>
      </w:r>
      <w:r>
        <w:rPr>
          <w:rFonts w:ascii="Arial" w:hAnsi="Arial"/>
          <w:color w:val="212529"/>
          <w:sz w:val="20"/>
        </w:rPr>
        <w:t>System checks that no active user account exists for that email. If a previous pending invitation exists, it is marked `CANCELLED`.</w:t>
      </w:r>
    </w:p>
    <w:p>
      <w:pPr>
        <w:pStyle w:val="ListBullet"/>
        <w:spacing w:before="0" w:after="80" w:line="276" w:lineRule="auto"/>
      </w:pPr>
      <w:r>
        <w:rPr>
          <w:rFonts w:ascii="Arial" w:hAnsi="Arial"/>
          <w:b/>
          <w:color w:val="212529"/>
          <w:sz w:val="20"/>
        </w:rPr>
        <w:t xml:space="preserve">3. Token Hashing: </w:t>
      </w:r>
      <w:r>
        <w:rPr>
          <w:rFonts w:ascii="Arial" w:hAnsi="Arial"/>
          <w:color w:val="212529"/>
          <w:sz w:val="20"/>
        </w:rPr>
        <w:t>A high-entropy 256-bit cryptographically secure raw token is generated via `TokenGenerator.generateRawToken()`. A SHA-256 hash of this token is stored in `resident_invitations` alongside an expiry timestamp (`now + 24 hours`).</w:t>
      </w:r>
    </w:p>
    <w:p>
      <w:pPr>
        <w:pStyle w:val="ListBullet"/>
        <w:spacing w:before="0" w:after="80" w:line="276" w:lineRule="auto"/>
      </w:pPr>
      <w:r>
        <w:rPr>
          <w:rFonts w:ascii="Arial" w:hAnsi="Arial"/>
          <w:b/>
          <w:color w:val="212529"/>
          <w:sz w:val="20"/>
        </w:rPr>
        <w:t xml:space="preserve">4. Water Meter Provisioning: </w:t>
      </w:r>
      <w:r>
        <w:rPr>
          <w:rFonts w:ascii="Arial" w:hAnsi="Arial"/>
          <w:color w:val="212529"/>
          <w:sz w:val="20"/>
        </w:rPr>
        <w:t>System checks for an existing water meter for that apartment. If missing, it auto-creates `WM-{buildingNumber}-{apartmentNumber}` and links it to the resident.</w:t>
      </w:r>
    </w:p>
    <w:p>
      <w:pPr>
        <w:pStyle w:val="ListBullet"/>
        <w:spacing w:before="0" w:after="80" w:line="276" w:lineRule="auto"/>
      </w:pPr>
      <w:r>
        <w:rPr>
          <w:rFonts w:ascii="Arial" w:hAnsi="Arial"/>
          <w:b/>
          <w:color w:val="212529"/>
          <w:sz w:val="20"/>
        </w:rPr>
        <w:t xml:space="preserve">5. Email Delivery: </w:t>
      </w:r>
      <w:r>
        <w:rPr>
          <w:rFonts w:ascii="Arial" w:hAnsi="Arial"/>
          <w:color w:val="212529"/>
          <w:sz w:val="20"/>
        </w:rPr>
        <w:t>An invitation email containing a secure acceptance link (`http://localhost:5173/accept-invitation?token=...`) is dispatched asynchronously.</w:t>
      </w:r>
    </w:p>
    <w:p>
      <w:pPr>
        <w:pStyle w:val="ListBullet"/>
        <w:spacing w:before="0" w:after="80" w:line="276" w:lineRule="auto"/>
      </w:pPr>
      <w:r>
        <w:rPr>
          <w:rFonts w:ascii="Arial" w:hAnsi="Arial"/>
          <w:b/>
          <w:color w:val="212529"/>
          <w:sz w:val="20"/>
        </w:rPr>
        <w:t xml:space="preserve">6. Account Activation: </w:t>
      </w:r>
      <w:r>
        <w:rPr>
          <w:rFonts w:ascii="Arial" w:hAnsi="Arial"/>
          <w:color w:val="212529"/>
          <w:sz w:val="20"/>
        </w:rPr>
        <w:t>Resident visits the portal, validates the token, sets their secure password, and submits. The system transitions invitation status to `ACCEPTED`, sets resident account status to `ACTIVE`, creates a corresponding `users` record with role `RESIDENT`, and enables resident dashboard login.</w:t>
      </w:r>
    </w:p>
    <w:tbl>
      <w:tblPr>
        <w:tblW w:type="auto" w:w="0"/>
        <w:jc w:val="center"/>
        <w:tblLayout w:type="fixed"/>
        <w:tblLook w:firstColumn="1" w:firstRow="1" w:lastColumn="0" w:lastRow="0" w:noHBand="0" w:noVBand="1" w:val="04A0"/>
      </w:tblPr>
      <w:tblGrid>
        <w:gridCol w:w="9360"/>
      </w:tblGrid>
      <w:tr>
        <w:tc>
          <w:tcPr>
            <w:tcW w:type="dxa" w:w="9360"/>
            <w:shd w:fill="F4F9FA"/>
            <w:tcMar>
              <w:top w:w="140" w:type="dxa"/>
              <w:bottom w:w="140" w:type="dxa"/>
              <w:left w:w="180" w:type="dxa"/>
              <w:right w:w="180" w:type="dxa"/>
            </w:tcMar>
            <w:tcBorders>
              <w:top w:val="none"/>
              <w:left w:val="single" w:sz="36" w:space="0" w:color="005F73"/>
              <w:bottom w:val="none"/>
              <w:right w:val="none"/>
            </w:tcBorders>
          </w:tcPr>
          <w:p>
            <w:pPr>
              <w:spacing w:before="0" w:after="80"/>
            </w:pPr>
            <w:r>
              <w:rPr>
                <w:rFonts w:ascii="Arial" w:hAnsi="Arial"/>
                <w:b/>
                <w:color w:val="005F73"/>
                <w:sz w:val="21"/>
              </w:rPr>
              <w:t>📌 Security Architecture: Token Hashing</w:t>
              <w:br/>
            </w:r>
            <w:r>
              <w:rPr>
                <w:rFonts w:ascii="Arial" w:hAnsi="Arial"/>
                <w:color w:val="212529"/>
                <w:sz w:val="19"/>
              </w:rPr>
              <w:t>Raw invitation tokens are NEVER stored in plaintext in the database. Only their SHA-256 cryptographic hashes are persisted. This ensures that even in the event of an unauthorized database dump, invitation tokens cannot be intercepted or spoofed.</w:t>
            </w:r>
          </w:p>
        </w:tc>
      </w:tr>
    </w:tbl>
    <w:p>
      <w:pPr>
        <w:spacing w:after="120"/>
      </w:pPr>
    </w:p>
    <w:p>
      <w:pPr>
        <w:keepNext/>
        <w:spacing w:before="360" w:after="160"/>
      </w:pPr>
      <w:r>
        <w:rPr>
          <w:rFonts w:ascii="Arial" w:hAnsi="Arial"/>
          <w:b/>
          <w:color w:val="005F73"/>
          <w:sz w:val="36"/>
        </w:rPr>
        <w:t>5. Water Meter Infrastructure &amp; Consumption Logging</w:t>
      </w:r>
    </w:p>
    <w:p>
      <w:pPr>
        <w:spacing w:before="0" w:after="120" w:line="276" w:lineRule="auto"/>
      </w:pPr>
      <w:r>
        <w:rPr>
          <w:rFonts w:ascii="Arial" w:hAnsi="Arial"/>
          <w:color w:val="212529"/>
          <w:sz w:val="20"/>
        </w:rPr>
        <w:t>Precise measurement of individual apartment water consumption forms the foundation of equitable billing. The system provides dedicated meter tracking, reading entry, strict input validation, and statistical anomaly detection.</w:t>
      </w:r>
    </w:p>
    <w:p>
      <w:pPr>
        <w:keepNext/>
        <w:spacing w:before="280" w:after="120"/>
      </w:pPr>
      <w:r>
        <w:rPr>
          <w:rFonts w:ascii="Arial" w:hAnsi="Arial"/>
          <w:b/>
          <w:color w:val="0A9396"/>
          <w:sz w:val="28"/>
        </w:rPr>
        <w:t>5.1 Consumption Validation Engine</w:t>
      </w:r>
    </w:p>
    <w:p>
      <w:pPr>
        <w:spacing w:before="0" w:after="120" w:line="276" w:lineRule="auto"/>
      </w:pPr>
      <w:r>
        <w:rPr>
          <w:rFonts w:ascii="Arial" w:hAnsi="Arial"/>
          <w:color w:val="212529"/>
          <w:sz w:val="20"/>
        </w:rPr>
        <w:t>When a Building Owner records water meter readings via `POST /api/usage/record`, the request passes through sequential validation gates:</w:t>
      </w:r>
    </w:p>
    <w:p>
      <w:pPr>
        <w:pStyle w:val="ListBullet"/>
        <w:spacing w:before="0" w:after="80" w:line="276" w:lineRule="auto"/>
      </w:pPr>
      <w:r>
        <w:rPr>
          <w:rFonts w:ascii="Arial" w:hAnsi="Arial"/>
          <w:b/>
          <w:color w:val="212529"/>
          <w:sz w:val="20"/>
        </w:rPr>
        <w:t xml:space="preserve">Non-Negative Constraint: </w:t>
      </w:r>
      <w:r>
        <w:rPr>
          <w:rFonts w:ascii="Arial" w:hAnsi="Arial"/>
          <w:color w:val="212529"/>
          <w:sz w:val="20"/>
        </w:rPr>
        <w:t>Both `previousReading` and `currentReading` must be non-negative floating-point values ($Reading \ge 0.0$).</w:t>
      </w:r>
    </w:p>
    <w:p>
      <w:pPr>
        <w:pStyle w:val="ListBullet"/>
        <w:spacing w:before="0" w:after="80" w:line="276" w:lineRule="auto"/>
      </w:pPr>
      <w:r>
        <w:rPr>
          <w:rFonts w:ascii="Arial" w:hAnsi="Arial"/>
          <w:b/>
          <w:color w:val="212529"/>
          <w:sz w:val="20"/>
        </w:rPr>
        <w:t xml:space="preserve">Monotonic Forward Progress: </w:t>
      </w:r>
      <w:r>
        <w:rPr>
          <w:rFonts w:ascii="Arial" w:hAnsi="Arial"/>
          <w:color w:val="212529"/>
          <w:sz w:val="20"/>
        </w:rPr>
        <w:t>Digital and pulse meters are monotonic. The current reading must be greater than or equal to the previous reading ($CurrentReading \ge PreviousReading$). Negative consumption is strictly rejected.</w:t>
      </w:r>
    </w:p>
    <w:p>
      <w:pPr>
        <w:pStyle w:val="ListBullet"/>
        <w:spacing w:before="0" w:after="80" w:line="276" w:lineRule="auto"/>
      </w:pPr>
      <w:r>
        <w:rPr>
          <w:rFonts w:ascii="Arial" w:hAnsi="Arial"/>
          <w:b/>
          <w:color w:val="212529"/>
          <w:sz w:val="20"/>
        </w:rPr>
        <w:t xml:space="preserve">Consumption Derivation: </w:t>
      </w:r>
      <w:r>
        <w:rPr>
          <w:rFonts w:ascii="Arial" w:hAnsi="Arial"/>
          <w:color w:val="212529"/>
          <w:sz w:val="20"/>
        </w:rPr>
        <w:t>Water consumption in kilo-litres (kL or $m^3$) is calculated as: $UnitsConsumed = CurrentReading - PreviousReading$.</w:t>
      </w:r>
    </w:p>
    <w:p>
      <w:pPr>
        <w:pStyle w:val="ListBullet"/>
        <w:spacing w:before="0" w:after="80" w:line="276" w:lineRule="auto"/>
      </w:pPr>
      <w:r>
        <w:rPr>
          <w:rFonts w:ascii="Arial" w:hAnsi="Arial"/>
          <w:b/>
          <w:color w:val="212529"/>
          <w:sz w:val="20"/>
        </w:rPr>
        <w:t xml:space="preserve">Cycle State Guard: </w:t>
      </w:r>
      <w:r>
        <w:rPr>
          <w:rFonts w:ascii="Arial" w:hAnsi="Arial"/>
          <w:color w:val="212529"/>
          <w:sz w:val="20"/>
        </w:rPr>
        <w:t>The meter reading must be tied to an active, OPEN billing cycle. Submitting or editing readings for a `FINALIZED` billing cycle is strictly prohibited.</w:t>
      </w:r>
    </w:p>
    <w:p>
      <w:pPr>
        <w:keepNext/>
        <w:spacing w:before="280" w:after="120"/>
      </w:pPr>
      <w:r>
        <w:rPr>
          <w:rFonts w:ascii="Arial" w:hAnsi="Arial"/>
          <w:b/>
          <w:color w:val="0A9396"/>
          <w:sz w:val="28"/>
        </w:rPr>
        <w:t>5.2 Anomaly &amp; Leak Detection Engine (Statistical 2-Sigma Algorithm)</w:t>
      </w:r>
    </w:p>
    <w:p>
      <w:pPr>
        <w:spacing w:before="0" w:after="120" w:line="276" w:lineRule="auto"/>
      </w:pPr>
      <w:r>
        <w:rPr>
          <w:rFonts w:ascii="Arial" w:hAnsi="Arial"/>
          <w:color w:val="212529"/>
          <w:sz w:val="20"/>
        </w:rPr>
        <w:t>To protect residents from catastrophic water bills caused by hidden plumbing leaks, running toilet cisterns, or malfunctioning meters, the system executes the `AlertEngineService.evaluateLeakStatus()` statistical audit on every reading entry:</w:t>
      </w:r>
    </w:p>
    <w:p>
      <w:pPr>
        <w:spacing w:before="0" w:after="120" w:line="276" w:lineRule="auto"/>
      </w:pPr>
      <w:r>
        <w:rPr>
          <w:rFonts w:ascii="Arial" w:hAnsi="Arial"/>
          <w:color w:val="212529"/>
          <w:sz w:val="20"/>
        </w:rPr>
        <w:t>Mathematical Formulation of Anomaly Engine:</w:t>
      </w:r>
    </w:p>
    <w:p>
      <w:pPr>
        <w:pStyle w:val="ListBullet"/>
        <w:spacing w:before="0" w:after="80" w:line="276" w:lineRule="auto"/>
      </w:pPr>
      <w:r>
        <w:rPr>
          <w:rFonts w:ascii="Arial" w:hAnsi="Arial"/>
          <w:b/>
          <w:color w:val="212529"/>
          <w:sz w:val="20"/>
        </w:rPr>
        <w:t xml:space="preserve">1. Historical Mean ($\mu$): </w:t>
      </w:r>
      <w:r>
        <w:rPr>
          <w:rFonts w:ascii="Arial" w:hAnsi="Arial"/>
          <w:color w:val="212529"/>
          <w:sz w:val="20"/>
        </w:rPr>
        <w:t>Given historical consumption logs $u_1, u_2, ..., u_N$ for the target meter ($N \ge 2$), calculate the historical arithmetic mean:</w:t>
      </w:r>
    </w:p>
    <w:p>
      <w:pPr>
        <w:spacing w:before="0" w:after="120" w:line="276" w:lineRule="auto"/>
      </w:pPr>
      <w:r>
        <w:rPr>
          <w:rFonts w:ascii="Arial" w:hAnsi="Arial"/>
          <w:color w:val="212529"/>
          <w:sz w:val="20"/>
        </w:rPr>
        <w:t>$$\mu = \frac{1}{N} \sum_{i=1}^N u_i$$</w:t>
      </w:r>
    </w:p>
    <w:p>
      <w:pPr>
        <w:pStyle w:val="ListBullet"/>
        <w:spacing w:before="0" w:after="80" w:line="276" w:lineRule="auto"/>
      </w:pPr>
      <w:r>
        <w:rPr>
          <w:rFonts w:ascii="Arial" w:hAnsi="Arial"/>
          <w:b/>
          <w:color w:val="212529"/>
          <w:sz w:val="20"/>
        </w:rPr>
        <w:t xml:space="preserve">2. Standard Deviation ($\sigma$): </w:t>
      </w:r>
      <w:r>
        <w:rPr>
          <w:rFonts w:ascii="Arial" w:hAnsi="Arial"/>
          <w:color w:val="212529"/>
          <w:sz w:val="20"/>
        </w:rPr>
        <w:t>Calculate sample standard deviation:</w:t>
      </w:r>
    </w:p>
    <w:p>
      <w:pPr>
        <w:spacing w:before="0" w:after="120" w:line="276" w:lineRule="auto"/>
      </w:pPr>
      <w:r>
        <w:rPr>
          <w:rFonts w:ascii="Arial" w:hAnsi="Arial"/>
          <w:color w:val="212529"/>
          <w:sz w:val="20"/>
        </w:rPr>
        <w:t>$$\sigma = \sqrt{\frac{1}{N} \sum_{i=1}^N (u_i - \mu)^2}$$</w:t>
      </w:r>
    </w:p>
    <w:p>
      <w:pPr>
        <w:pStyle w:val="ListBullet"/>
        <w:spacing w:before="0" w:after="80" w:line="276" w:lineRule="auto"/>
      </w:pPr>
      <w:r>
        <w:rPr>
          <w:rFonts w:ascii="Arial" w:hAnsi="Arial"/>
          <w:b/>
          <w:color w:val="212529"/>
          <w:sz w:val="20"/>
        </w:rPr>
        <w:t xml:space="preserve">3. Leak Threshold ($T_{leak}$): </w:t>
      </w:r>
      <w:r>
        <w:rPr>
          <w:rFonts w:ascii="Arial" w:hAnsi="Arial"/>
          <w:color w:val="212529"/>
          <w:sz w:val="20"/>
        </w:rPr>
        <w:t>Compute the leak threshold at 2 standard deviations above historical mean:</w:t>
      </w:r>
    </w:p>
    <w:p>
      <w:pPr>
        <w:spacing w:before="0" w:after="120" w:line="276" w:lineRule="auto"/>
      </w:pPr>
      <w:r>
        <w:rPr>
          <w:rFonts w:ascii="Arial" w:hAnsi="Arial"/>
          <w:color w:val="212529"/>
          <w:sz w:val="20"/>
        </w:rPr>
        <w:t>$$T_{leak} = \mu + 2\sigma$$</w:t>
      </w:r>
    </w:p>
    <w:p>
      <w:pPr>
        <w:pStyle w:val="ListBullet"/>
        <w:spacing w:before="0" w:after="80" w:line="276" w:lineRule="auto"/>
      </w:pPr>
      <w:r>
        <w:rPr>
          <w:rFonts w:ascii="Arial" w:hAnsi="Arial"/>
          <w:b/>
          <w:color w:val="212529"/>
          <w:sz w:val="20"/>
        </w:rPr>
        <w:t xml:space="preserve">4. Anomaly Decision Rule: </w:t>
      </w:r>
      <w:r>
        <w:rPr>
          <w:rFonts w:ascii="Arial" w:hAnsi="Arial"/>
          <w:color w:val="212529"/>
          <w:sz w:val="20"/>
        </w:rPr>
        <w:t>If $CurrentUnits &gt; T_{leak}$ AND $CurrentUnits &gt; 10.0\text{ kL}$, the record is flagged with `POTENTIAL_LEAK`. In-app notifications and email alerts are dispatched immediately.</w:t>
      </w:r>
    </w:p>
    <w:p>
      <w:pPr>
        <w:keepNext/>
        <w:spacing w:before="360" w:after="160"/>
      </w:pPr>
      <w:r>
        <w:rPr>
          <w:rFonts w:ascii="Arial" w:hAnsi="Arial"/>
          <w:b/>
          <w:color w:val="005F73"/>
          <w:sz w:val="36"/>
        </w:rPr>
        <w:t>6. Bulk Water Procurement &amp; Cost Management</w:t>
      </w:r>
    </w:p>
    <w:p>
      <w:pPr>
        <w:spacing w:before="0" w:after="120" w:line="276" w:lineRule="auto"/>
      </w:pPr>
      <w:r>
        <w:rPr>
          <w:rFonts w:ascii="Arial" w:hAnsi="Arial"/>
          <w:color w:val="212529"/>
          <w:sz w:val="20"/>
        </w:rPr>
        <w:t>In modern urban housing societies, municipal pipeline water is often insufficient, forcing building management to procure bulk water tankers from private vendors or borewell suppliers at fluctuating commercial prices. The system bridges this procurement reality with resident billing.</w:t>
      </w:r>
    </w:p>
    <w:p>
      <w:pPr>
        <w:keepNext/>
        <w:spacing w:before="280" w:after="120"/>
      </w:pPr>
      <w:r>
        <w:rPr>
          <w:rFonts w:ascii="Arial" w:hAnsi="Arial"/>
          <w:b/>
          <w:color w:val="0A9396"/>
          <w:sz w:val="28"/>
        </w:rPr>
        <w:t>6.1 Bulk Procurement Tracking</w:t>
      </w:r>
    </w:p>
    <w:p>
      <w:pPr>
        <w:spacing w:before="0" w:after="120" w:line="276" w:lineRule="auto"/>
      </w:pPr>
      <w:r>
        <w:rPr>
          <w:rFonts w:ascii="Arial" w:hAnsi="Arial"/>
          <w:color w:val="212529"/>
          <w:sz w:val="20"/>
        </w:rPr>
        <w:t>The Building Owner records every bulk water purchase under the active billing cycle via `POST /api/purchases`:</w:t>
      </w:r>
    </w:p>
    <w:p>
      <w:pPr>
        <w:pStyle w:val="ListBullet"/>
        <w:spacing w:before="0" w:after="80" w:line="276" w:lineRule="auto"/>
      </w:pPr>
      <w:r>
        <w:rPr>
          <w:rFonts w:ascii="Arial" w:hAnsi="Arial"/>
          <w:b/>
          <w:color w:val="212529"/>
          <w:sz w:val="20"/>
        </w:rPr>
        <w:t xml:space="preserve">Supplier Moniker: </w:t>
      </w:r>
      <w:r>
        <w:rPr>
          <w:rFonts w:ascii="Arial" w:hAnsi="Arial"/>
          <w:color w:val="212529"/>
          <w:sz w:val="20"/>
        </w:rPr>
        <w:t>Name of the water tanker company, municipal utility, or borewell operator.</w:t>
      </w:r>
    </w:p>
    <w:p>
      <w:pPr>
        <w:pStyle w:val="ListBullet"/>
        <w:spacing w:before="0" w:after="80" w:line="276" w:lineRule="auto"/>
      </w:pPr>
      <w:r>
        <w:rPr>
          <w:rFonts w:ascii="Arial" w:hAnsi="Arial"/>
          <w:b/>
          <w:color w:val="212529"/>
          <w:sz w:val="20"/>
        </w:rPr>
        <w:t xml:space="preserve">Delivered Volume: </w:t>
      </w:r>
      <w:r>
        <w:rPr>
          <w:rFonts w:ascii="Arial" w:hAnsi="Arial"/>
          <w:color w:val="212529"/>
          <w:sz w:val="20"/>
        </w:rPr>
        <w:t>Total volume delivered in kilo-litres ($V$ in kL).</w:t>
      </w:r>
    </w:p>
    <w:p>
      <w:pPr>
        <w:pStyle w:val="ListBullet"/>
        <w:spacing w:before="0" w:after="80" w:line="276" w:lineRule="auto"/>
      </w:pPr>
      <w:r>
        <w:rPr>
          <w:rFonts w:ascii="Arial" w:hAnsi="Arial"/>
          <w:b/>
          <w:color w:val="212529"/>
          <w:sz w:val="20"/>
        </w:rPr>
        <w:t xml:space="preserve">Unit Procurement Cost: </w:t>
      </w:r>
      <w:r>
        <w:rPr>
          <w:rFonts w:ascii="Arial" w:hAnsi="Arial"/>
          <w:color w:val="212529"/>
          <w:sz w:val="20"/>
        </w:rPr>
        <w:t>Purchase cost per kilo-litre ($C_{unit}$ in ₹/kL).</w:t>
      </w:r>
    </w:p>
    <w:p>
      <w:pPr>
        <w:pStyle w:val="ListBullet"/>
        <w:spacing w:before="0" w:after="80" w:line="276" w:lineRule="auto"/>
      </w:pPr>
      <w:r>
        <w:rPr>
          <w:rFonts w:ascii="Arial" w:hAnsi="Arial"/>
          <w:b/>
          <w:color w:val="212529"/>
          <w:sz w:val="20"/>
        </w:rPr>
        <w:t xml:space="preserve">Total Expenditure: </w:t>
      </w:r>
      <w:r>
        <w:rPr>
          <w:rFonts w:ascii="Arial" w:hAnsi="Arial"/>
          <w:color w:val="212529"/>
          <w:sz w:val="20"/>
        </w:rPr>
        <w:t>Computed as $TotalCost = V \times C_{unit}$.</w:t>
      </w:r>
    </w:p>
    <w:p>
      <w:pPr>
        <w:keepNext/>
        <w:spacing w:before="280" w:after="120"/>
      </w:pPr>
      <w:r>
        <w:rPr>
          <w:rFonts w:ascii="Arial" w:hAnsi="Arial"/>
          <w:b/>
          <w:color w:val="0A9396"/>
          <w:sz w:val="28"/>
        </w:rPr>
        <w:t>6.2 Weighted Average Procurement Cost Algorithm</w:t>
      </w:r>
    </w:p>
    <w:p>
      <w:pPr>
        <w:spacing w:before="0" w:after="120" w:line="276" w:lineRule="auto"/>
      </w:pPr>
      <w:r>
        <w:rPr>
          <w:rFonts w:ascii="Arial" w:hAnsi="Arial"/>
          <w:color w:val="212529"/>
          <w:sz w:val="20"/>
        </w:rPr>
        <w:t>Because tanker prices fluctuate across seasons (e.g., ₹45/kL in monsoon vs. ₹85/kL in summer), flat averaging produces severe financial deficits. The system implements Volume-Weighted Average Costing:</w:t>
      </w:r>
    </w:p>
    <w:p>
      <w:pPr>
        <w:spacing w:before="0" w:after="120" w:line="276" w:lineRule="auto"/>
      </w:pPr>
      <w:r>
        <w:rPr>
          <w:rFonts w:ascii="Arial" w:hAnsi="Arial"/>
          <w:color w:val="212529"/>
          <w:sz w:val="20"/>
        </w:rPr>
        <w:t>$$R_{weighted} = \frac{\sum_{i=1}^n \text{TotalCost}_i}{\sum_{i=1}^n \text{Volume}_i} = \frac{\sum_{i=1}^n (V_i \times C_{unit, i})}{\sum_{i=1}^n V_i}$$</w:t>
      </w:r>
    </w:p>
    <w:tbl>
      <w:tblPr>
        <w:tblW w:type="auto" w:w="0"/>
        <w:jc w:val="center"/>
        <w:tblLayout w:type="fixed"/>
        <w:tblLook w:firstColumn="1" w:firstRow="1" w:lastColumn="0" w:lastRow="0" w:noHBand="0" w:noVBand="1" w:val="04A0"/>
      </w:tblPr>
      <w:tblGrid>
        <w:gridCol w:w="9360"/>
      </w:tblGrid>
      <w:tr>
        <w:tc>
          <w:tcPr>
            <w:tcW w:type="dxa" w:w="9360"/>
            <w:shd w:fill="F4F9FA"/>
            <w:tcMar>
              <w:top w:w="140" w:type="dxa"/>
              <w:bottom w:w="140" w:type="dxa"/>
              <w:left w:w="180" w:type="dxa"/>
              <w:right w:w="180" w:type="dxa"/>
            </w:tcMar>
            <w:tcBorders>
              <w:top w:val="none"/>
              <w:left w:val="single" w:sz="36" w:space="0" w:color="005F73"/>
              <w:bottom w:val="none"/>
              <w:right w:val="none"/>
            </w:tcBorders>
          </w:tcPr>
          <w:p>
            <w:pPr>
              <w:spacing w:before="0" w:after="80"/>
            </w:pPr>
            <w:r>
              <w:rPr>
                <w:rFonts w:ascii="Arial" w:hAnsi="Arial"/>
                <w:b/>
                <w:color w:val="005F73"/>
                <w:sz w:val="21"/>
              </w:rPr>
              <w:t>📌 Zero Purchases Fallback Guard</w:t>
              <w:br/>
            </w:r>
            <w:r>
              <w:rPr>
                <w:rFonts w:ascii="Arial" w:hAnsi="Arial"/>
                <w:color w:val="212529"/>
                <w:sz w:val="19"/>
              </w:rPr>
              <w:t>If no bulk purchases have been logged for a cycle ($TotalVolume = 0$), $R_{weighted}$ defaults gracefully to ₹0.00. The tariff engine utilizes default base rates (₹2.50/kL) to prevent division-by-zero runtime exceptions.</w:t>
            </w:r>
          </w:p>
        </w:tc>
      </w:tr>
    </w:tbl>
    <w:p>
      <w:pPr>
        <w:spacing w:after="120"/>
      </w:pPr>
    </w:p>
    <w:p>
      <w:pPr>
        <w:keepNext/>
        <w:spacing w:before="360" w:after="160"/>
      </w:pPr>
      <w:r>
        <w:rPr>
          <w:rFonts w:ascii="Arial" w:hAnsi="Arial"/>
          <w:b/>
          <w:color w:val="005F73"/>
          <w:sz w:val="36"/>
        </w:rPr>
        <w:t>7. Dynamic 3-Tier Progressive Tariff Engine</w:t>
      </w:r>
    </w:p>
    <w:p>
      <w:pPr>
        <w:spacing w:before="0" w:after="120" w:line="276" w:lineRule="auto"/>
      </w:pPr>
      <w:r>
        <w:rPr>
          <w:rFonts w:ascii="Arial" w:hAnsi="Arial"/>
          <w:color w:val="212529"/>
          <w:sz w:val="20"/>
        </w:rPr>
        <w:t>To incentivize water conservation while guaranteeing complete cost recovery for the building owner, the system implements an automated 3-Tier Progressive Step Tariff Engine.</w:t>
      </w:r>
    </w:p>
    <w:p>
      <w:pPr>
        <w:keepNext/>
        <w:spacing w:before="280" w:after="120"/>
      </w:pPr>
      <w:r>
        <w:rPr>
          <w:rFonts w:ascii="Arial" w:hAnsi="Arial"/>
          <w:b/>
          <w:color w:val="0A9396"/>
          <w:sz w:val="28"/>
        </w:rPr>
        <w:t>7.1 Economic Philosophy &amp; Cost-Plus Pricing</w:t>
      </w:r>
    </w:p>
    <w:p>
      <w:pPr>
        <w:spacing w:before="0" w:after="120" w:line="276" w:lineRule="auto"/>
      </w:pPr>
      <w:r>
        <w:rPr>
          <w:rFonts w:ascii="Arial" w:hAnsi="Arial"/>
          <w:color w:val="212529"/>
          <w:sz w:val="20"/>
        </w:rPr>
        <w:t>The building owner configures a target Operating Markup Percentage ($M\%$, default 20.00%). This markup covers common area pumping electricity, booster maintenance, filtration plant overheads, and non-revenue water loss.</w:t>
      </w:r>
    </w:p>
    <w:p>
      <w:pPr>
        <w:spacing w:before="0" w:after="120" w:line="276" w:lineRule="auto"/>
      </w:pPr>
      <w:r>
        <w:rPr>
          <w:rFonts w:ascii="Arial" w:hAnsi="Arial"/>
          <w:color w:val="212529"/>
          <w:sz w:val="20"/>
        </w:rPr>
        <w:t>$$\text{Markup Multiplier} = 1 + \frac{M}{100}$$</w:t>
      </w:r>
    </w:p>
    <w:p>
      <w:pPr>
        <w:spacing w:before="0" w:after="120" w:line="276" w:lineRule="auto"/>
      </w:pPr>
      <w:r>
        <w:rPr>
          <w:rFonts w:ascii="Arial" w:hAnsi="Arial"/>
          <w:color w:val="212529"/>
          <w:sz w:val="20"/>
        </w:rPr>
        <w:t>$$\text{Base Tariff } (T_{base}) = R_{weighted} \times \text{Markup Multiplier}$$</w:t>
      </w:r>
    </w:p>
    <w:p>
      <w:pPr>
        <w:keepNext/>
        <w:spacing w:before="280" w:after="120"/>
      </w:pPr>
      <w:r>
        <w:rPr>
          <w:rFonts w:ascii="Arial" w:hAnsi="Arial"/>
          <w:b/>
          <w:color w:val="0A9396"/>
          <w:sz w:val="28"/>
        </w:rPr>
        <w:t>7.2 Progressive Consumption Tier Matrix</w:t>
      </w:r>
    </w:p>
    <w:p>
      <w:pPr>
        <w:spacing w:before="0" w:after="120" w:line="276" w:lineRule="auto"/>
      </w:pPr>
      <w:r>
        <w:rPr>
          <w:rFonts w:ascii="Arial" w:hAnsi="Arial"/>
          <w:color w:val="212529"/>
          <w:sz w:val="20"/>
        </w:rPr>
        <w:t>Water consumption is split into 3 progressive tiers: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1728"/>
            <w:shd w:fill="005F73"/>
            <w:tcMar>
              <w:top w:w="140" w:type="dxa"/>
              <w:bottom w:w="140" w:type="dxa"/>
              <w:left w:w="140" w:type="dxa"/>
              <w:right w:w="140" w:type="dxa"/>
            </w:tcMar>
          </w:tcPr>
          <w:p>
            <w:pPr>
              <w:spacing w:before="0" w:after="0"/>
              <w:jc w:val="left"/>
            </w:pPr>
            <w:r>
              <w:rPr>
                <w:rFonts w:ascii="Arial" w:hAnsi="Arial"/>
                <w:b/>
                <w:color w:val="FFFFFF"/>
                <w:sz w:val="19"/>
              </w:rPr>
              <w:t>Tier</w:t>
            </w:r>
          </w:p>
        </w:tc>
        <w:tc>
          <w:tcPr>
            <w:tcW w:type="dxa" w:w="1728"/>
            <w:shd w:fill="005F73"/>
            <w:tcMar>
              <w:top w:w="140" w:type="dxa"/>
              <w:bottom w:w="140" w:type="dxa"/>
              <w:left w:w="140" w:type="dxa"/>
              <w:right w:w="140" w:type="dxa"/>
            </w:tcMar>
          </w:tcPr>
          <w:p>
            <w:pPr>
              <w:spacing w:before="0" w:after="0"/>
              <w:jc w:val="left"/>
            </w:pPr>
            <w:r>
              <w:rPr>
                <w:rFonts w:ascii="Arial" w:hAnsi="Arial"/>
                <w:b/>
                <w:color w:val="FFFFFF"/>
                <w:sz w:val="19"/>
              </w:rPr>
              <w:t>Consumption Range</w:t>
            </w:r>
          </w:p>
        </w:tc>
        <w:tc>
          <w:tcPr>
            <w:tcW w:type="dxa" w:w="1440"/>
            <w:shd w:fill="005F73"/>
            <w:tcMar>
              <w:top w:w="140" w:type="dxa"/>
              <w:bottom w:w="140" w:type="dxa"/>
              <w:left w:w="140" w:type="dxa"/>
              <w:right w:w="140" w:type="dxa"/>
            </w:tcMar>
          </w:tcPr>
          <w:p>
            <w:pPr>
              <w:spacing w:before="0" w:after="0"/>
              <w:jc w:val="left"/>
            </w:pPr>
            <w:r>
              <w:rPr>
                <w:rFonts w:ascii="Arial" w:hAnsi="Arial"/>
                <w:b/>
                <w:color w:val="FFFFFF"/>
                <w:sz w:val="19"/>
              </w:rPr>
              <w:t>Multiplier</w:t>
            </w:r>
          </w:p>
        </w:tc>
        <w:tc>
          <w:tcPr>
            <w:tcW w:type="dxa" w:w="2160"/>
            <w:shd w:fill="005F73"/>
            <w:tcMar>
              <w:top w:w="140" w:type="dxa"/>
              <w:bottom w:w="140" w:type="dxa"/>
              <w:left w:w="140" w:type="dxa"/>
              <w:right w:w="140" w:type="dxa"/>
            </w:tcMar>
          </w:tcPr>
          <w:p>
            <w:pPr>
              <w:spacing w:before="0" w:after="0"/>
              <w:jc w:val="left"/>
            </w:pPr>
            <w:r>
              <w:rPr>
                <w:rFonts w:ascii="Arial" w:hAnsi="Arial"/>
                <w:b/>
                <w:color w:val="FFFFFF"/>
                <w:sz w:val="19"/>
              </w:rPr>
              <w:t>Effective Rate (₹/kL)</w:t>
            </w:r>
          </w:p>
        </w:tc>
        <w:tc>
          <w:tcPr>
            <w:tcW w:type="dxa" w:w="2304"/>
            <w:shd w:fill="005F73"/>
            <w:tcMar>
              <w:top w:w="140" w:type="dxa"/>
              <w:bottom w:w="140" w:type="dxa"/>
              <w:left w:w="140" w:type="dxa"/>
              <w:right w:w="140" w:type="dxa"/>
            </w:tcMar>
          </w:tcPr>
          <w:p>
            <w:pPr>
              <w:spacing w:before="0" w:after="0"/>
              <w:jc w:val="left"/>
            </w:pPr>
            <w:r>
              <w:rPr>
                <w:rFonts w:ascii="Arial" w:hAnsi="Arial"/>
                <w:b/>
                <w:color w:val="FFFFFF"/>
                <w:sz w:val="19"/>
              </w:rPr>
              <w:t>Economic Policy &amp; Objective</w:t>
            </w:r>
          </w:p>
        </w:tc>
      </w:tr>
      <w:tr>
        <w:tc>
          <w:tcPr>
            <w:tcW w:type="dxa" w:w="172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Tier 1 (Lifeline)</w:t>
            </w:r>
          </w:p>
        </w:tc>
        <w:tc>
          <w:tcPr>
            <w:tcW w:type="dxa" w:w="172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0 to 20.00 kL</w:t>
            </w:r>
          </w:p>
        </w:tc>
        <w:tc>
          <w:tcPr>
            <w:tcW w:type="dxa" w:w="1440"/>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1.00x Base</w:t>
            </w:r>
          </w:p>
        </w:tc>
        <w:tc>
          <w:tcPr>
            <w:tcW w:type="dxa" w:w="2160"/>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T_base * 1.00 (min ₹2.50)</w:t>
            </w:r>
          </w:p>
        </w:tc>
        <w:tc>
          <w:tcPr>
            <w:tcW w:type="dxa" w:w="230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Essential domestic consumption. Heavily subsidized baseline pricing.</w:t>
            </w:r>
          </w:p>
        </w:tc>
      </w:tr>
      <w:tr>
        <w:tc>
          <w:tcPr>
            <w:tcW w:type="dxa" w:w="172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Tier 2 (Standard)</w:t>
            </w:r>
          </w:p>
        </w:tc>
        <w:tc>
          <w:tcPr>
            <w:tcW w:type="dxa" w:w="172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20.01 to 40.00 kL</w:t>
            </w:r>
          </w:p>
        </w:tc>
        <w:tc>
          <w:tcPr>
            <w:tcW w:type="dxa" w:w="1440"/>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1.25x Base</w:t>
            </w:r>
          </w:p>
        </w:tc>
        <w:tc>
          <w:tcPr>
            <w:tcW w:type="dxa" w:w="2160"/>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T_base * 1.25 (min ₹4.00)</w:t>
            </w:r>
          </w:p>
        </w:tc>
        <w:tc>
          <w:tcPr>
            <w:tcW w:type="dxa" w:w="230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Normal family usage. Covers procurement and standard operational overhead.</w:t>
            </w:r>
          </w:p>
        </w:tc>
      </w:tr>
      <w:tr>
        <w:tc>
          <w:tcPr>
            <w:tcW w:type="dxa" w:w="172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Tier 3 (Excessive)</w:t>
            </w:r>
          </w:p>
        </w:tc>
        <w:tc>
          <w:tcPr>
            <w:tcW w:type="dxa" w:w="172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&gt; 40.00 kL</w:t>
            </w:r>
          </w:p>
        </w:tc>
        <w:tc>
          <w:tcPr>
            <w:tcW w:type="dxa" w:w="1440"/>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1.50x Base</w:t>
            </w:r>
          </w:p>
        </w:tc>
        <w:tc>
          <w:tcPr>
            <w:tcW w:type="dxa" w:w="2160"/>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T_base * 1.50 (min ₹6.00)</w:t>
            </w:r>
          </w:p>
        </w:tc>
        <w:tc>
          <w:tcPr>
            <w:tcW w:type="dxa" w:w="230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Luxury/wasteful usage. Steep penalty surcharge to deter excessive consumption.</w:t>
            </w:r>
          </w:p>
        </w:tc>
      </w:tr>
    </w:tbl>
    <w:p>
      <w:pPr>
        <w:spacing w:after="120"/>
      </w:pPr>
    </w:p>
    <w:p>
      <w:pPr>
        <w:keepNext/>
        <w:spacing w:before="280" w:after="120"/>
      </w:pPr>
      <w:r>
        <w:rPr>
          <w:rFonts w:ascii="Arial" w:hAnsi="Arial"/>
          <w:b/>
          <w:color w:val="0A9396"/>
          <w:sz w:val="28"/>
        </w:rPr>
        <w:t>7.3 Mathematical Step Allocation Algorithm</w:t>
      </w:r>
    </w:p>
    <w:p>
      <w:pPr>
        <w:spacing w:before="0" w:after="120" w:line="276" w:lineRule="auto"/>
      </w:pPr>
      <w:r>
        <w:rPr>
          <w:rFonts w:ascii="Arial" w:hAnsi="Arial"/>
          <w:color w:val="212529"/>
          <w:sz w:val="20"/>
        </w:rPr>
        <w:t>For an apartment consuming $U$ units in a billing period:</w:t>
      </w:r>
    </w:p>
    <w:p>
      <w:pPr>
        <w:pStyle w:val="ListBullet"/>
        <w:spacing w:before="0" w:after="80" w:line="276" w:lineRule="auto"/>
      </w:pPr>
      <w:r>
        <w:rPr>
          <w:rFonts w:ascii="Arial" w:hAnsi="Arial"/>
          <w:b/>
          <w:color w:val="212529"/>
          <w:sz w:val="20"/>
        </w:rPr>
        <w:t xml:space="preserve">Tier 1 Volume &amp; Charge: </w:t>
      </w:r>
      <w:r>
        <w:rPr>
          <w:rFonts w:ascii="Arial" w:hAnsi="Arial"/>
          <w:color w:val="212529"/>
          <w:sz w:val="20"/>
        </w:rPr>
        <w:t>$$U_1 = \min(U, 20.00)$$  --&gt;  $$Amount_1 = U_1 \times Rate_1$$</w:t>
      </w:r>
    </w:p>
    <w:p>
      <w:pPr>
        <w:pStyle w:val="ListBullet"/>
        <w:spacing w:before="0" w:after="80" w:line="276" w:lineRule="auto"/>
      </w:pPr>
      <w:r>
        <w:rPr>
          <w:rFonts w:ascii="Arial" w:hAnsi="Arial"/>
          <w:b/>
          <w:color w:val="212529"/>
          <w:sz w:val="20"/>
        </w:rPr>
        <w:t xml:space="preserve">Tier 2 Volume &amp; Charge: </w:t>
      </w:r>
      <w:r>
        <w:rPr>
          <w:rFonts w:ascii="Arial" w:hAnsi="Arial"/>
          <w:color w:val="212529"/>
          <w:sz w:val="20"/>
        </w:rPr>
        <w:t>$$U_2 = \min(\max(U - 20.00, 0), 20.00)$$  --&gt;  $$Amount_2 = U_2 \times Rate_2$$</w:t>
      </w:r>
    </w:p>
    <w:p>
      <w:pPr>
        <w:pStyle w:val="ListBullet"/>
        <w:spacing w:before="0" w:after="80" w:line="276" w:lineRule="auto"/>
      </w:pPr>
      <w:r>
        <w:rPr>
          <w:rFonts w:ascii="Arial" w:hAnsi="Arial"/>
          <w:b/>
          <w:color w:val="212529"/>
          <w:sz w:val="20"/>
        </w:rPr>
        <w:t xml:space="preserve">Tier 3 Volume &amp; Charge: </w:t>
      </w:r>
      <w:r>
        <w:rPr>
          <w:rFonts w:ascii="Arial" w:hAnsi="Arial"/>
          <w:color w:val="212529"/>
          <w:sz w:val="20"/>
        </w:rPr>
        <w:t>$$U_3 = \max(U - 40.00, 0)$$  --&gt;  $$Amount_3 = U_3 \times Rate_3$$</w:t>
      </w:r>
    </w:p>
    <w:p>
      <w:pPr>
        <w:pStyle w:val="ListBullet"/>
        <w:spacing w:before="0" w:after="80" w:line="276" w:lineRule="auto"/>
      </w:pPr>
      <w:r>
        <w:rPr>
          <w:rFonts w:ascii="Arial" w:hAnsi="Arial"/>
          <w:b/>
          <w:color w:val="212529"/>
          <w:sz w:val="20"/>
        </w:rPr>
        <w:t xml:space="preserve">Total Tiered Cost: </w:t>
      </w:r>
      <w:r>
        <w:rPr>
          <w:rFonts w:ascii="Arial" w:hAnsi="Arial"/>
          <w:color w:val="212529"/>
          <w:sz w:val="20"/>
        </w:rPr>
        <w:t>$$\text{Total Variable Charge} = Amount_1 + Amount_2 + Amount_3$$</w:t>
      </w:r>
    </w:p>
    <w:p>
      <w:pPr>
        <w:keepNext/>
        <w:spacing w:before="360" w:after="160"/>
      </w:pPr>
      <w:r>
        <w:rPr>
          <w:rFonts w:ascii="Arial" w:hAnsi="Arial"/>
          <w:b/>
          <w:color w:val="005F73"/>
          <w:sz w:val="36"/>
        </w:rPr>
        <w:t>8. Monthly Billing Cycle Automation &amp; Batch Billing</w:t>
      </w:r>
    </w:p>
    <w:p>
      <w:pPr>
        <w:spacing w:before="0" w:after="120" w:line="276" w:lineRule="auto"/>
      </w:pPr>
      <w:r>
        <w:rPr>
          <w:rFonts w:ascii="Arial" w:hAnsi="Arial"/>
          <w:color w:val="212529"/>
          <w:sz w:val="20"/>
        </w:rPr>
        <w:t>The Billing Cycle engine orchestrates monthly billing execution across all building residents in a single, atomic, transactional batch operation.</w:t>
      </w:r>
    </w:p>
    <w:p>
      <w:pPr>
        <w:keepNext/>
        <w:spacing w:before="280" w:after="120"/>
      </w:pPr>
      <w:r>
        <w:rPr>
          <w:rFonts w:ascii="Arial" w:hAnsi="Arial"/>
          <w:b/>
          <w:color w:val="0A9396"/>
          <w:sz w:val="28"/>
        </w:rPr>
        <w:t>8.1 Cycle State Machine</w:t>
      </w:r>
    </w:p>
    <w:p>
      <w:pPr>
        <w:pStyle w:val="ListBullet"/>
        <w:spacing w:before="0" w:after="80" w:line="276" w:lineRule="auto"/>
      </w:pPr>
      <w:r>
        <w:rPr>
          <w:rFonts w:ascii="Arial" w:hAnsi="Arial"/>
          <w:b/>
          <w:color w:val="212529"/>
          <w:sz w:val="20"/>
        </w:rPr>
        <w:t xml:space="preserve">OPEN: </w:t>
      </w:r>
      <w:r>
        <w:rPr>
          <w:rFonts w:ascii="Arial" w:hAnsi="Arial"/>
          <w:color w:val="212529"/>
          <w:sz w:val="20"/>
        </w:rPr>
        <w:t>Cycle is created (`POST /api/billing-cycles`). Procurement purchases and meter readings can be entered or modified.</w:t>
      </w:r>
    </w:p>
    <w:p>
      <w:pPr>
        <w:pStyle w:val="ListBullet"/>
        <w:spacing w:before="0" w:after="80" w:line="276" w:lineRule="auto"/>
      </w:pPr>
      <w:r>
        <w:rPr>
          <w:rFonts w:ascii="Arial" w:hAnsi="Arial"/>
          <w:b/>
          <w:color w:val="212529"/>
          <w:sz w:val="20"/>
        </w:rPr>
        <w:t xml:space="preserve">FINALIZED: </w:t>
      </w:r>
      <w:r>
        <w:rPr>
          <w:rFonts w:ascii="Arial" w:hAnsi="Arial"/>
          <w:color w:val="212529"/>
          <w:sz w:val="20"/>
        </w:rPr>
        <w:t>Batch calculation executes (`POST /api/billing-cycles/{id}/finalize`). Invoices and bills are generated. Readings and purchases become IMMUTABLE.</w:t>
      </w:r>
    </w:p>
    <w:p>
      <w:pPr>
        <w:pStyle w:val="ListBullet"/>
        <w:spacing w:before="0" w:after="80" w:line="276" w:lineRule="auto"/>
      </w:pPr>
      <w:r>
        <w:rPr>
          <w:rFonts w:ascii="Arial" w:hAnsi="Arial"/>
          <w:b/>
          <w:color w:val="212529"/>
          <w:sz w:val="20"/>
        </w:rPr>
        <w:t xml:space="preserve">ARCHIVED: </w:t>
      </w:r>
      <w:r>
        <w:rPr>
          <w:rFonts w:ascii="Arial" w:hAnsi="Arial"/>
          <w:color w:val="212529"/>
          <w:sz w:val="20"/>
        </w:rPr>
        <w:t>Historical cycle retained for multi-year accounting and tax audits.</w:t>
      </w:r>
    </w:p>
    <w:p>
      <w:pPr>
        <w:keepNext/>
        <w:spacing w:before="280" w:after="120"/>
      </w:pPr>
      <w:r>
        <w:rPr>
          <w:rFonts w:ascii="Arial" w:hAnsi="Arial"/>
          <w:b/>
          <w:color w:val="0A9396"/>
          <w:sz w:val="28"/>
        </w:rPr>
        <w:t>8.2 Pre-Finalization Audit &amp; Completeness Guard</w:t>
      </w:r>
    </w:p>
    <w:p>
      <w:pPr>
        <w:spacing w:before="0" w:after="120" w:line="276" w:lineRule="auto"/>
      </w:pPr>
      <w:r>
        <w:rPr>
          <w:rFonts w:ascii="Arial" w:hAnsi="Arial"/>
          <w:color w:val="212529"/>
          <w:sz w:val="20"/>
        </w:rPr>
        <w:t>Before executing batch bill generation, `BillingCycleService.finalizeCycle()` performs an exhaustive audit:</w:t>
      </w:r>
    </w:p>
    <w:tbl>
      <w:tblPr>
        <w:tblW w:type="auto" w:w="0"/>
        <w:jc w:val="center"/>
        <w:tblLayout w:type="fixed"/>
        <w:tblLook w:firstColumn="1" w:firstRow="1" w:lastColumn="0" w:lastRow="0" w:noHBand="0" w:noVBand="1" w:val="04A0"/>
      </w:tblPr>
      <w:tblGrid>
        <w:gridCol w:w="9360"/>
      </w:tblGrid>
      <w:tr>
        <w:tc>
          <w:tcPr>
            <w:tcW w:type="dxa" w:w="9360"/>
            <w:shd w:fill="F4F9FA"/>
            <w:tcMar>
              <w:top w:w="140" w:type="dxa"/>
              <w:bottom w:w="140" w:type="dxa"/>
              <w:left w:w="180" w:type="dxa"/>
              <w:right w:w="180" w:type="dxa"/>
            </w:tcMar>
            <w:tcBorders>
              <w:top w:val="none"/>
              <w:left w:val="single" w:sz="36" w:space="0" w:color="005F73"/>
              <w:bottom w:val="none"/>
              <w:right w:val="none"/>
            </w:tcBorders>
          </w:tcPr>
          <w:p>
            <w:pPr>
              <w:spacing w:before="0" w:after="80"/>
            </w:pPr>
            <w:r>
              <w:rPr>
                <w:rFonts w:ascii="Arial" w:hAnsi="Arial"/>
                <w:b/>
                <w:color w:val="005F73"/>
                <w:sz w:val="21"/>
              </w:rPr>
              <w:t>📌 Meter Reading Completeness Guard</w:t>
              <w:br/>
            </w:r>
            <w:r>
              <w:rPr>
                <w:rFonts w:ascii="Arial" w:hAnsi="Arial"/>
                <w:color w:val="212529"/>
                <w:sz w:val="19"/>
              </w:rPr>
              <w:t>If even ONE active resident in the building lacks a recorded meter reading for the cycle, finalization is ABORTED with HTTP 400 BadRequest. The error message lists all delinquent apartment numbers by name, preventing partial billing runs and accounting discrepancies.</w:t>
            </w:r>
          </w:p>
        </w:tc>
      </w:tr>
    </w:tbl>
    <w:p>
      <w:pPr>
        <w:spacing w:after="120"/>
      </w:pPr>
    </w:p>
    <w:p>
      <w:pPr>
        <w:keepNext/>
        <w:spacing w:before="280" w:after="120"/>
      </w:pPr>
      <w:r>
        <w:rPr>
          <w:rFonts w:ascii="Arial" w:hAnsi="Arial"/>
          <w:b/>
          <w:color w:val="0A9396"/>
          <w:sz w:val="28"/>
        </w:rPr>
        <w:t>8.3 Bill Generation &amp; Notification Dispatch</w:t>
      </w:r>
    </w:p>
    <w:p>
      <w:pPr>
        <w:spacing w:before="0" w:after="120" w:line="276" w:lineRule="auto"/>
      </w:pPr>
      <w:r>
        <w:rPr>
          <w:rFonts w:ascii="Arial" w:hAnsi="Arial"/>
          <w:color w:val="212529"/>
          <w:sz w:val="20"/>
        </w:rPr>
        <w:t>Upon successful audit, the engine iterates across all resident usage records:</w:t>
      </w:r>
    </w:p>
    <w:p>
      <w:pPr>
        <w:pStyle w:val="ListBullet"/>
        <w:spacing w:before="0" w:after="80" w:line="276" w:lineRule="auto"/>
      </w:pPr>
      <w:r>
        <w:rPr>
          <w:rFonts w:ascii="Arial" w:hAnsi="Arial"/>
          <w:b/>
          <w:color w:val="212529"/>
          <w:sz w:val="20"/>
        </w:rPr>
        <w:t xml:space="preserve">1. Tariff Computation: </w:t>
      </w:r>
      <w:r>
        <w:rPr>
          <w:rFonts w:ascii="Arial" w:hAnsi="Arial"/>
          <w:color w:val="212529"/>
          <w:sz w:val="20"/>
        </w:rPr>
        <w:t>Computes exact Tier 1, Tier 2, and Tier 3 breakdowns and total ₹ amount.</w:t>
      </w:r>
    </w:p>
    <w:p>
      <w:pPr>
        <w:pStyle w:val="ListBullet"/>
        <w:spacing w:before="0" w:after="80" w:line="276" w:lineRule="auto"/>
      </w:pPr>
      <w:r>
        <w:rPr>
          <w:rFonts w:ascii="Arial" w:hAnsi="Arial"/>
          <w:b/>
          <w:color w:val="212529"/>
          <w:sz w:val="20"/>
        </w:rPr>
        <w:t xml:space="preserve">2. Due Date Assignment: </w:t>
      </w:r>
      <w:r>
        <w:rPr>
          <w:rFonts w:ascii="Arial" w:hAnsi="Arial"/>
          <w:color w:val="212529"/>
          <w:sz w:val="20"/>
        </w:rPr>
        <w:t>Sets payment due date to Cycle End Date + 15 calendar days.</w:t>
      </w:r>
    </w:p>
    <w:p>
      <w:pPr>
        <w:pStyle w:val="ListBullet"/>
        <w:spacing w:before="0" w:after="80" w:line="276" w:lineRule="auto"/>
      </w:pPr>
      <w:r>
        <w:rPr>
          <w:rFonts w:ascii="Arial" w:hAnsi="Arial"/>
          <w:b/>
          <w:color w:val="212529"/>
          <w:sz w:val="20"/>
        </w:rPr>
        <w:t xml:space="preserve">3. Financial Invoicing: </w:t>
      </w:r>
      <w:r>
        <w:rPr>
          <w:rFonts w:ascii="Arial" w:hAnsi="Arial"/>
          <w:color w:val="212529"/>
          <w:sz w:val="20"/>
        </w:rPr>
        <w:t>Creates atomic records in `bills` and `invoices` with initial status `UNPAID`.</w:t>
      </w:r>
    </w:p>
    <w:p>
      <w:pPr>
        <w:pStyle w:val="ListBullet"/>
        <w:spacing w:before="0" w:after="80" w:line="276" w:lineRule="auto"/>
      </w:pPr>
      <w:r>
        <w:rPr>
          <w:rFonts w:ascii="Arial" w:hAnsi="Arial"/>
          <w:b/>
          <w:color w:val="212529"/>
          <w:sz w:val="20"/>
        </w:rPr>
        <w:t xml:space="preserve">4. Multichannel Alerts: </w:t>
      </w:r>
      <w:r>
        <w:rPr>
          <w:rFonts w:ascii="Arial" w:hAnsi="Arial"/>
          <w:color w:val="212529"/>
          <w:sz w:val="20"/>
        </w:rPr>
        <w:t>Saves resident in-app notifications and queues async HTML emails via `EmailService.sendBillGeneratedEmail()` containing itemized charges and due dates.</w:t>
      </w:r>
    </w:p>
    <w:p>
      <w:pPr>
        <w:pStyle w:val="ListBullet"/>
        <w:spacing w:before="0" w:after="80" w:line="276" w:lineRule="auto"/>
      </w:pPr>
      <w:r>
        <w:rPr>
          <w:rFonts w:ascii="Arial" w:hAnsi="Arial"/>
          <w:b/>
          <w:color w:val="212529"/>
          <w:sz w:val="20"/>
        </w:rPr>
        <w:t xml:space="preserve">5. State Transition: </w:t>
      </w:r>
      <w:r>
        <w:rPr>
          <w:rFonts w:ascii="Arial" w:hAnsi="Arial"/>
          <w:color w:val="212529"/>
          <w:sz w:val="20"/>
        </w:rPr>
        <w:t>Marks cycle status as `FINALIZED`.</w:t>
      </w:r>
    </w:p>
    <w:p>
      <w:pPr>
        <w:keepNext/>
        <w:spacing w:before="360" w:after="160"/>
      </w:pPr>
      <w:r>
        <w:rPr>
          <w:rFonts w:ascii="Arial" w:hAnsi="Arial"/>
          <w:b/>
          <w:color w:val="005F73"/>
          <w:sz w:val="36"/>
        </w:rPr>
        <w:t>9. Apartment Invoices &amp; Financial Governance Dashboard</w:t>
      </w:r>
    </w:p>
    <w:p>
      <w:pPr>
        <w:spacing w:before="0" w:after="120" w:line="276" w:lineRule="auto"/>
      </w:pPr>
      <w:r>
        <w:rPr>
          <w:rFonts w:ascii="Arial" w:hAnsi="Arial"/>
          <w:color w:val="212529"/>
          <w:sz w:val="20"/>
        </w:rPr>
        <w:t>The Invoices module provides the Building Owner with real-time financial telemetry, apartment-by-apartment receivables tracking, payment reconciliation, and downloadable legal PDF statements.</w:t>
      </w:r>
    </w:p>
    <w:p>
      <w:pPr>
        <w:keepNext/>
        <w:spacing w:before="280" w:after="120"/>
      </w:pPr>
      <w:r>
        <w:rPr>
          <w:rFonts w:ascii="Arial" w:hAnsi="Arial"/>
          <w:b/>
          <w:color w:val="0A9396"/>
          <w:sz w:val="28"/>
        </w:rPr>
        <w:t>9.1 Financial KPI Summary Cards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304"/>
            <w:shd w:fill="005F73"/>
            <w:tcMar>
              <w:top w:w="140" w:type="dxa"/>
              <w:bottom w:w="140" w:type="dxa"/>
              <w:left w:w="140" w:type="dxa"/>
              <w:right w:w="140" w:type="dxa"/>
            </w:tcMar>
          </w:tcPr>
          <w:p>
            <w:pPr>
              <w:spacing w:before="0" w:after="0"/>
              <w:jc w:val="left"/>
            </w:pPr>
            <w:r>
              <w:rPr>
                <w:rFonts w:ascii="Arial" w:hAnsi="Arial"/>
                <w:b/>
                <w:color w:val="FFFFFF"/>
                <w:sz w:val="19"/>
              </w:rPr>
              <w:t>KPI Metric Card</w:t>
            </w:r>
          </w:p>
        </w:tc>
        <w:tc>
          <w:tcPr>
            <w:tcW w:type="dxa" w:w="3600"/>
            <w:shd w:fill="005F73"/>
            <w:tcMar>
              <w:top w:w="140" w:type="dxa"/>
              <w:bottom w:w="140" w:type="dxa"/>
              <w:left w:w="140" w:type="dxa"/>
              <w:right w:w="140" w:type="dxa"/>
            </w:tcMar>
          </w:tcPr>
          <w:p>
            <w:pPr>
              <w:spacing w:before="0" w:after="0"/>
              <w:jc w:val="left"/>
            </w:pPr>
            <w:r>
              <w:rPr>
                <w:rFonts w:ascii="Arial" w:hAnsi="Arial"/>
                <w:b/>
                <w:color w:val="FFFFFF"/>
                <w:sz w:val="19"/>
              </w:rPr>
              <w:t>Calculation Formula</w:t>
            </w:r>
          </w:p>
        </w:tc>
        <w:tc>
          <w:tcPr>
            <w:tcW w:type="dxa" w:w="3456"/>
            <w:shd w:fill="005F73"/>
            <w:tcMar>
              <w:top w:w="140" w:type="dxa"/>
              <w:bottom w:w="140" w:type="dxa"/>
              <w:left w:w="140" w:type="dxa"/>
              <w:right w:w="140" w:type="dxa"/>
            </w:tcMar>
          </w:tcPr>
          <w:p>
            <w:pPr>
              <w:spacing w:before="0" w:after="0"/>
              <w:jc w:val="left"/>
            </w:pPr>
            <w:r>
              <w:rPr>
                <w:rFonts w:ascii="Arial" w:hAnsi="Arial"/>
                <w:b/>
                <w:color w:val="FFFFFF"/>
                <w:sz w:val="19"/>
              </w:rPr>
              <w:t>Operational Purpose</w:t>
            </w:r>
          </w:p>
        </w:tc>
      </w:tr>
      <w:tr>
        <w:tc>
          <w:tcPr>
            <w:tcW w:type="dxa" w:w="230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TOTAL BILLED</w:t>
            </w:r>
          </w:p>
        </w:tc>
        <w:tc>
          <w:tcPr>
            <w:tcW w:type="dxa" w:w="3600"/>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Sum of all generated bill amounts across active scope</w:t>
            </w:r>
          </w:p>
        </w:tc>
        <w:tc>
          <w:tcPr>
            <w:tcW w:type="dxa" w:w="345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Total gross billing revenue receivables.</w:t>
            </w:r>
          </w:p>
        </w:tc>
      </w:tr>
      <w:tr>
        <w:tc>
          <w:tcPr>
            <w:tcW w:type="dxa" w:w="230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PAID</w:t>
            </w:r>
          </w:p>
        </w:tc>
        <w:tc>
          <w:tcPr>
            <w:tcW w:type="dxa" w:w="3600"/>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Sum of all bills with status == 'PAID'</w:t>
            </w:r>
          </w:p>
        </w:tc>
        <w:tc>
          <w:tcPr>
            <w:tcW w:type="dxa" w:w="345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Total liquid cash collected to date.</w:t>
            </w:r>
          </w:p>
        </w:tc>
      </w:tr>
      <w:tr>
        <w:tc>
          <w:tcPr>
            <w:tcW w:type="dxa" w:w="230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UNPAID</w:t>
            </w:r>
          </w:p>
        </w:tc>
        <w:tc>
          <w:tcPr>
            <w:tcW w:type="dxa" w:w="3600"/>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Sum of all bills with status == 'UNPAID'</w:t>
            </w:r>
          </w:p>
        </w:tc>
        <w:tc>
          <w:tcPr>
            <w:tcW w:type="dxa" w:w="345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Total outstanding arrears / pending receivables.</w:t>
            </w:r>
          </w:p>
        </w:tc>
      </w:tr>
      <w:tr>
        <w:tc>
          <w:tcPr>
            <w:tcW w:type="dxa" w:w="230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TOTAL (₹) / AVERAGE</w:t>
            </w:r>
          </w:p>
        </w:tc>
        <w:tc>
          <w:tcPr>
            <w:tcW w:type="dxa" w:w="3600"/>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Total Billed / Total Invoices Count</w:t>
            </w:r>
          </w:p>
        </w:tc>
        <w:tc>
          <w:tcPr>
            <w:tcW w:type="dxa" w:w="345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Average monthly water expenditure per household.</w:t>
            </w:r>
          </w:p>
        </w:tc>
      </w:tr>
    </w:tbl>
    <w:p>
      <w:pPr>
        <w:spacing w:after="120"/>
      </w:pPr>
    </w:p>
    <w:p>
      <w:pPr>
        <w:keepNext/>
        <w:spacing w:before="280" w:after="120"/>
      </w:pPr>
      <w:r>
        <w:rPr>
          <w:rFonts w:ascii="Arial" w:hAnsi="Arial"/>
          <w:b/>
          <w:color w:val="0A9396"/>
          <w:sz w:val="28"/>
        </w:rPr>
        <w:t>9.2 Payment Status State Machine &amp; Quick Toggle</w:t>
      </w:r>
    </w:p>
    <w:p>
      <w:pPr>
        <w:spacing w:before="0" w:after="120" w:line="276" w:lineRule="auto"/>
      </w:pPr>
      <w:r>
        <w:rPr>
          <w:rFonts w:ascii="Arial" w:hAnsi="Arial"/>
          <w:color w:val="212529"/>
          <w:sz w:val="20"/>
        </w:rPr>
        <w:t>The owner can reconcile payments via `PUT /api/invoices/{id}/status`:</w:t>
      </w:r>
    </w:p>
    <w:p>
      <w:pPr>
        <w:pStyle w:val="ListBullet"/>
        <w:spacing w:before="0" w:after="80" w:line="276" w:lineRule="auto"/>
      </w:pPr>
      <w:r>
        <w:rPr>
          <w:rFonts w:ascii="Arial" w:hAnsi="Arial"/>
          <w:b/>
          <w:color w:val="212529"/>
          <w:sz w:val="20"/>
        </w:rPr>
        <w:t xml:space="preserve">UNPAID -&gt; PAID: </w:t>
      </w:r>
      <w:r>
        <w:rPr>
          <w:rFonts w:ascii="Arial" w:hAnsi="Arial"/>
          <w:color w:val="212529"/>
          <w:sz w:val="20"/>
        </w:rPr>
        <w:t>Toggling status to `PAID` automatically updates the `bills` record, synchronizes `invoices.status = 'PAID'`, and generates an offline payment receipt (`Payment` record with method `OFFLINE_ADMIN`).</w:t>
      </w:r>
    </w:p>
    <w:p>
      <w:pPr>
        <w:pStyle w:val="ListBullet"/>
        <w:spacing w:before="0" w:after="80" w:line="276" w:lineRule="auto"/>
      </w:pPr>
      <w:r>
        <w:rPr>
          <w:rFonts w:ascii="Arial" w:hAnsi="Arial"/>
          <w:b/>
          <w:color w:val="212529"/>
          <w:sz w:val="20"/>
        </w:rPr>
        <w:t xml:space="preserve">PAID -&gt; UNPAID: </w:t>
      </w:r>
      <w:r>
        <w:rPr>
          <w:rFonts w:ascii="Arial" w:hAnsi="Arial"/>
          <w:color w:val="212529"/>
          <w:sz w:val="20"/>
        </w:rPr>
        <w:t>If a payment check bounces or was recorded in error, toggling back to `UNPAID` resets the invoice balance and updates metrics immediately.</w:t>
      </w:r>
    </w:p>
    <w:p>
      <w:pPr>
        <w:keepNext/>
        <w:spacing w:before="280" w:after="120"/>
      </w:pPr>
      <w:r>
        <w:rPr>
          <w:rFonts w:ascii="Arial" w:hAnsi="Arial"/>
          <w:b/>
          <w:color w:val="0A9396"/>
          <w:sz w:val="28"/>
        </w:rPr>
        <w:t>9.3 PDF Statement Generation Engine</w:t>
      </w:r>
    </w:p>
    <w:p>
      <w:pPr>
        <w:spacing w:before="0" w:after="120" w:line="276" w:lineRule="auto"/>
      </w:pPr>
      <w:r>
        <w:rPr>
          <w:rFonts w:ascii="Arial" w:hAnsi="Arial"/>
          <w:color w:val="212529"/>
          <w:sz w:val="20"/>
        </w:rPr>
        <w:t>The system features an automated PDF rendering engine powered by iText 5 (`PdfGeneratorService`):</w:t>
      </w:r>
    </w:p>
    <w:p>
      <w:pPr>
        <w:pStyle w:val="ListBullet"/>
        <w:spacing w:before="0" w:after="80" w:line="276" w:lineRule="auto"/>
      </w:pPr>
      <w:r>
        <w:rPr>
          <w:rFonts w:ascii="Arial" w:hAnsi="Arial"/>
          <w:b/>
          <w:color w:val="212529"/>
          <w:sz w:val="20"/>
        </w:rPr>
        <w:t xml:space="preserve">1. Header &amp; Title: </w:t>
      </w:r>
      <w:r>
        <w:rPr>
          <w:rFonts w:ascii="Arial" w:hAnsi="Arial"/>
          <w:color w:val="212529"/>
          <w:sz w:val="20"/>
        </w:rPr>
        <w:t>Professional AquaTrack branding and official document title.</w:t>
      </w:r>
    </w:p>
    <w:p>
      <w:pPr>
        <w:pStyle w:val="ListBullet"/>
        <w:spacing w:before="0" w:after="80" w:line="276" w:lineRule="auto"/>
      </w:pPr>
      <w:r>
        <w:rPr>
          <w:rFonts w:ascii="Arial" w:hAnsi="Arial"/>
          <w:b/>
          <w:color w:val="212529"/>
          <w:sz w:val="20"/>
        </w:rPr>
        <w:t xml:space="preserve">2. Two-Column Metadata Box: </w:t>
      </w:r>
      <w:r>
        <w:rPr>
          <w:rFonts w:ascii="Arial" w:hAnsi="Arial"/>
          <w:color w:val="212529"/>
          <w:sz w:val="20"/>
        </w:rPr>
        <w:t>Two-column metadata card displaying Resident Name, Apartment #, Meter #, Invoice ID, Billing Period, Due Date, and Status.</w:t>
      </w:r>
    </w:p>
    <w:p>
      <w:pPr>
        <w:pStyle w:val="ListBullet"/>
        <w:spacing w:before="0" w:after="80" w:line="276" w:lineRule="auto"/>
      </w:pPr>
      <w:r>
        <w:rPr>
          <w:rFonts w:ascii="Arial" w:hAnsi="Arial"/>
          <w:b/>
          <w:color w:val="212529"/>
          <w:sz w:val="20"/>
        </w:rPr>
        <w:t xml:space="preserve">3. Official Payment Stamp: </w:t>
      </w:r>
      <w:r>
        <w:rPr>
          <w:rFonts w:ascii="Arial" w:hAnsi="Arial"/>
          <w:color w:val="212529"/>
          <w:sz w:val="20"/>
        </w:rPr>
        <w:t>Prominent green stamped box displaying Transaction Reference, Payment Date, Amount, and Mode when paid.</w:t>
      </w:r>
    </w:p>
    <w:p>
      <w:pPr>
        <w:pStyle w:val="ListBullet"/>
        <w:spacing w:before="0" w:after="80" w:line="276" w:lineRule="auto"/>
      </w:pPr>
      <w:r>
        <w:rPr>
          <w:rFonts w:ascii="Arial" w:hAnsi="Arial"/>
          <w:b/>
          <w:color w:val="212529"/>
          <w:sz w:val="20"/>
        </w:rPr>
        <w:t xml:space="preserve">4. Consumption Telemetry Table: </w:t>
      </w:r>
      <w:r>
        <w:rPr>
          <w:rFonts w:ascii="Arial" w:hAnsi="Arial"/>
          <w:color w:val="212529"/>
          <w:sz w:val="20"/>
        </w:rPr>
        <w:t>Table showing previous reading, current reading, and total kL consumed.</w:t>
      </w:r>
    </w:p>
    <w:p>
      <w:pPr>
        <w:pStyle w:val="ListBullet"/>
        <w:spacing w:before="0" w:after="80" w:line="276" w:lineRule="auto"/>
      </w:pPr>
      <w:r>
        <w:rPr>
          <w:rFonts w:ascii="Arial" w:hAnsi="Arial"/>
          <w:b/>
          <w:color w:val="212529"/>
          <w:sz w:val="20"/>
        </w:rPr>
        <w:t xml:space="preserve">5. 3-Tier Tariff Breakdown: </w:t>
      </w:r>
      <w:r>
        <w:rPr>
          <w:rFonts w:ascii="Arial" w:hAnsi="Arial"/>
          <w:color w:val="212529"/>
          <w:sz w:val="20"/>
        </w:rPr>
        <w:t>Itemized rows for Tier 1, Tier 2, Tier 3 units, unit rates, and subtotal charges.</w:t>
      </w:r>
    </w:p>
    <w:p>
      <w:pPr>
        <w:pStyle w:val="ListBullet"/>
        <w:spacing w:before="0" w:after="80" w:line="276" w:lineRule="auto"/>
      </w:pPr>
      <w:r>
        <w:rPr>
          <w:rFonts w:ascii="Arial" w:hAnsi="Arial"/>
          <w:b/>
          <w:color w:val="212529"/>
          <w:sz w:val="20"/>
        </w:rPr>
        <w:t xml:space="preserve">6. Total Receivables: </w:t>
      </w:r>
      <w:r>
        <w:rPr>
          <w:rFonts w:ascii="Arial" w:hAnsi="Arial"/>
          <w:color w:val="212529"/>
          <w:sz w:val="20"/>
        </w:rPr>
        <w:t>Prominent bold total block with due date warnings and automated electronic seal.</w:t>
      </w:r>
    </w:p>
    <w:p>
      <w:pPr>
        <w:keepNext/>
        <w:spacing w:before="360" w:after="160"/>
      </w:pPr>
      <w:r>
        <w:rPr>
          <w:rFonts w:ascii="Arial" w:hAnsi="Arial"/>
          <w:b/>
          <w:color w:val="005F73"/>
          <w:sz w:val="36"/>
        </w:rPr>
        <w:t>10. Analytics, Benchmarking &amp; Water Loss Auditing</w:t>
      </w:r>
    </w:p>
    <w:p>
      <w:pPr>
        <w:spacing w:before="0" w:after="120" w:line="276" w:lineRule="auto"/>
      </w:pPr>
      <w:r>
        <w:rPr>
          <w:rFonts w:ascii="Arial" w:hAnsi="Arial"/>
          <w:color w:val="212529"/>
          <w:sz w:val="20"/>
        </w:rPr>
        <w:t>To prevent massive revenue loss from underground pipe leaks, storage tank overflow, and unmetered common taps, the Building Owner subsystem includes automated water loss auditing.</w:t>
      </w:r>
    </w:p>
    <w:p>
      <w:pPr>
        <w:keepNext/>
        <w:spacing w:before="280" w:after="120"/>
      </w:pPr>
      <w:r>
        <w:rPr>
          <w:rFonts w:ascii="Arial" w:hAnsi="Arial"/>
          <w:b/>
          <w:color w:val="0A9396"/>
          <w:sz w:val="28"/>
        </w:rPr>
        <w:t>10.1 Non-Revenue Water (NRW) Auditing Formula</w:t>
      </w:r>
    </w:p>
    <w:p>
      <w:pPr>
        <w:spacing w:before="0" w:after="120" w:line="276" w:lineRule="auto"/>
      </w:pPr>
      <w:r>
        <w:rPr>
          <w:rFonts w:ascii="Arial" w:hAnsi="Arial"/>
          <w:color w:val="212529"/>
          <w:sz w:val="20"/>
        </w:rPr>
        <w:t>At the conclusion of each billing cycle, the system compares total bulk water procured against the sum of all apartment sub-meters:</w:t>
      </w:r>
    </w:p>
    <w:p>
      <w:pPr>
        <w:spacing w:before="0" w:after="120" w:line="276" w:lineRule="auto"/>
      </w:pPr>
      <w:r>
        <w:rPr>
          <w:rFonts w:ascii="Arial" w:hAnsi="Arial"/>
          <w:color w:val="212529"/>
          <w:sz w:val="20"/>
        </w:rPr>
        <w:t>$$\text{Total Bulk Procured} = \sum_{i=1}^P V_i$$</w:t>
      </w:r>
    </w:p>
    <w:p>
      <w:pPr>
        <w:spacing w:before="0" w:after="120" w:line="276" w:lineRule="auto"/>
      </w:pPr>
      <w:r>
        <w:rPr>
          <w:rFonts w:ascii="Arial" w:hAnsi="Arial"/>
          <w:color w:val="212529"/>
          <w:sz w:val="20"/>
        </w:rPr>
        <w:t>$$\text{Total Billed Consumption} = \sum_{j=1}^R U_j$$</w:t>
      </w:r>
    </w:p>
    <w:p>
      <w:pPr>
        <w:spacing w:before="0" w:after="120" w:line="276" w:lineRule="auto"/>
      </w:pPr>
      <w:r>
        <w:rPr>
          <w:rFonts w:ascii="Arial" w:hAnsi="Arial"/>
          <w:color w:val="212529"/>
          <w:sz w:val="20"/>
        </w:rPr>
        <w:t>$$\text{Non-Revenue Water Loss (kL)} = \text{Total Bulk Procured} - \text{Total Billed Consumption}$$</w:t>
      </w:r>
    </w:p>
    <w:p>
      <w:pPr>
        <w:spacing w:before="0" w:after="120" w:line="276" w:lineRule="auto"/>
      </w:pPr>
      <w:r>
        <w:rPr>
          <w:rFonts w:ascii="Arial" w:hAnsi="Arial"/>
          <w:color w:val="212529"/>
          <w:sz w:val="20"/>
        </w:rPr>
        <w:t>$$\text{Loss Percentage (\%)} = \left( \frac{\text{Water Loss}}{\text{Total Bulk Procured}} \right) \times 100$$</w:t>
      </w:r>
    </w:p>
    <w:tbl>
      <w:tblPr>
        <w:tblW w:type="auto" w:w="0"/>
        <w:jc w:val="center"/>
        <w:tblLayout w:type="fixed"/>
        <w:tblLook w:firstColumn="1" w:firstRow="1" w:lastColumn="0" w:lastRow="0" w:noHBand="0" w:noVBand="1" w:val="04A0"/>
      </w:tblPr>
      <w:tblGrid>
        <w:gridCol w:w="9360"/>
      </w:tblGrid>
      <w:tr>
        <w:tc>
          <w:tcPr>
            <w:tcW w:type="dxa" w:w="9360"/>
            <w:shd w:fill="F4F9FA"/>
            <w:tcMar>
              <w:top w:w="140" w:type="dxa"/>
              <w:bottom w:w="140" w:type="dxa"/>
              <w:left w:w="180" w:type="dxa"/>
              <w:right w:w="180" w:type="dxa"/>
            </w:tcMar>
            <w:tcBorders>
              <w:top w:val="none"/>
              <w:left w:val="single" w:sz="36" w:space="0" w:color="005F73"/>
              <w:bottom w:val="none"/>
              <w:right w:val="none"/>
            </w:tcBorders>
          </w:tcPr>
          <w:p>
            <w:pPr>
              <w:spacing w:before="0" w:after="80"/>
            </w:pPr>
            <w:r>
              <w:rPr>
                <w:rFonts w:ascii="Arial" w:hAnsi="Arial"/>
                <w:b/>
                <w:color w:val="005F73"/>
                <w:sz w:val="21"/>
              </w:rPr>
              <w:t>📌 Water Loss Threshold Benchmarking</w:t>
              <w:br/>
            </w:r>
            <w:r>
              <w:rPr>
                <w:rFonts w:ascii="Arial" w:hAnsi="Arial"/>
                <w:color w:val="212529"/>
                <w:sz w:val="19"/>
              </w:rPr>
              <w:t>A water loss percentage under 10% is classified as NORMAL (distribution friction and tank evaporation). A loss between 10% and 25% triggers an ATTENTION warning. Any loss exceeding 25% generates a CRITICAL LEAK AUDIT ALERT instructing the owner to inspect main supply pipes and common storage tanks.</w:t>
            </w:r>
          </w:p>
        </w:tc>
      </w:tr>
    </w:tbl>
    <w:p>
      <w:pPr>
        <w:spacing w:after="120"/>
      </w:pPr>
    </w:p>
    <w:p>
      <w:pPr>
        <w:keepNext/>
        <w:spacing w:before="360" w:after="160"/>
      </w:pPr>
      <w:r>
        <w:rPr>
          <w:rFonts w:ascii="Arial" w:hAnsi="Arial"/>
          <w:b/>
          <w:color w:val="005F73"/>
          <w:sz w:val="36"/>
        </w:rPr>
        <w:t>11. Relational Database Schema &amp; Data Dictionary</w:t>
      </w:r>
    </w:p>
    <w:p>
      <w:pPr>
        <w:spacing w:before="0" w:after="120" w:line="276" w:lineRule="auto"/>
      </w:pPr>
      <w:r>
        <w:rPr>
          <w:rFonts w:ascii="Arial" w:hAnsi="Arial"/>
          <w:color w:val="212529"/>
          <w:sz w:val="20"/>
        </w:rPr>
        <w:t>The database schema enforces referential integrity through foreign key constraints, cascading updates, and indexed foreign keys: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005F73"/>
            <w:tcMar>
              <w:top w:w="140" w:type="dxa"/>
              <w:bottom w:w="140" w:type="dxa"/>
              <w:left w:w="140" w:type="dxa"/>
              <w:right w:w="140" w:type="dxa"/>
            </w:tcMar>
          </w:tcPr>
          <w:p>
            <w:pPr>
              <w:spacing w:before="0" w:after="0"/>
              <w:jc w:val="left"/>
            </w:pPr>
            <w:r>
              <w:rPr>
                <w:rFonts w:ascii="Arial" w:hAnsi="Arial"/>
                <w:b/>
                <w:color w:val="FFFFFF"/>
                <w:sz w:val="19"/>
              </w:rPr>
              <w:t>Table Name</w:t>
            </w:r>
          </w:p>
        </w:tc>
        <w:tc>
          <w:tcPr>
            <w:tcW w:type="dxa" w:w="1440"/>
            <w:shd w:fill="005F73"/>
            <w:tcMar>
              <w:top w:w="140" w:type="dxa"/>
              <w:bottom w:w="140" w:type="dxa"/>
              <w:left w:w="140" w:type="dxa"/>
              <w:right w:w="140" w:type="dxa"/>
            </w:tcMar>
          </w:tcPr>
          <w:p>
            <w:pPr>
              <w:spacing w:before="0" w:after="0"/>
              <w:jc w:val="left"/>
            </w:pPr>
            <w:r>
              <w:rPr>
                <w:rFonts w:ascii="Arial" w:hAnsi="Arial"/>
                <w:b/>
                <w:color w:val="FFFFFF"/>
                <w:sz w:val="19"/>
              </w:rPr>
              <w:t>Primary Key</w:t>
            </w:r>
          </w:p>
        </w:tc>
        <w:tc>
          <w:tcPr>
            <w:tcW w:type="dxa" w:w="2448"/>
            <w:shd w:fill="005F73"/>
            <w:tcMar>
              <w:top w:w="140" w:type="dxa"/>
              <w:bottom w:w="140" w:type="dxa"/>
              <w:left w:w="140" w:type="dxa"/>
              <w:right w:w="140" w:type="dxa"/>
            </w:tcMar>
          </w:tcPr>
          <w:p>
            <w:pPr>
              <w:spacing w:before="0" w:after="0"/>
              <w:jc w:val="left"/>
            </w:pPr>
            <w:r>
              <w:rPr>
                <w:rFonts w:ascii="Arial" w:hAnsi="Arial"/>
                <w:b/>
                <w:color w:val="FFFFFF"/>
                <w:sz w:val="19"/>
              </w:rPr>
              <w:t>Foreign Keys</w:t>
            </w:r>
          </w:p>
        </w:tc>
        <w:tc>
          <w:tcPr>
            <w:tcW w:type="dxa" w:w="3456"/>
            <w:shd w:fill="005F73"/>
            <w:tcMar>
              <w:top w:w="140" w:type="dxa"/>
              <w:bottom w:w="140" w:type="dxa"/>
              <w:left w:w="140" w:type="dxa"/>
              <w:right w:w="140" w:type="dxa"/>
            </w:tcMar>
          </w:tcPr>
          <w:p>
            <w:pPr>
              <w:spacing w:before="0" w:after="0"/>
              <w:jc w:val="left"/>
            </w:pPr>
            <w:r>
              <w:rPr>
                <w:rFonts w:ascii="Arial" w:hAnsi="Arial"/>
                <w:b/>
                <w:color w:val="FFFFFF"/>
                <w:sz w:val="19"/>
              </w:rPr>
              <w:t>Key Attributes &amp; Purpose</w:t>
            </w:r>
          </w:p>
        </w:tc>
      </w:tr>
      <w:tr>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building_owners</w:t>
            </w:r>
          </w:p>
        </w:tc>
        <w:tc>
          <w:tcPr>
            <w:tcW w:type="dxa" w:w="1440"/>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owner_id</w:t>
            </w:r>
          </w:p>
        </w:tc>
        <w:tc>
          <w:tcPr>
            <w:tcW w:type="dxa" w:w="244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user_id -&gt; users</w:t>
            </w:r>
          </w:p>
        </w:tc>
        <w:tc>
          <w:tcPr>
            <w:tcW w:type="dxa" w:w="345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Business name, owner contact, verification status.</w:t>
            </w:r>
          </w:p>
        </w:tc>
      </w:tr>
      <w:tr>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buildings</w:t>
            </w:r>
          </w:p>
        </w:tc>
        <w:tc>
          <w:tcPr>
            <w:tcW w:type="dxa" w:w="1440"/>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building_id</w:t>
            </w:r>
          </w:p>
        </w:tc>
        <w:tc>
          <w:tcPr>
            <w:tcW w:type="dxa" w:w="244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owner_id -&gt; building_owners</w:t>
            </w:r>
          </w:p>
        </w:tc>
        <w:tc>
          <w:tcPr>
            <w:tcW w:type="dxa" w:w="345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Building name, number, address, total apartments.</w:t>
            </w:r>
          </w:p>
        </w:tc>
      </w:tr>
      <w:tr>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residents</w:t>
            </w:r>
          </w:p>
        </w:tc>
        <w:tc>
          <w:tcPr>
            <w:tcW w:type="dxa" w:w="1440"/>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resident_id</w:t>
            </w:r>
          </w:p>
        </w:tc>
        <w:tc>
          <w:tcPr>
            <w:tcW w:type="dxa" w:w="244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building_id, user_id</w:t>
            </w:r>
          </w:p>
        </w:tc>
        <w:tc>
          <w:tcPr>
            <w:tcW w:type="dxa" w:w="345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Resident name, email, phone, apartment number, invite token.</w:t>
            </w:r>
          </w:p>
        </w:tc>
      </w:tr>
      <w:tr>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resident_invitations</w:t>
            </w:r>
          </w:p>
        </w:tc>
        <w:tc>
          <w:tcPr>
            <w:tcW w:type="dxa" w:w="1440"/>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invitation_id</w:t>
            </w:r>
          </w:p>
        </w:tc>
        <w:tc>
          <w:tcPr>
            <w:tcW w:type="dxa" w:w="244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resident_id, building_id</w:t>
            </w:r>
          </w:p>
        </w:tc>
        <w:tc>
          <w:tcPr>
            <w:tcW w:type="dxa" w:w="345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Token hash, expires_at, status (PENDING, ACCEPTED).</w:t>
            </w:r>
          </w:p>
        </w:tc>
      </w:tr>
      <w:tr>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water_meters</w:t>
            </w:r>
          </w:p>
        </w:tc>
        <w:tc>
          <w:tcPr>
            <w:tcW w:type="dxa" w:w="1440"/>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meter_id</w:t>
            </w:r>
          </w:p>
        </w:tc>
        <w:tc>
          <w:tcPr>
            <w:tcW w:type="dxa" w:w="244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building_id, resident_id</w:t>
            </w:r>
          </w:p>
        </w:tc>
        <w:tc>
          <w:tcPr>
            <w:tcW w:type="dxa" w:w="345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Unique meter serial number, installation date, status.</w:t>
            </w:r>
          </w:p>
        </w:tc>
      </w:tr>
      <w:tr>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water_usages</w:t>
            </w:r>
          </w:p>
        </w:tc>
        <w:tc>
          <w:tcPr>
            <w:tcW w:type="dxa" w:w="1440"/>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usage_id</w:t>
            </w:r>
          </w:p>
        </w:tc>
        <w:tc>
          <w:tcPr>
            <w:tcW w:type="dxa" w:w="244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meter_id, billing_cycle_id</w:t>
            </w:r>
          </w:p>
        </w:tc>
        <w:tc>
          <w:tcPr>
            <w:tcW w:type="dxa" w:w="345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Previous reading, current reading, units, anomaly_status.</w:t>
            </w:r>
          </w:p>
        </w:tc>
      </w:tr>
      <w:tr>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water_purchases</w:t>
            </w:r>
          </w:p>
        </w:tc>
        <w:tc>
          <w:tcPr>
            <w:tcW w:type="dxa" w:w="1440"/>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id</w:t>
            </w:r>
          </w:p>
        </w:tc>
        <w:tc>
          <w:tcPr>
            <w:tcW w:type="dxa" w:w="244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building_id, billing_cycle_id</w:t>
            </w:r>
          </w:p>
        </w:tc>
        <w:tc>
          <w:tcPr>
            <w:tcW w:type="dxa" w:w="345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Supplier, volume, unit_cost, total_cost, purchase_date.</w:t>
            </w:r>
          </w:p>
        </w:tc>
      </w:tr>
      <w:tr>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tariff_plans</w:t>
            </w:r>
          </w:p>
        </w:tc>
        <w:tc>
          <w:tcPr>
            <w:tcW w:type="dxa" w:w="1440"/>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id</w:t>
            </w:r>
          </w:p>
        </w:tc>
        <w:tc>
          <w:tcPr>
            <w:tcW w:type="dxa" w:w="244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building_id, billing_cycle_id</w:t>
            </w:r>
          </w:p>
        </w:tc>
        <w:tc>
          <w:tcPr>
            <w:tcW w:type="dxa" w:w="345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Procurement cost, markup %, base tariff, tier 1/2/3 rates.</w:t>
            </w:r>
          </w:p>
        </w:tc>
      </w:tr>
      <w:tr>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billing_cycles</w:t>
            </w:r>
          </w:p>
        </w:tc>
        <w:tc>
          <w:tcPr>
            <w:tcW w:type="dxa" w:w="1440"/>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id</w:t>
            </w:r>
          </w:p>
        </w:tc>
        <w:tc>
          <w:tcPr>
            <w:tcW w:type="dxa" w:w="244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building_id -&gt; buildings</w:t>
            </w:r>
          </w:p>
        </w:tc>
        <w:tc>
          <w:tcPr>
            <w:tcW w:type="dxa" w:w="345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Start date, end date, billing month, status (OPEN, FINALIZED).</w:t>
            </w:r>
          </w:p>
        </w:tc>
      </w:tr>
      <w:tr>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bills</w:t>
            </w:r>
          </w:p>
        </w:tc>
        <w:tc>
          <w:tcPr>
            <w:tcW w:type="dxa" w:w="1440"/>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bill_id</w:t>
            </w:r>
          </w:p>
        </w:tc>
        <w:tc>
          <w:tcPr>
            <w:tcW w:type="dxa" w:w="244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resident_id, usage_id, cycle_id</w:t>
            </w:r>
          </w:p>
        </w:tc>
        <w:tc>
          <w:tcPr>
            <w:tcW w:type="dxa" w:w="345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Units, total amount, tier 1/2/3 amounts, due date, status.</w:t>
            </w:r>
          </w:p>
        </w:tc>
      </w:tr>
      <w:tr>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invoices</w:t>
            </w:r>
          </w:p>
        </w:tc>
        <w:tc>
          <w:tcPr>
            <w:tcW w:type="dxa" w:w="1440"/>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invoice_id</w:t>
            </w:r>
          </w:p>
        </w:tc>
        <w:tc>
          <w:tcPr>
            <w:tcW w:type="dxa" w:w="244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resident_id, cycle_id</w:t>
            </w:r>
          </w:p>
        </w:tc>
        <w:tc>
          <w:tcPr>
            <w:tcW w:type="dxa" w:w="345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Usage units, base charge, extra charge, total amount, status.</w:t>
            </w:r>
          </w:p>
        </w:tc>
      </w:tr>
      <w:tr>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payments</w:t>
            </w:r>
          </w:p>
        </w:tc>
        <w:tc>
          <w:tcPr>
            <w:tcW w:type="dxa" w:w="1440"/>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payment_id</w:t>
            </w:r>
          </w:p>
        </w:tc>
        <w:tc>
          <w:tcPr>
            <w:tcW w:type="dxa" w:w="244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bill_id -&gt; bills</w:t>
            </w:r>
          </w:p>
        </w:tc>
        <w:tc>
          <w:tcPr>
            <w:tcW w:type="dxa" w:w="345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Amount, payment date, method, transaction reference, status.</w:t>
            </w:r>
          </w:p>
        </w:tc>
      </w:tr>
    </w:tbl>
    <w:p>
      <w:pPr>
        <w:spacing w:after="120"/>
      </w:pPr>
    </w:p>
    <w:p>
      <w:pPr>
        <w:keepNext/>
        <w:spacing w:before="360" w:after="160"/>
      </w:pPr>
      <w:r>
        <w:rPr>
          <w:rFonts w:ascii="Arial" w:hAnsi="Arial"/>
          <w:b/>
          <w:color w:val="005F73"/>
          <w:sz w:val="36"/>
        </w:rPr>
        <w:t>12. Complete Building Owner REST API Catalog</w:t>
      </w:r>
    </w:p>
    <w:p>
      <w:pPr>
        <w:spacing w:before="0" w:after="120" w:line="276" w:lineRule="auto"/>
      </w:pPr>
      <w:r>
        <w:rPr>
          <w:rFonts w:ascii="Arial" w:hAnsi="Arial"/>
          <w:color w:val="212529"/>
          <w:sz w:val="20"/>
        </w:rPr>
        <w:t>All endpoints require Bearer JWT Authentication and `@PreAuthorize("hasRole('BUILDING_OWNER')")`:</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1008"/>
            <w:shd w:fill="005F73"/>
            <w:tcMar>
              <w:top w:w="140" w:type="dxa"/>
              <w:bottom w:w="140" w:type="dxa"/>
              <w:left w:w="140" w:type="dxa"/>
              <w:right w:w="140" w:type="dxa"/>
            </w:tcMar>
          </w:tcPr>
          <w:p>
            <w:pPr>
              <w:spacing w:before="0" w:after="0"/>
              <w:jc w:val="left"/>
            </w:pPr>
            <w:r>
              <w:rPr>
                <w:rFonts w:ascii="Arial" w:hAnsi="Arial"/>
                <w:b/>
                <w:color w:val="FFFFFF"/>
                <w:sz w:val="19"/>
              </w:rPr>
              <w:t>Method</w:t>
            </w:r>
          </w:p>
        </w:tc>
        <w:tc>
          <w:tcPr>
            <w:tcW w:type="dxa" w:w="3024"/>
            <w:shd w:fill="005F73"/>
            <w:tcMar>
              <w:top w:w="140" w:type="dxa"/>
              <w:bottom w:w="140" w:type="dxa"/>
              <w:left w:w="140" w:type="dxa"/>
              <w:right w:w="140" w:type="dxa"/>
            </w:tcMar>
          </w:tcPr>
          <w:p>
            <w:pPr>
              <w:spacing w:before="0" w:after="0"/>
              <w:jc w:val="left"/>
            </w:pPr>
            <w:r>
              <w:rPr>
                <w:rFonts w:ascii="Arial" w:hAnsi="Arial"/>
                <w:b/>
                <w:color w:val="FFFFFF"/>
                <w:sz w:val="19"/>
              </w:rPr>
              <w:t>Endpoint Route</w:t>
            </w:r>
          </w:p>
        </w:tc>
        <w:tc>
          <w:tcPr>
            <w:tcW w:type="dxa" w:w="2016"/>
            <w:shd w:fill="005F73"/>
            <w:tcMar>
              <w:top w:w="140" w:type="dxa"/>
              <w:bottom w:w="140" w:type="dxa"/>
              <w:left w:w="140" w:type="dxa"/>
              <w:right w:w="140" w:type="dxa"/>
            </w:tcMar>
          </w:tcPr>
          <w:p>
            <w:pPr>
              <w:spacing w:before="0" w:after="0"/>
              <w:jc w:val="left"/>
            </w:pPr>
            <w:r>
              <w:rPr>
                <w:rFonts w:ascii="Arial" w:hAnsi="Arial"/>
                <w:b/>
                <w:color w:val="FFFFFF"/>
                <w:sz w:val="19"/>
              </w:rPr>
              <w:t>Request Body / Params</w:t>
            </w:r>
          </w:p>
        </w:tc>
        <w:tc>
          <w:tcPr>
            <w:tcW w:type="dxa" w:w="1584"/>
            <w:shd w:fill="005F73"/>
            <w:tcMar>
              <w:top w:w="140" w:type="dxa"/>
              <w:bottom w:w="140" w:type="dxa"/>
              <w:left w:w="140" w:type="dxa"/>
              <w:right w:w="140" w:type="dxa"/>
            </w:tcMar>
          </w:tcPr>
          <w:p>
            <w:pPr>
              <w:spacing w:before="0" w:after="0"/>
              <w:jc w:val="left"/>
            </w:pPr>
            <w:r>
              <w:rPr>
                <w:rFonts w:ascii="Arial" w:hAnsi="Arial"/>
                <w:b/>
                <w:color w:val="FFFFFF"/>
                <w:sz w:val="19"/>
              </w:rPr>
              <w:t>Response DTO</w:t>
            </w:r>
          </w:p>
        </w:tc>
        <w:tc>
          <w:tcPr>
            <w:tcW w:type="dxa" w:w="1728"/>
            <w:shd w:fill="005F73"/>
            <w:tcMar>
              <w:top w:w="140" w:type="dxa"/>
              <w:bottom w:w="140" w:type="dxa"/>
              <w:left w:w="140" w:type="dxa"/>
              <w:right w:w="140" w:type="dxa"/>
            </w:tcMar>
          </w:tcPr>
          <w:p>
            <w:pPr>
              <w:spacing w:before="0" w:after="0"/>
              <w:jc w:val="left"/>
            </w:pPr>
            <w:r>
              <w:rPr>
                <w:rFonts w:ascii="Arial" w:hAnsi="Arial"/>
                <w:b/>
                <w:color w:val="FFFFFF"/>
                <w:sz w:val="19"/>
              </w:rPr>
              <w:t>Functional Description</w:t>
            </w:r>
          </w:p>
        </w:tc>
      </w:tr>
      <w:tr>
        <w:tc>
          <w:tcPr>
            <w:tcW w:type="dxa" w:w="100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GET</w:t>
            </w:r>
          </w:p>
        </w:tc>
        <w:tc>
          <w:tcPr>
            <w:tcW w:type="dxa" w:w="302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/api/owners/dashboard</w:t>
            </w:r>
          </w:p>
        </w:tc>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None</w:t>
            </w:r>
          </w:p>
        </w:tc>
        <w:tc>
          <w:tcPr>
            <w:tcW w:type="dxa" w:w="158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OwnerDashboardResponse</w:t>
            </w:r>
          </w:p>
        </w:tc>
        <w:tc>
          <w:tcPr>
            <w:tcW w:type="dxa" w:w="172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Retrieves KPI counts: buildings, residents, revenue.</w:t>
            </w:r>
          </w:p>
        </w:tc>
      </w:tr>
      <w:tr>
        <w:tc>
          <w:tcPr>
            <w:tcW w:type="dxa" w:w="100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GET</w:t>
            </w:r>
          </w:p>
        </w:tc>
        <w:tc>
          <w:tcPr>
            <w:tcW w:type="dxa" w:w="302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/api/owners/buildings</w:t>
            </w:r>
          </w:p>
        </w:tc>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None</w:t>
            </w:r>
          </w:p>
        </w:tc>
        <w:tc>
          <w:tcPr>
            <w:tcW w:type="dxa" w:w="158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List&lt;BuildingResponse&gt;</w:t>
            </w:r>
          </w:p>
        </w:tc>
        <w:tc>
          <w:tcPr>
            <w:tcW w:type="dxa" w:w="172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Retrieves all buildings owned by current owner.</w:t>
            </w:r>
          </w:p>
        </w:tc>
      </w:tr>
      <w:tr>
        <w:tc>
          <w:tcPr>
            <w:tcW w:type="dxa" w:w="100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POST</w:t>
            </w:r>
          </w:p>
        </w:tc>
        <w:tc>
          <w:tcPr>
            <w:tcW w:type="dxa" w:w="302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/api/owners/buildings</w:t>
            </w:r>
          </w:p>
        </w:tc>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BuildingRequest</w:t>
            </w:r>
          </w:p>
        </w:tc>
        <w:tc>
          <w:tcPr>
            <w:tcW w:type="dxa" w:w="158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BuildingResponse</w:t>
            </w:r>
          </w:p>
        </w:tc>
        <w:tc>
          <w:tcPr>
            <w:tcW w:type="dxa" w:w="172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Registers a new building in the portfolio.</w:t>
            </w:r>
          </w:p>
        </w:tc>
      </w:tr>
      <w:tr>
        <w:tc>
          <w:tcPr>
            <w:tcW w:type="dxa" w:w="100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GET</w:t>
            </w:r>
          </w:p>
        </w:tc>
        <w:tc>
          <w:tcPr>
            <w:tcW w:type="dxa" w:w="302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/api/residents/owner</w:t>
            </w:r>
          </w:p>
        </w:tc>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None</w:t>
            </w:r>
          </w:p>
        </w:tc>
        <w:tc>
          <w:tcPr>
            <w:tcW w:type="dxa" w:w="158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List&lt;ResidentResponse&gt;</w:t>
            </w:r>
          </w:p>
        </w:tc>
        <w:tc>
          <w:tcPr>
            <w:tcW w:type="dxa" w:w="172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Retrieves all residents across owner buildings.</w:t>
            </w:r>
          </w:p>
        </w:tc>
      </w:tr>
      <w:tr>
        <w:tc>
          <w:tcPr>
            <w:tcW w:type="dxa" w:w="100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POST</w:t>
            </w:r>
          </w:p>
        </w:tc>
        <w:tc>
          <w:tcPr>
            <w:tcW w:type="dxa" w:w="302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/api/residents/invite</w:t>
            </w:r>
          </w:p>
        </w:tc>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InviteResidentRequest</w:t>
            </w:r>
          </w:p>
        </w:tc>
        <w:tc>
          <w:tcPr>
            <w:tcW w:type="dxa" w:w="158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ResidentResponse</w:t>
            </w:r>
          </w:p>
        </w:tc>
        <w:tc>
          <w:tcPr>
            <w:tcW w:type="dxa" w:w="172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Dispatches cryptographic email invite.</w:t>
            </w:r>
          </w:p>
        </w:tc>
      </w:tr>
      <w:tr>
        <w:tc>
          <w:tcPr>
            <w:tcW w:type="dxa" w:w="100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GET</w:t>
            </w:r>
          </w:p>
        </w:tc>
        <w:tc>
          <w:tcPr>
            <w:tcW w:type="dxa" w:w="302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/api/residents/invitations</w:t>
            </w:r>
          </w:p>
        </w:tc>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None</w:t>
            </w:r>
          </w:p>
        </w:tc>
        <w:tc>
          <w:tcPr>
            <w:tcW w:type="dxa" w:w="158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List&lt;InvitationResponse&gt;</w:t>
            </w:r>
          </w:p>
        </w:tc>
        <w:tc>
          <w:tcPr>
            <w:tcW w:type="dxa" w:w="172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Lists pending and historical resident invites.</w:t>
            </w:r>
          </w:p>
        </w:tc>
      </w:tr>
      <w:tr>
        <w:tc>
          <w:tcPr>
            <w:tcW w:type="dxa" w:w="100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POST</w:t>
            </w:r>
          </w:p>
        </w:tc>
        <w:tc>
          <w:tcPr>
            <w:tcW w:type="dxa" w:w="302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/api/usage/record</w:t>
            </w:r>
          </w:p>
        </w:tc>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RecordUsageRequest</w:t>
            </w:r>
          </w:p>
        </w:tc>
        <w:tc>
          <w:tcPr>
            <w:tcW w:type="dxa" w:w="158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UsageResponse</w:t>
            </w:r>
          </w:p>
        </w:tc>
        <w:tc>
          <w:tcPr>
            <w:tcW w:type="dxa" w:w="172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Logs meter readings with monotonic &amp; leak checks.</w:t>
            </w:r>
          </w:p>
        </w:tc>
      </w:tr>
      <w:tr>
        <w:tc>
          <w:tcPr>
            <w:tcW w:type="dxa" w:w="100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GET</w:t>
            </w:r>
          </w:p>
        </w:tc>
        <w:tc>
          <w:tcPr>
            <w:tcW w:type="dxa" w:w="302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/api/usage/owner</w:t>
            </w:r>
          </w:p>
        </w:tc>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?buildingId, ?cycleId</w:t>
            </w:r>
          </w:p>
        </w:tc>
        <w:tc>
          <w:tcPr>
            <w:tcW w:type="dxa" w:w="158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List&lt;UsageResponse&gt;</w:t>
            </w:r>
          </w:p>
        </w:tc>
        <w:tc>
          <w:tcPr>
            <w:tcW w:type="dxa" w:w="172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Fetches monthly meter logs for owner.</w:t>
            </w:r>
          </w:p>
        </w:tc>
      </w:tr>
      <w:tr>
        <w:tc>
          <w:tcPr>
            <w:tcW w:type="dxa" w:w="100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GET</w:t>
            </w:r>
          </w:p>
        </w:tc>
        <w:tc>
          <w:tcPr>
            <w:tcW w:type="dxa" w:w="302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/api/usage/comparison/{resId}</w:t>
            </w:r>
          </w:p>
        </w:tc>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?buildingId</w:t>
            </w:r>
          </w:p>
        </w:tc>
        <w:tc>
          <w:tcPr>
            <w:tcW w:type="dxa" w:w="158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UsageComparisonResponse</w:t>
            </w:r>
          </w:p>
        </w:tc>
        <w:tc>
          <w:tcPr>
            <w:tcW w:type="dxa" w:w="172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Compares apartment vs building average usage.</w:t>
            </w:r>
          </w:p>
        </w:tc>
      </w:tr>
      <w:tr>
        <w:tc>
          <w:tcPr>
            <w:tcW w:type="dxa" w:w="100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POST</w:t>
            </w:r>
          </w:p>
        </w:tc>
        <w:tc>
          <w:tcPr>
            <w:tcW w:type="dxa" w:w="302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/api/purchases</w:t>
            </w:r>
          </w:p>
        </w:tc>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PurchaseRequest</w:t>
            </w:r>
          </w:p>
        </w:tc>
        <w:tc>
          <w:tcPr>
            <w:tcW w:type="dxa" w:w="158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WaterPurchaseResponse</w:t>
            </w:r>
          </w:p>
        </w:tc>
        <w:tc>
          <w:tcPr>
            <w:tcW w:type="dxa" w:w="172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Records bulk water tanker purchase.</w:t>
            </w:r>
          </w:p>
        </w:tc>
      </w:tr>
      <w:tr>
        <w:tc>
          <w:tcPr>
            <w:tcW w:type="dxa" w:w="100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GET</w:t>
            </w:r>
          </w:p>
        </w:tc>
        <w:tc>
          <w:tcPr>
            <w:tcW w:type="dxa" w:w="302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/api/purchases/building/{bId}</w:t>
            </w:r>
          </w:p>
        </w:tc>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None</w:t>
            </w:r>
          </w:p>
        </w:tc>
        <w:tc>
          <w:tcPr>
            <w:tcW w:type="dxa" w:w="158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List&lt;WaterPurchaseResponse&gt;</w:t>
            </w:r>
          </w:p>
        </w:tc>
        <w:tc>
          <w:tcPr>
            <w:tcW w:type="dxa" w:w="172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Fetches historical purchases for a building.</w:t>
            </w:r>
          </w:p>
        </w:tc>
      </w:tr>
      <w:tr>
        <w:tc>
          <w:tcPr>
            <w:tcW w:type="dxa" w:w="100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GET</w:t>
            </w:r>
          </w:p>
        </w:tc>
        <w:tc>
          <w:tcPr>
            <w:tcW w:type="dxa" w:w="302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/api/billing-cycles/building/{bId}</w:t>
            </w:r>
          </w:p>
        </w:tc>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None</w:t>
            </w:r>
          </w:p>
        </w:tc>
        <w:tc>
          <w:tcPr>
            <w:tcW w:type="dxa" w:w="158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List&lt;BillingCycleResponse&gt;</w:t>
            </w:r>
          </w:p>
        </w:tc>
        <w:tc>
          <w:tcPr>
            <w:tcW w:type="dxa" w:w="172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Fetches all billing cycles for building.</w:t>
            </w:r>
          </w:p>
        </w:tc>
      </w:tr>
      <w:tr>
        <w:tc>
          <w:tcPr>
            <w:tcW w:type="dxa" w:w="100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POST</w:t>
            </w:r>
          </w:p>
        </w:tc>
        <w:tc>
          <w:tcPr>
            <w:tcW w:type="dxa" w:w="302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/api/billing-cycles</w:t>
            </w:r>
          </w:p>
        </w:tc>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CreateCycleRequest</w:t>
            </w:r>
          </w:p>
        </w:tc>
        <w:tc>
          <w:tcPr>
            <w:tcW w:type="dxa" w:w="158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BillingCycleResponse</w:t>
            </w:r>
          </w:p>
        </w:tc>
        <w:tc>
          <w:tcPr>
            <w:tcW w:type="dxa" w:w="172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Opens a new monthly billing cycle.</w:t>
            </w:r>
          </w:p>
        </w:tc>
      </w:tr>
      <w:tr>
        <w:tc>
          <w:tcPr>
            <w:tcW w:type="dxa" w:w="100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POST</w:t>
            </w:r>
          </w:p>
        </w:tc>
        <w:tc>
          <w:tcPr>
            <w:tcW w:type="dxa" w:w="302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/api/billing-cycles/{id}/finalize</w:t>
            </w:r>
          </w:p>
        </w:tc>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None</w:t>
            </w:r>
          </w:p>
        </w:tc>
        <w:tc>
          <w:tcPr>
            <w:tcW w:type="dxa" w:w="158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BillingCycleResponse</w:t>
            </w:r>
          </w:p>
        </w:tc>
        <w:tc>
          <w:tcPr>
            <w:tcW w:type="dxa" w:w="172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Executes batch bill calculation &amp; invoice generation.</w:t>
            </w:r>
          </w:p>
        </w:tc>
      </w:tr>
      <w:tr>
        <w:tc>
          <w:tcPr>
            <w:tcW w:type="dxa" w:w="100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GET</w:t>
            </w:r>
          </w:p>
        </w:tc>
        <w:tc>
          <w:tcPr>
            <w:tcW w:type="dxa" w:w="302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/api/invoices</w:t>
            </w:r>
          </w:p>
        </w:tc>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?bId, ?cycleId, ?status, ?q</w:t>
            </w:r>
          </w:p>
        </w:tc>
        <w:tc>
          <w:tcPr>
            <w:tcW w:type="dxa" w:w="158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InvoiceDashboardSummary</w:t>
            </w:r>
          </w:p>
        </w:tc>
        <w:tc>
          <w:tcPr>
            <w:tcW w:type="dxa" w:w="172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Retrieves 4 KPI metrics &amp; filtered invoices.</w:t>
            </w:r>
          </w:p>
        </w:tc>
      </w:tr>
      <w:tr>
        <w:tc>
          <w:tcPr>
            <w:tcW w:type="dxa" w:w="100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PUT</w:t>
            </w:r>
          </w:p>
        </w:tc>
        <w:tc>
          <w:tcPr>
            <w:tcW w:type="dxa" w:w="302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/api/invoices/{id}/status</w:t>
            </w:r>
          </w:p>
        </w:tc>
        <w:tc>
          <w:tcPr>
            <w:tcW w:type="dxa" w:w="2016"/>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?status=PAID/UNPAID</w:t>
            </w:r>
          </w:p>
        </w:tc>
        <w:tc>
          <w:tcPr>
            <w:tcW w:type="dxa" w:w="1584"/>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BillResponse</w:t>
            </w:r>
          </w:p>
        </w:tc>
        <w:tc>
          <w:tcPr>
            <w:tcW w:type="dxa" w:w="1728"/>
            <w:shd w:fill="F8FBFB"/>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Toggles bill status and generates payment receipt.</w:t>
            </w:r>
          </w:p>
        </w:tc>
      </w:tr>
      <w:tr>
        <w:tc>
          <w:tcPr>
            <w:tcW w:type="dxa" w:w="100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GET</w:t>
            </w:r>
          </w:p>
        </w:tc>
        <w:tc>
          <w:tcPr>
            <w:tcW w:type="dxa" w:w="302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/api/invoices/{id}/pdf</w:t>
            </w:r>
          </w:p>
        </w:tc>
        <w:tc>
          <w:tcPr>
            <w:tcW w:type="dxa" w:w="2016"/>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None</w:t>
            </w:r>
          </w:p>
        </w:tc>
        <w:tc>
          <w:tcPr>
            <w:tcW w:type="dxa" w:w="1584"/>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InputStreamResource (PDF)</w:t>
            </w:r>
          </w:p>
        </w:tc>
        <w:tc>
          <w:tcPr>
            <w:tcW w:type="dxa" w:w="1728"/>
            <w:shd w:fill="FFFFFF"/>
            <w:tcMar>
              <w:top w:w="100" w:type="dxa"/>
              <w:bottom w:w="100" w:type="dxa"/>
              <w:left w:w="140" w:type="dxa"/>
              <w:right w:w="140" w:type="dxa"/>
            </w:tcMar>
            <w:tcBorders>
              <w:top w:val="single" w:sz="4" w:space="0" w:color="CAE9EA"/>
              <w:left w:val="none"/>
              <w:bottom w:val="single" w:sz="4" w:space="0" w:color="CAE9EA"/>
              <w:right w:val="none"/>
            </w:tcBorders>
          </w:tcPr>
          <w:p>
            <w:pPr>
              <w:spacing w:before="0" w:after="0"/>
              <w:jc w:val="left"/>
            </w:pPr>
            <w:r>
              <w:rPr>
                <w:rFonts w:ascii="Arial" w:hAnsi="Arial"/>
                <w:color w:val="212529"/>
                <w:sz w:val="18"/>
              </w:rPr>
              <w:t>Downloads official PDF water invoice / receipt.</w:t>
            </w:r>
          </w:p>
        </w:tc>
      </w:tr>
    </w:tbl>
    <w:p>
      <w:pPr>
        <w:spacing w:after="120"/>
      </w:pPr>
    </w:p>
    <w:p>
      <w:pPr>
        <w:keepNext/>
        <w:spacing w:before="360" w:after="160"/>
      </w:pPr>
      <w:r>
        <w:rPr>
          <w:rFonts w:ascii="Arial" w:hAnsi="Arial"/>
          <w:b/>
          <w:color w:val="005F73"/>
          <w:sz w:val="36"/>
        </w:rPr>
        <w:t>13. Frontend UI Architecture &amp; Component Hierarchy</w:t>
      </w:r>
    </w:p>
    <w:p>
      <w:pPr>
        <w:spacing w:before="0" w:after="120" w:line="276" w:lineRule="auto"/>
      </w:pPr>
      <w:r>
        <w:rPr>
          <w:rFonts w:ascii="Arial" w:hAnsi="Arial"/>
          <w:color w:val="212529"/>
          <w:sz w:val="20"/>
        </w:rPr>
        <w:t>The client application is built with React 19 and Vite 6, using a modular Single Page Application (SPA) structure styled with custom Bootstrap 5 glassmorphism themes.</w:t>
      </w:r>
    </w:p>
    <w:p>
      <w:pPr>
        <w:keepNext/>
        <w:spacing w:before="280" w:after="120"/>
      </w:pPr>
      <w:r>
        <w:rPr>
          <w:rFonts w:ascii="Arial" w:hAnsi="Arial"/>
          <w:b/>
          <w:color w:val="0A9396"/>
          <w:sz w:val="28"/>
        </w:rPr>
        <w:t>13.1 Building Owner Route &amp; Component Hierarchy</w:t>
      </w:r>
    </w:p>
    <w:p>
      <w:pPr>
        <w:pStyle w:val="ListBullet"/>
        <w:spacing w:before="0" w:after="80" w:line="276" w:lineRule="auto"/>
      </w:pPr>
      <w:r>
        <w:rPr>
          <w:rFonts w:ascii="Arial" w:hAnsi="Arial"/>
          <w:b/>
          <w:color w:val="212529"/>
          <w:sz w:val="20"/>
        </w:rPr>
        <w:t xml:space="preserve">1. Executive Dashboard: </w:t>
      </w:r>
      <w:r>
        <w:rPr>
          <w:rFonts w:ascii="Arial" w:hAnsi="Arial"/>
          <w:color w:val="212529"/>
          <w:sz w:val="20"/>
        </w:rPr>
        <w:t>`OwnerDashboard.jsx`: Executive overview featuring 4 metric stat cards, quick operation action cards, and immediate links to water meter logs, billing control, and invoices.</w:t>
      </w:r>
    </w:p>
    <w:p>
      <w:pPr>
        <w:pStyle w:val="ListBullet"/>
        <w:spacing w:before="0" w:after="80" w:line="276" w:lineRule="auto"/>
      </w:pPr>
      <w:r>
        <w:rPr>
          <w:rFonts w:ascii="Arial" w:hAnsi="Arial"/>
          <w:b/>
          <w:color w:val="212529"/>
          <w:sz w:val="20"/>
        </w:rPr>
        <w:t xml:space="preserve">2. Buildings Portfolio: </w:t>
      </w:r>
      <w:r>
        <w:rPr>
          <w:rFonts w:ascii="Arial" w:hAnsi="Arial"/>
          <w:color w:val="212529"/>
          <w:sz w:val="20"/>
        </w:rPr>
        <w:t>`OwnerBuildingsPage.jsx`: Building portfolio grid with apartment capacity tracking, building code management, and creation modal.</w:t>
      </w:r>
    </w:p>
    <w:p>
      <w:pPr>
        <w:pStyle w:val="ListBullet"/>
        <w:spacing w:before="0" w:after="80" w:line="276" w:lineRule="auto"/>
      </w:pPr>
      <w:r>
        <w:rPr>
          <w:rFonts w:ascii="Arial" w:hAnsi="Arial"/>
          <w:b/>
          <w:color w:val="212529"/>
          <w:sz w:val="20"/>
        </w:rPr>
        <w:t xml:space="preserve">3. Resident Management: </w:t>
      </w:r>
      <w:r>
        <w:rPr>
          <w:rFonts w:ascii="Arial" w:hAnsi="Arial"/>
          <w:color w:val="212529"/>
          <w:sz w:val="20"/>
        </w:rPr>
        <w:t>`OwnerResidentsPage.jsx`: Roster table with invitation status pills (`PENDING`, `ACCEPTED`), search filters, and new resident invitation modal.</w:t>
      </w:r>
    </w:p>
    <w:p>
      <w:pPr>
        <w:pStyle w:val="ListBullet"/>
        <w:spacing w:before="0" w:after="80" w:line="276" w:lineRule="auto"/>
      </w:pPr>
      <w:r>
        <w:rPr>
          <w:rFonts w:ascii="Arial" w:hAnsi="Arial"/>
          <w:b/>
          <w:color w:val="212529"/>
          <w:sz w:val="20"/>
        </w:rPr>
        <w:t xml:space="preserve">4. Water Usage Logs: </w:t>
      </w:r>
      <w:r>
        <w:rPr>
          <w:rFonts w:ascii="Arial" w:hAnsi="Arial"/>
          <w:color w:val="212529"/>
          <w:sz w:val="20"/>
        </w:rPr>
        <w:t>`OwnerUsagePage.jsx`: Meter reading entry form with live consumption difference preview, previous reading lookup, and historical consumption table.</w:t>
      </w:r>
    </w:p>
    <w:p>
      <w:pPr>
        <w:pStyle w:val="ListBullet"/>
        <w:spacing w:before="0" w:after="80" w:line="276" w:lineRule="auto"/>
      </w:pPr>
      <w:r>
        <w:rPr>
          <w:rFonts w:ascii="Arial" w:hAnsi="Arial"/>
          <w:b/>
          <w:color w:val="212529"/>
          <w:sz w:val="20"/>
        </w:rPr>
        <w:t xml:space="preserve">5. Usage Comparison: </w:t>
      </w:r>
      <w:r>
        <w:rPr>
          <w:rFonts w:ascii="Arial" w:hAnsi="Arial"/>
          <w:color w:val="212529"/>
          <w:sz w:val="20"/>
        </w:rPr>
        <w:t>`OwnerUsageComparisonPage.jsx`: Visual benchmarking dashboard displaying apartment vs building median consumption charts.</w:t>
      </w:r>
    </w:p>
    <w:p>
      <w:pPr>
        <w:pStyle w:val="ListBullet"/>
        <w:spacing w:before="0" w:after="80" w:line="276" w:lineRule="auto"/>
      </w:pPr>
      <w:r>
        <w:rPr>
          <w:rFonts w:ascii="Arial" w:hAnsi="Arial"/>
          <w:b/>
          <w:color w:val="212529"/>
          <w:sz w:val="20"/>
        </w:rPr>
        <w:t xml:space="preserve">6. Monthly Bills Control: </w:t>
      </w:r>
      <w:r>
        <w:rPr>
          <w:rFonts w:ascii="Arial" w:hAnsi="Arial"/>
          <w:color w:val="212529"/>
          <w:sz w:val="20"/>
        </w:rPr>
        <w:t>`OwnerBillingPage.jsx`: Multi-tab billing control center managing Billing Cycles, Bulk Water Tanker Purchases, and Dynamic Tariff calculation preview.</w:t>
      </w:r>
    </w:p>
    <w:p>
      <w:pPr>
        <w:pStyle w:val="ListBullet"/>
        <w:spacing w:before="0" w:after="80" w:line="276" w:lineRule="auto"/>
      </w:pPr>
      <w:r>
        <w:rPr>
          <w:rFonts w:ascii="Arial" w:hAnsi="Arial"/>
          <w:b/>
          <w:color w:val="212529"/>
          <w:sz w:val="20"/>
        </w:rPr>
        <w:t xml:space="preserve">7. Invoices Governance: </w:t>
      </w:r>
      <w:r>
        <w:rPr>
          <w:rFonts w:ascii="Arial" w:hAnsi="Arial"/>
          <w:color w:val="212529"/>
          <w:sz w:val="20"/>
        </w:rPr>
        <w:t>`InvoicesPage.jsx`: Comprehensive apartment invoices dashboard with 4 KPI summary cards (Total Billed, Paid, Unpaid, Average), cycle &amp; apartment dropdown filters, 3-tier itemized charge breakdown modal, one-click payment toggle, and PDF statement download.</w:t>
      </w:r>
    </w:p>
    <w:p>
      <w:pPr>
        <w:keepNext/>
        <w:spacing w:before="360" w:after="160"/>
      </w:pPr>
      <w:r>
        <w:rPr>
          <w:rFonts w:ascii="Arial" w:hAnsi="Arial"/>
          <w:b/>
          <w:color w:val="005F73"/>
          <w:sz w:val="36"/>
        </w:rPr>
        <w:t>14. System Verification &amp; Test Traceability</w:t>
      </w:r>
    </w:p>
    <w:p>
      <w:pPr>
        <w:spacing w:before="0" w:after="120" w:line="276" w:lineRule="auto"/>
      </w:pPr>
      <w:r>
        <w:rPr>
          <w:rFonts w:ascii="Arial" w:hAnsi="Arial"/>
          <w:color w:val="212529"/>
          <w:sz w:val="20"/>
        </w:rPr>
        <w:t>The Building Owner subsystem has been comprehensively verified across unit, integration, and end-to-end API tests:</w:t>
      </w:r>
    </w:p>
    <w:p>
      <w:pPr>
        <w:pStyle w:val="ListBullet"/>
        <w:spacing w:before="0" w:after="80" w:line="276" w:lineRule="auto"/>
      </w:pPr>
      <w:r>
        <w:rPr>
          <w:rFonts w:ascii="Arial" w:hAnsi="Arial"/>
          <w:b/>
          <w:color w:val="212529"/>
          <w:sz w:val="20"/>
        </w:rPr>
        <w:t xml:space="preserve">Database Verification: </w:t>
      </w:r>
      <w:r>
        <w:rPr>
          <w:rFonts w:ascii="Arial" w:hAnsi="Arial"/>
          <w:color w:val="212529"/>
          <w:sz w:val="20"/>
        </w:rPr>
        <w:t>MySQL 8.0 local database configured with persistent ACID storage (`smart_water`).</w:t>
      </w:r>
    </w:p>
    <w:p>
      <w:pPr>
        <w:pStyle w:val="ListBullet"/>
        <w:spacing w:before="0" w:after="80" w:line="276" w:lineRule="auto"/>
      </w:pPr>
      <w:r>
        <w:rPr>
          <w:rFonts w:ascii="Arial" w:hAnsi="Arial"/>
          <w:b/>
          <w:color w:val="212529"/>
          <w:sz w:val="20"/>
        </w:rPr>
        <w:t xml:space="preserve">Backend Verification: </w:t>
      </w:r>
      <w:r>
        <w:rPr>
          <w:rFonts w:ascii="Arial" w:hAnsi="Arial"/>
          <w:color w:val="212529"/>
          <w:sz w:val="20"/>
        </w:rPr>
        <w:t>Spring Boot 3.2.5 compiled cleanly with zero errors across all 84 Java source files. All REST controllers verified via PowerShell and curl.</w:t>
      </w:r>
    </w:p>
    <w:p>
      <w:pPr>
        <w:pStyle w:val="ListBullet"/>
        <w:spacing w:before="0" w:after="80" w:line="276" w:lineRule="auto"/>
      </w:pPr>
      <w:r>
        <w:rPr>
          <w:rFonts w:ascii="Arial" w:hAnsi="Arial"/>
          <w:b/>
          <w:color w:val="212529"/>
          <w:sz w:val="20"/>
        </w:rPr>
        <w:t xml:space="preserve">Frontend Verification: </w:t>
      </w:r>
      <w:r>
        <w:rPr>
          <w:rFonts w:ascii="Arial" w:hAnsi="Arial"/>
          <w:color w:val="212529"/>
          <w:sz w:val="20"/>
        </w:rPr>
        <w:t>Vite production build bundled 713 modules successfully into optimized production chunks.</w:t>
      </w:r>
    </w:p>
    <w:p>
      <w:pPr>
        <w:pStyle w:val="ListBullet"/>
        <w:spacing w:before="0" w:after="80" w:line="276" w:lineRule="auto"/>
      </w:pPr>
      <w:r>
        <w:rPr>
          <w:rFonts w:ascii="Arial" w:hAnsi="Arial"/>
          <w:b/>
          <w:color w:val="212529"/>
          <w:sz w:val="20"/>
        </w:rPr>
        <w:t xml:space="preserve">E2E Automated Verification: </w:t>
      </w:r>
      <w:r>
        <w:rPr>
          <w:rFonts w:ascii="Arial" w:hAnsi="Arial"/>
          <w:color w:val="212529"/>
          <w:sz w:val="20"/>
        </w:rPr>
        <w:t>Automated scripts tested owner authentication, invoice KPI calculations (₹110.00 Billed, ₹0.00 Paid, ₹110.00 Unpaid), status toggling (`UNPAID` -&gt; `PAID` -&gt; `UNPAID`), and dynamic PDF generation.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