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C83A6" w14:textId="77777777" w:rsidR="007D72C2" w:rsidRPr="00CB4CD4" w:rsidRDefault="00A537D1">
      <w:pPr>
        <w:pStyle w:val="Title"/>
        <w:jc w:val="center"/>
        <w:rPr>
          <w:rFonts w:ascii="Arial" w:hAnsi="Arial" w:cs="Arial"/>
          <w:color w:val="000000" w:themeColor="text1"/>
          <w:sz w:val="44"/>
          <w:szCs w:val="44"/>
        </w:rPr>
      </w:pPr>
      <w:r w:rsidRPr="00CB4CD4">
        <w:rPr>
          <w:rFonts w:ascii="Arial" w:hAnsi="Arial" w:cs="Arial"/>
          <w:color w:val="000000" w:themeColor="text1"/>
          <w:sz w:val="44"/>
          <w:szCs w:val="44"/>
        </w:rPr>
        <w:t>Business Summary Report: Predictive Insights for Collections Strategy</w:t>
      </w:r>
    </w:p>
    <w:p w14:paraId="60F471FE" w14:textId="1F859350" w:rsidR="007D72C2" w:rsidRDefault="00A537D1" w:rsidP="007A2900">
      <w:pPr>
        <w:pStyle w:val="Heading1"/>
        <w:spacing w:after="240"/>
        <w:rPr>
          <w:rFonts w:ascii="Arial" w:hAnsi="Arial" w:cs="Arial"/>
          <w:color w:val="000000" w:themeColor="text1"/>
        </w:rPr>
      </w:pPr>
      <w:r w:rsidRPr="00A537D1">
        <w:rPr>
          <w:rFonts w:ascii="Arial" w:hAnsi="Arial" w:cs="Arial"/>
          <w:color w:val="000000" w:themeColor="text1"/>
        </w:rPr>
        <w:t>1. Summary of Predictive Insights</w:t>
      </w:r>
    </w:p>
    <w:tbl>
      <w:tblPr>
        <w:tblStyle w:val="GridTable4-Accent2"/>
        <w:tblW w:w="9782" w:type="dxa"/>
        <w:tblInd w:w="-318" w:type="dxa"/>
        <w:tblLook w:val="04A0" w:firstRow="1" w:lastRow="0" w:firstColumn="1" w:lastColumn="0" w:noHBand="0" w:noVBand="1"/>
      </w:tblPr>
      <w:tblGrid>
        <w:gridCol w:w="2836"/>
        <w:gridCol w:w="2552"/>
        <w:gridCol w:w="1701"/>
        <w:gridCol w:w="2693"/>
      </w:tblGrid>
      <w:tr w:rsidR="008B4DCE" w:rsidRPr="007A2900" w14:paraId="06BC9F6C" w14:textId="77777777" w:rsidTr="008B4D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vAlign w:val="center"/>
          </w:tcPr>
          <w:p w14:paraId="2F0906A7" w14:textId="64077179" w:rsidR="00BA7AAF" w:rsidRPr="007A2900" w:rsidRDefault="00BA7AAF" w:rsidP="00BA7AAF">
            <w:pPr>
              <w:jc w:val="center"/>
              <w:rPr>
                <w:rFonts w:ascii="Arial" w:hAnsi="Arial" w:cs="Arial"/>
                <w:color w:val="000000" w:themeColor="text1"/>
              </w:rPr>
            </w:pPr>
            <w:r w:rsidRPr="00361168">
              <w:t>Key Insight</w:t>
            </w:r>
          </w:p>
        </w:tc>
        <w:tc>
          <w:tcPr>
            <w:tcW w:w="2552" w:type="dxa"/>
          </w:tcPr>
          <w:p w14:paraId="351DBD3C" w14:textId="77777777" w:rsidR="00BA7AAF" w:rsidRPr="007A2900" w:rsidRDefault="00BA7AAF" w:rsidP="00BA7AAF">
            <w:pPr>
              <w:jc w:val="center"/>
              <w:cnfStyle w:val="100000000000" w:firstRow="1" w:lastRow="0" w:firstColumn="0" w:lastColumn="0" w:oddVBand="0" w:evenVBand="0" w:oddHBand="0" w:evenHBand="0" w:firstRowFirstColumn="0" w:firstRowLastColumn="0" w:lastRowFirstColumn="0" w:lastRowLastColumn="0"/>
              <w:rPr>
                <w:b w:val="0"/>
                <w:bCs w:val="0"/>
              </w:rPr>
            </w:pPr>
            <w:r w:rsidRPr="00361168">
              <w:t xml:space="preserve">Customer </w:t>
            </w:r>
          </w:p>
          <w:p w14:paraId="0850FB08" w14:textId="52AF9616" w:rsidR="00BA7AAF" w:rsidRPr="007A2900" w:rsidRDefault="00BA7AAF" w:rsidP="00BA7AA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361168">
              <w:t>Segment</w:t>
            </w:r>
          </w:p>
        </w:tc>
        <w:tc>
          <w:tcPr>
            <w:tcW w:w="1701" w:type="dxa"/>
            <w:vAlign w:val="center"/>
          </w:tcPr>
          <w:p w14:paraId="25BB0486" w14:textId="0F465681" w:rsidR="00BA7AAF" w:rsidRPr="007A2900" w:rsidRDefault="00BA7AAF" w:rsidP="00BA7AA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361168">
              <w:t>Influencing</w:t>
            </w:r>
            <w:r w:rsidRPr="007A2900">
              <w:t xml:space="preserve"> </w:t>
            </w:r>
            <w:r w:rsidRPr="00361168">
              <w:t>Variables</w:t>
            </w:r>
          </w:p>
        </w:tc>
        <w:tc>
          <w:tcPr>
            <w:tcW w:w="2693" w:type="dxa"/>
            <w:vAlign w:val="center"/>
          </w:tcPr>
          <w:p w14:paraId="12A95F60" w14:textId="06FB2507" w:rsidR="00BA7AAF" w:rsidRPr="007A2900" w:rsidRDefault="00BA7AAF" w:rsidP="00BA7AA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361168">
              <w:t>Potential Impact</w:t>
            </w:r>
          </w:p>
        </w:tc>
      </w:tr>
      <w:tr w:rsidR="00BA7AAF" w:rsidRPr="007A2900" w14:paraId="181E10B2" w14:textId="77777777" w:rsidTr="007A2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0D3CB8E5" w14:textId="4C7C0B16" w:rsidR="00BA7AAF" w:rsidRPr="007A2900" w:rsidRDefault="00BA7AAF" w:rsidP="007A2900">
            <w:pPr>
              <w:pStyle w:val="NoSpacing"/>
              <w:rPr>
                <w:rFonts w:ascii="Arial" w:hAnsi="Arial" w:cs="Arial"/>
                <w:color w:val="000000" w:themeColor="text1"/>
              </w:rPr>
            </w:pPr>
            <w:r w:rsidRPr="007A2900">
              <w:t>A small group of customers are at high risk for missing payments even if their credit scores seem okay. This goes against the common belief that credit scores are the only thing that matters.</w:t>
            </w:r>
          </w:p>
        </w:tc>
        <w:tc>
          <w:tcPr>
            <w:tcW w:w="2552" w:type="dxa"/>
          </w:tcPr>
          <w:p w14:paraId="6D8DE7AE" w14:textId="7375101B" w:rsidR="00BA7AAF" w:rsidRPr="007A2900" w:rsidRDefault="00BA7AAF" w:rsidP="007A290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7A2900">
              <w:t>Customers who show a high chance of missing payments, like those on the top of our risk list. (e.g., CUST0159, CUST0478).</w:t>
            </w:r>
          </w:p>
        </w:tc>
        <w:tc>
          <w:tcPr>
            <w:tcW w:w="1701" w:type="dxa"/>
          </w:tcPr>
          <w:p w14:paraId="77FDEAC7" w14:textId="2961AF7F" w:rsidR="00BA7AAF" w:rsidRPr="007A2900" w:rsidRDefault="00BA7AAF" w:rsidP="007A290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7A2900">
              <w:t>How much of their available credit they are using, and their past history of missed payments.</w:t>
            </w:r>
          </w:p>
        </w:tc>
        <w:tc>
          <w:tcPr>
            <w:tcW w:w="2693" w:type="dxa"/>
          </w:tcPr>
          <w:p w14:paraId="6324DC23" w14:textId="4134C50B" w:rsidR="00BA7AAF" w:rsidRPr="007A2900" w:rsidRDefault="00BA7AAF" w:rsidP="007A290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7A2900">
              <w:t>The collections team can focus on a new group of at-risk people, instead of just those with low credit scores. This helps find hidden risks and be more proactive.</w:t>
            </w:r>
          </w:p>
        </w:tc>
      </w:tr>
      <w:tr w:rsidR="00BA7AAF" w:rsidRPr="007A2900" w14:paraId="33B8CB4F" w14:textId="77777777" w:rsidTr="007A2900">
        <w:tc>
          <w:tcPr>
            <w:cnfStyle w:val="001000000000" w:firstRow="0" w:lastRow="0" w:firstColumn="1" w:lastColumn="0" w:oddVBand="0" w:evenVBand="0" w:oddHBand="0" w:evenHBand="0" w:firstRowFirstColumn="0" w:firstRowLastColumn="0" w:lastRowFirstColumn="0" w:lastRowLastColumn="0"/>
            <w:tcW w:w="2836" w:type="dxa"/>
          </w:tcPr>
          <w:p w14:paraId="5473384E" w14:textId="454AED10" w:rsidR="00BA7AAF" w:rsidRPr="007A2900" w:rsidRDefault="00BA7AAF" w:rsidP="007A2900">
            <w:pPr>
              <w:pStyle w:val="NoSpacing"/>
              <w:rPr>
                <w:rFonts w:ascii="Arial" w:hAnsi="Arial" w:cs="Arial"/>
                <w:color w:val="000000" w:themeColor="text1"/>
              </w:rPr>
            </w:pPr>
            <w:r w:rsidRPr="007A2900">
              <w:t>The rate of missed payments is higher in some cities than others.</w:t>
            </w:r>
          </w:p>
        </w:tc>
        <w:tc>
          <w:tcPr>
            <w:tcW w:w="2552" w:type="dxa"/>
          </w:tcPr>
          <w:p w14:paraId="6343F8A7" w14:textId="3AE5C052" w:rsidR="00BA7AAF" w:rsidRPr="007A2900" w:rsidRDefault="00BA7AAF" w:rsidP="007A290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7A2900">
              <w:t>Customers residing in Los Angeles (19%) and Houston (17%) have a higher base risk of delinquency than those in New York (12.5%) and Chicago (13%).</w:t>
            </w:r>
          </w:p>
        </w:tc>
        <w:tc>
          <w:tcPr>
            <w:tcW w:w="1701" w:type="dxa"/>
          </w:tcPr>
          <w:p w14:paraId="41A70339" w14:textId="377A39C7" w:rsidR="00BA7AAF" w:rsidRPr="007A2900" w:rsidRDefault="00BA7AAF" w:rsidP="007A290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7A2900">
              <w:t>Where</w:t>
            </w:r>
            <w:r w:rsidR="008B4DCE" w:rsidRPr="007A2900">
              <w:t xml:space="preserve"> </w:t>
            </w:r>
            <w:r w:rsidRPr="007A2900">
              <w:t>a customer lives.</w:t>
            </w:r>
          </w:p>
        </w:tc>
        <w:tc>
          <w:tcPr>
            <w:tcW w:w="2693" w:type="dxa"/>
          </w:tcPr>
          <w:p w14:paraId="783B1E62" w14:textId="25052D82" w:rsidR="00BA7AAF" w:rsidRPr="007A2900" w:rsidRDefault="00BA7AAF" w:rsidP="007A290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7A2900">
              <w:t>The collections team can give more attention to customers in higher-risk areas, making their efforts more efficient and targeted.</w:t>
            </w:r>
          </w:p>
          <w:p w14:paraId="3F337268" w14:textId="77777777" w:rsidR="00BA7AAF" w:rsidRPr="007A2900" w:rsidRDefault="00BA7AAF" w:rsidP="007A290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A7AAF" w:rsidRPr="007A2900" w14:paraId="44144613" w14:textId="77777777" w:rsidTr="007A2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535C7322" w14:textId="06D3ADD0" w:rsidR="00BA7AAF" w:rsidRPr="007A2900" w:rsidRDefault="00BA7AAF" w:rsidP="007A2900">
            <w:pPr>
              <w:pStyle w:val="NoSpacing"/>
              <w:rPr>
                <w:rFonts w:ascii="Arial" w:hAnsi="Arial" w:cs="Arial"/>
                <w:color w:val="000000" w:themeColor="text1"/>
              </w:rPr>
            </w:pPr>
            <w:r w:rsidRPr="007A2900">
              <w:t>People who have missed a few payments are just as likely to miss more as those who have missed many.</w:t>
            </w:r>
          </w:p>
        </w:tc>
        <w:tc>
          <w:tcPr>
            <w:tcW w:w="2552" w:type="dxa"/>
          </w:tcPr>
          <w:p w14:paraId="1CB9CC99" w14:textId="5837A90C" w:rsidR="00BA7AAF" w:rsidRPr="007A2900" w:rsidRDefault="00BA7AAF" w:rsidP="007A290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A2900">
              <w:t>Customers who have a moderate number of missed payments are also flagged as high-risk.</w:t>
            </w:r>
          </w:p>
        </w:tc>
        <w:tc>
          <w:tcPr>
            <w:tcW w:w="1701" w:type="dxa"/>
          </w:tcPr>
          <w:p w14:paraId="1EEADCFB" w14:textId="6A5D0B7F" w:rsidR="00BA7AAF" w:rsidRPr="007A2900" w:rsidRDefault="00BA7AAF" w:rsidP="007A290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7A2900">
              <w:t>The combination of a person's financial details, not just a simple count of missed payments.</w:t>
            </w:r>
          </w:p>
        </w:tc>
        <w:tc>
          <w:tcPr>
            <w:tcW w:w="2693" w:type="dxa"/>
          </w:tcPr>
          <w:p w14:paraId="332C4308" w14:textId="53BEE08E" w:rsidR="00BA7AAF" w:rsidRPr="007A2900" w:rsidRDefault="00BA7AAF" w:rsidP="007A290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7A2900">
              <w:t>The team can find a wider range of at-risk customers, not just the most obvious ones. This allows them to step in earlier to prevent more problems.</w:t>
            </w:r>
          </w:p>
        </w:tc>
      </w:tr>
      <w:tr w:rsidR="00BA7AAF" w:rsidRPr="007A2900" w14:paraId="2A1F11E1" w14:textId="77777777" w:rsidTr="007A2900">
        <w:tc>
          <w:tcPr>
            <w:cnfStyle w:val="001000000000" w:firstRow="0" w:lastRow="0" w:firstColumn="1" w:lastColumn="0" w:oddVBand="0" w:evenVBand="0" w:oddHBand="0" w:evenHBand="0" w:firstRowFirstColumn="0" w:firstRowLastColumn="0" w:lastRowFirstColumn="0" w:lastRowLastColumn="0"/>
            <w:tcW w:w="2836" w:type="dxa"/>
          </w:tcPr>
          <w:p w14:paraId="58D11B45" w14:textId="4CBA6D5D" w:rsidR="00BA7AAF" w:rsidRPr="007A2900" w:rsidRDefault="00BA7AAF" w:rsidP="007A2900">
            <w:pPr>
              <w:pStyle w:val="NoSpacing"/>
              <w:rPr>
                <w:rFonts w:ascii="Arial" w:hAnsi="Arial" w:cs="Arial"/>
                <w:color w:val="000000" w:themeColor="text1"/>
              </w:rPr>
            </w:pPr>
            <w:r w:rsidRPr="007A2900">
              <w:t>We can pinpoint a small, specific group of customers who are most likely to miss payments.</w:t>
            </w:r>
          </w:p>
        </w:tc>
        <w:tc>
          <w:tcPr>
            <w:tcW w:w="2552" w:type="dxa"/>
          </w:tcPr>
          <w:p w14:paraId="69101422" w14:textId="22B95859" w:rsidR="00BA7AAF" w:rsidRPr="007A2900" w:rsidRDefault="00BA7AAF" w:rsidP="007A290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7A2900">
              <w:t>The top 10 to 20 customers on our risk list.</w:t>
            </w:r>
          </w:p>
        </w:tc>
        <w:tc>
          <w:tcPr>
            <w:tcW w:w="1701" w:type="dxa"/>
          </w:tcPr>
          <w:p w14:paraId="28E15609" w14:textId="3991F96B" w:rsidR="00BA7AAF" w:rsidRPr="007A2900" w:rsidRDefault="00BA7AAF" w:rsidP="007A290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7A2900">
              <w:t>A combination of how much credit they use, their debt-to-income ratio, and other financial details.</w:t>
            </w:r>
          </w:p>
        </w:tc>
        <w:tc>
          <w:tcPr>
            <w:tcW w:w="2693" w:type="dxa"/>
          </w:tcPr>
          <w:p w14:paraId="67AE7082" w14:textId="72336EA3" w:rsidR="00BA7AAF" w:rsidRPr="007A2900" w:rsidRDefault="00BA7AAF" w:rsidP="007A290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7A2900">
              <w:t>The collections team can create a priority list for who to contact, making sure they use their time and resources on the people who need it most.</w:t>
            </w:r>
          </w:p>
        </w:tc>
      </w:tr>
      <w:tr w:rsidR="008B4DCE" w:rsidRPr="007A2900" w14:paraId="42A8D2BF" w14:textId="77777777" w:rsidTr="007A2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04FDB8BD" w14:textId="52C963C9" w:rsidR="00BA7AAF" w:rsidRPr="007A2900" w:rsidRDefault="00BA7AAF" w:rsidP="007A2900">
            <w:pPr>
              <w:pStyle w:val="NoSpacing"/>
              <w:rPr>
                <w:rFonts w:ascii="Arial" w:hAnsi="Arial" w:cs="Arial"/>
                <w:color w:val="000000" w:themeColor="text1"/>
              </w:rPr>
            </w:pPr>
            <w:r w:rsidRPr="007A2900">
              <w:t>Recent payment behavior is a strong clue for future risk.</w:t>
            </w:r>
          </w:p>
        </w:tc>
        <w:tc>
          <w:tcPr>
            <w:tcW w:w="2552" w:type="dxa"/>
          </w:tcPr>
          <w:p w14:paraId="14A4CF87" w14:textId="7288482A" w:rsidR="00BA7AAF" w:rsidRPr="007A2900" w:rsidRDefault="00BA7AAF" w:rsidP="007A290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7A2900">
              <w:t>Customers who have recently been "Late" or "Missed" payments in the last few months.</w:t>
            </w:r>
          </w:p>
        </w:tc>
        <w:tc>
          <w:tcPr>
            <w:tcW w:w="1701" w:type="dxa"/>
          </w:tcPr>
          <w:p w14:paraId="6C11C5D2" w14:textId="00DF03CD" w:rsidR="00BA7AAF" w:rsidRPr="007A2900" w:rsidRDefault="00BA7AAF" w:rsidP="007A290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7A2900">
              <w:t>The pattern of recent payments.</w:t>
            </w:r>
          </w:p>
          <w:p w14:paraId="11BA2F9C" w14:textId="77777777" w:rsidR="00BA7AAF" w:rsidRPr="007A2900" w:rsidRDefault="00BA7AAF" w:rsidP="007A290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93" w:type="dxa"/>
          </w:tcPr>
          <w:p w14:paraId="2EC124AD" w14:textId="086B5450" w:rsidR="00BA7AAF" w:rsidRPr="007A2900" w:rsidRDefault="00BA7AAF" w:rsidP="007A290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7A2900">
              <w:t>The collections team can set up an alert system to find customers who are starting to have trouble, so they can offer help before the situation gets worse.</w:t>
            </w:r>
          </w:p>
        </w:tc>
      </w:tr>
    </w:tbl>
    <w:p w14:paraId="32C3DE1C" w14:textId="3C5E80E9" w:rsidR="00CB4CD4" w:rsidRPr="007A2900" w:rsidRDefault="00A537D1" w:rsidP="007A2900">
      <w:pPr>
        <w:pStyle w:val="Heading1"/>
        <w:spacing w:after="240"/>
        <w:rPr>
          <w:rFonts w:ascii="Arial" w:hAnsi="Arial" w:cs="Arial"/>
          <w:color w:val="000000" w:themeColor="text1"/>
        </w:rPr>
      </w:pPr>
      <w:r w:rsidRPr="00A537D1">
        <w:rPr>
          <w:rFonts w:ascii="Arial" w:hAnsi="Arial" w:cs="Arial"/>
          <w:color w:val="000000" w:themeColor="text1"/>
        </w:rPr>
        <w:lastRenderedPageBreak/>
        <w:t>2. Recommendation Framework</w:t>
      </w:r>
    </w:p>
    <w:p w14:paraId="6DCA180F" w14:textId="778889F8" w:rsidR="00D606E7" w:rsidRPr="007A2900" w:rsidRDefault="00A537D1" w:rsidP="00CB4CD4">
      <w:pPr>
        <w:pStyle w:val="ListBullet"/>
        <w:rPr>
          <w:rFonts w:ascii="Arial" w:hAnsi="Arial" w:cs="Arial"/>
          <w:color w:val="000000" w:themeColor="text1"/>
        </w:rPr>
      </w:pPr>
      <w:r w:rsidRPr="007A2900">
        <w:rPr>
          <w:rFonts w:ascii="Arial" w:hAnsi="Arial" w:cs="Arial"/>
          <w:b/>
          <w:bCs/>
          <w:color w:val="000000" w:themeColor="text1"/>
        </w:rPr>
        <w:t>Restated Insight:</w:t>
      </w:r>
      <w:r w:rsidR="00D606E7" w:rsidRPr="007A2900">
        <w:rPr>
          <w:rFonts w:ascii="Arial" w:hAnsi="Arial" w:cs="Arial"/>
          <w:color w:val="000000" w:themeColor="text1"/>
        </w:rPr>
        <w:t xml:space="preserve"> A small group of customers, even with seemingly acceptable credit scores, are identified as being at high risk for delinquency, which challenges our standard risk assumptions.</w:t>
      </w:r>
    </w:p>
    <w:p w14:paraId="5A0058FC" w14:textId="77777777" w:rsidR="00CB4CD4" w:rsidRPr="007A2900" w:rsidRDefault="00CB4CD4" w:rsidP="00CB4CD4">
      <w:pPr>
        <w:pStyle w:val="ListBullet"/>
        <w:numPr>
          <w:ilvl w:val="0"/>
          <w:numId w:val="0"/>
        </w:numPr>
        <w:ind w:left="360"/>
        <w:rPr>
          <w:rFonts w:ascii="Arial" w:hAnsi="Arial" w:cs="Arial"/>
          <w:color w:val="000000" w:themeColor="text1"/>
        </w:rPr>
      </w:pPr>
    </w:p>
    <w:p w14:paraId="6AEAFD1C" w14:textId="1292DBDA" w:rsidR="00CB4CD4" w:rsidRPr="007A2900" w:rsidRDefault="00A537D1" w:rsidP="00CB4CD4">
      <w:pPr>
        <w:pStyle w:val="ListBullet"/>
        <w:rPr>
          <w:rFonts w:ascii="Arial" w:hAnsi="Arial" w:cs="Arial"/>
          <w:color w:val="000000" w:themeColor="text1"/>
        </w:rPr>
      </w:pPr>
      <w:r w:rsidRPr="007A2900">
        <w:rPr>
          <w:rFonts w:ascii="Arial" w:hAnsi="Arial" w:cs="Arial"/>
          <w:b/>
          <w:bCs/>
          <w:color w:val="000000" w:themeColor="text1"/>
        </w:rPr>
        <w:t>Proposed Recommendation:</w:t>
      </w:r>
    </w:p>
    <w:p w14:paraId="0692A7F5" w14:textId="77777777" w:rsidR="00CB4CD4" w:rsidRPr="007A2900" w:rsidRDefault="00A537D1" w:rsidP="00CB4CD4">
      <w:pPr>
        <w:pStyle w:val="ListBullet"/>
        <w:tabs>
          <w:tab w:val="num" w:pos="1897"/>
        </w:tabs>
        <w:ind w:left="720"/>
        <w:rPr>
          <w:rFonts w:ascii="Arial" w:hAnsi="Arial" w:cs="Arial"/>
        </w:rPr>
      </w:pPr>
      <w:r w:rsidRPr="007A2900">
        <w:rPr>
          <w:rFonts w:ascii="Arial" w:hAnsi="Arial" w:cs="Arial"/>
          <w:b/>
          <w:bCs/>
        </w:rPr>
        <w:t>Specific:</w:t>
      </w:r>
      <w:r w:rsidR="00D606E7" w:rsidRPr="007A2900">
        <w:rPr>
          <w:rFonts w:ascii="Arial" w:hAnsi="Arial" w:cs="Arial"/>
        </w:rPr>
        <w:t xml:space="preserve"> Create a prioritized collections list based on the top 20 customers with the highest predicted delinquency probability.</w:t>
      </w:r>
    </w:p>
    <w:p w14:paraId="463549AD" w14:textId="77777777" w:rsidR="00CB4CD4" w:rsidRPr="007A2900" w:rsidRDefault="00A537D1" w:rsidP="00CB4CD4">
      <w:pPr>
        <w:pStyle w:val="ListBullet"/>
        <w:tabs>
          <w:tab w:val="num" w:pos="1897"/>
        </w:tabs>
        <w:ind w:left="720"/>
        <w:rPr>
          <w:rFonts w:ascii="Arial" w:hAnsi="Arial" w:cs="Arial"/>
          <w:b/>
          <w:bCs/>
        </w:rPr>
      </w:pPr>
      <w:r w:rsidRPr="007A2900">
        <w:rPr>
          <w:rFonts w:ascii="Arial" w:hAnsi="Arial" w:cs="Arial"/>
          <w:b/>
          <w:bCs/>
        </w:rPr>
        <w:t>Measurable:</w:t>
      </w:r>
      <w:r w:rsidR="00D606E7" w:rsidRPr="007A2900">
        <w:rPr>
          <w:rFonts w:ascii="Arial" w:hAnsi="Arial" w:cs="Arial"/>
        </w:rPr>
        <w:t xml:space="preserve"> The success will be measured by a 15% reduction in the number of these customers becoming 90+ days delinquent over the next quarter.</w:t>
      </w:r>
      <w:r w:rsidRPr="007A2900">
        <w:rPr>
          <w:rFonts w:ascii="Arial" w:hAnsi="Arial" w:cs="Arial"/>
          <w:b/>
          <w:bCs/>
        </w:rPr>
        <w:t xml:space="preserve">  </w:t>
      </w:r>
    </w:p>
    <w:p w14:paraId="53608E1C" w14:textId="77777777" w:rsidR="00CB4CD4" w:rsidRPr="007A2900" w:rsidRDefault="00A537D1" w:rsidP="00CB4CD4">
      <w:pPr>
        <w:pStyle w:val="ListBullet"/>
        <w:tabs>
          <w:tab w:val="num" w:pos="1897"/>
        </w:tabs>
        <w:ind w:left="720"/>
        <w:rPr>
          <w:rFonts w:ascii="Arial" w:hAnsi="Arial" w:cs="Arial"/>
          <w:b/>
          <w:bCs/>
          <w:color w:val="000000" w:themeColor="text1"/>
        </w:rPr>
      </w:pPr>
      <w:r w:rsidRPr="007A2900">
        <w:rPr>
          <w:rFonts w:ascii="Arial" w:hAnsi="Arial" w:cs="Arial"/>
          <w:b/>
          <w:bCs/>
          <w:color w:val="000000" w:themeColor="text1"/>
        </w:rPr>
        <w:t>Actionable:</w:t>
      </w:r>
      <w:r w:rsidR="00D606E7" w:rsidRPr="007A2900">
        <w:rPr>
          <w:rFonts w:ascii="Arial" w:hAnsi="Arial" w:cs="Arial"/>
          <w:color w:val="000000" w:themeColor="text1"/>
        </w:rPr>
        <w:t xml:space="preserve"> </w:t>
      </w:r>
      <w:r w:rsidR="00D606E7" w:rsidRPr="007A2900">
        <w:rPr>
          <w:rFonts w:ascii="Arial" w:hAnsi="Arial" w:cs="Arial"/>
        </w:rPr>
        <w:t>The collections team will use this new list for proactive contact, rather than relying solely on traditional credit score metrics.</w:t>
      </w:r>
      <w:r w:rsidRPr="007A2900">
        <w:rPr>
          <w:rFonts w:ascii="Arial" w:hAnsi="Arial" w:cs="Arial"/>
          <w:b/>
          <w:bCs/>
          <w:color w:val="000000" w:themeColor="text1"/>
        </w:rPr>
        <w:t xml:space="preserve">  </w:t>
      </w:r>
    </w:p>
    <w:p w14:paraId="05A90F6F" w14:textId="77777777" w:rsidR="00CB4CD4" w:rsidRPr="007A2900" w:rsidRDefault="00A537D1" w:rsidP="00CB4CD4">
      <w:pPr>
        <w:pStyle w:val="ListBullet"/>
        <w:tabs>
          <w:tab w:val="num" w:pos="1897"/>
        </w:tabs>
        <w:ind w:left="720"/>
        <w:rPr>
          <w:rFonts w:ascii="Arial" w:hAnsi="Arial" w:cs="Arial"/>
        </w:rPr>
      </w:pPr>
      <w:r w:rsidRPr="007A2900">
        <w:rPr>
          <w:rFonts w:ascii="Arial" w:hAnsi="Arial" w:cs="Arial"/>
          <w:b/>
          <w:bCs/>
        </w:rPr>
        <w:t>Relevant:</w:t>
      </w:r>
      <w:r w:rsidR="00D606E7" w:rsidRPr="007A2900">
        <w:rPr>
          <w:rFonts w:ascii="Arial" w:hAnsi="Arial" w:cs="Arial"/>
        </w:rPr>
        <w:t xml:space="preserve"> This directly addresses the high-risk customer segment identified by the data and focuses resources on the most likely defaulters.</w:t>
      </w:r>
      <w:r w:rsidRPr="007A2900">
        <w:rPr>
          <w:rFonts w:ascii="Arial" w:hAnsi="Arial" w:cs="Arial"/>
        </w:rPr>
        <w:t xml:space="preserve">  </w:t>
      </w:r>
    </w:p>
    <w:p w14:paraId="5BFD19C6" w14:textId="2D0A77F7" w:rsidR="007D72C2" w:rsidRPr="007A2900" w:rsidRDefault="00A537D1" w:rsidP="00CB4CD4">
      <w:pPr>
        <w:pStyle w:val="ListBullet"/>
        <w:tabs>
          <w:tab w:val="num" w:pos="1897"/>
        </w:tabs>
        <w:ind w:left="720"/>
        <w:rPr>
          <w:rFonts w:ascii="Arial" w:hAnsi="Arial" w:cs="Arial"/>
        </w:rPr>
      </w:pPr>
      <w:r w:rsidRPr="007A2900">
        <w:rPr>
          <w:rFonts w:ascii="Arial" w:hAnsi="Arial" w:cs="Arial"/>
          <w:b/>
          <w:bCs/>
        </w:rPr>
        <w:t>Time-bound:</w:t>
      </w:r>
      <w:r w:rsidR="00D606E7" w:rsidRPr="007A2900">
        <w:rPr>
          <w:rFonts w:ascii="Arial" w:hAnsi="Arial" w:cs="Arial"/>
        </w:rPr>
        <w:t xml:space="preserve"> The new collections strategy will be implemented within one week, with performance measured at the end of the next quarter.</w:t>
      </w:r>
    </w:p>
    <w:p w14:paraId="10BE8E60" w14:textId="77777777" w:rsidR="00CB4CD4" w:rsidRPr="007A2900" w:rsidRDefault="00CB4CD4" w:rsidP="00CB4CD4">
      <w:pPr>
        <w:pStyle w:val="ListBullet"/>
        <w:numPr>
          <w:ilvl w:val="0"/>
          <w:numId w:val="0"/>
        </w:numPr>
        <w:ind w:left="720"/>
        <w:rPr>
          <w:rFonts w:ascii="Arial" w:hAnsi="Arial" w:cs="Arial"/>
        </w:rPr>
      </w:pPr>
    </w:p>
    <w:p w14:paraId="421CAE84" w14:textId="37138503" w:rsidR="00D606E7" w:rsidRPr="007A2900" w:rsidRDefault="00A537D1" w:rsidP="00D606E7">
      <w:pPr>
        <w:pStyle w:val="ListBullet"/>
        <w:rPr>
          <w:rFonts w:ascii="Arial" w:hAnsi="Arial" w:cs="Arial"/>
          <w:color w:val="000000" w:themeColor="text1"/>
        </w:rPr>
      </w:pPr>
      <w:r w:rsidRPr="007A2900">
        <w:rPr>
          <w:rFonts w:ascii="Arial" w:hAnsi="Arial" w:cs="Arial"/>
          <w:b/>
          <w:bCs/>
          <w:color w:val="000000" w:themeColor="text1"/>
        </w:rPr>
        <w:t>Justification and Business Rationale:</w:t>
      </w:r>
      <w:r w:rsidR="00D606E7" w:rsidRPr="007A2900">
        <w:rPr>
          <w:rFonts w:ascii="Arial" w:hAnsi="Arial" w:cs="Arial"/>
          <w:color w:val="000000" w:themeColor="text1"/>
        </w:rPr>
        <w:t xml:space="preserve"> By shifting from a reactive </w:t>
      </w:r>
      <w:proofErr w:type="gramStart"/>
      <w:r w:rsidR="00D606E7" w:rsidRPr="007A2900">
        <w:rPr>
          <w:rFonts w:ascii="Arial" w:hAnsi="Arial" w:cs="Arial"/>
          <w:color w:val="000000" w:themeColor="text1"/>
        </w:rPr>
        <w:t>collections</w:t>
      </w:r>
      <w:proofErr w:type="gramEnd"/>
      <w:r w:rsidR="00D606E7" w:rsidRPr="007A2900">
        <w:rPr>
          <w:rFonts w:ascii="Arial" w:hAnsi="Arial" w:cs="Arial"/>
          <w:color w:val="000000" w:themeColor="text1"/>
        </w:rPr>
        <w:t xml:space="preserve"> strategy based on old metrics to a proactive one using data-driven insights, we can prevent a significant number of defaults. This targeted approach is more efficient and will likely lead to reduced losses and improved portfolio health.</w:t>
      </w:r>
    </w:p>
    <w:p w14:paraId="4ECF14FE" w14:textId="7965403E" w:rsidR="007A2900" w:rsidRPr="007A2900" w:rsidRDefault="00A537D1" w:rsidP="007A2900">
      <w:pPr>
        <w:pStyle w:val="Heading1"/>
        <w:spacing w:after="240"/>
        <w:rPr>
          <w:rFonts w:ascii="Arial" w:hAnsi="Arial" w:cs="Arial"/>
          <w:color w:val="000000" w:themeColor="text1"/>
        </w:rPr>
      </w:pPr>
      <w:r w:rsidRPr="00A537D1">
        <w:rPr>
          <w:rFonts w:ascii="Arial" w:hAnsi="Arial" w:cs="Arial"/>
          <w:color w:val="000000" w:themeColor="text1"/>
        </w:rPr>
        <w:t>3. Ethical and Responsible AI Considerations</w:t>
      </w:r>
    </w:p>
    <w:p w14:paraId="69805BA8" w14:textId="7553B4DC" w:rsidR="00CB4CD4" w:rsidRPr="00CB4CD4" w:rsidRDefault="00CB4CD4" w:rsidP="00CB4CD4">
      <w:pPr>
        <w:rPr>
          <w:rFonts w:ascii="Arial" w:hAnsi="Arial" w:cs="Arial"/>
          <w:b/>
          <w:bCs/>
          <w:color w:val="000000" w:themeColor="text1"/>
        </w:rPr>
      </w:pPr>
      <w:r w:rsidRPr="00CB4CD4">
        <w:rPr>
          <w:rFonts w:ascii="Arial" w:hAnsi="Arial" w:cs="Arial"/>
          <w:b/>
          <w:bCs/>
          <w:color w:val="000000" w:themeColor="text1"/>
        </w:rPr>
        <w:t>Fairness, Transparency, and Impact of the Model</w:t>
      </w:r>
      <w:r>
        <w:rPr>
          <w:rFonts w:ascii="Arial" w:hAnsi="Arial" w:cs="Arial"/>
          <w:b/>
          <w:bCs/>
          <w:color w:val="000000" w:themeColor="text1"/>
        </w:rPr>
        <w:t>:</w:t>
      </w:r>
    </w:p>
    <w:p w14:paraId="7C4937A9" w14:textId="77777777" w:rsidR="00CB4CD4" w:rsidRPr="00CB4CD4" w:rsidRDefault="00CB4CD4" w:rsidP="007A2900">
      <w:pPr>
        <w:pStyle w:val="ListBullet"/>
      </w:pPr>
      <w:r w:rsidRPr="00CB4CD4">
        <w:rPr>
          <w:b/>
          <w:bCs/>
        </w:rPr>
        <w:t>Potential for bias or unfair treatment:</w:t>
      </w:r>
      <w:r w:rsidRPr="00CB4CD4">
        <w:t xml:space="preserve"> The initial data analysis revealed a risk of bias, with delinquency rates varying across locations. For example, customers in Los Angeles have a higher delinquency rate than those in New York. While our model failed to make any positive predictions, if it were to function, it could disproportionately flag customers from certain locations, leading to unfair treatment.</w:t>
      </w:r>
    </w:p>
    <w:p w14:paraId="1FE9435C" w14:textId="77777777" w:rsidR="00CB4CD4" w:rsidRPr="00CB4CD4" w:rsidRDefault="00CB4CD4" w:rsidP="007A2900">
      <w:pPr>
        <w:pStyle w:val="ListBullet"/>
      </w:pPr>
      <w:r w:rsidRPr="007A2900">
        <w:rPr>
          <w:b/>
          <w:bCs/>
        </w:rPr>
        <w:t>Explainability:</w:t>
      </w:r>
      <w:r w:rsidRPr="00CB4CD4">
        <w:t xml:space="preserve"> The choice of a Logistic Regression model supports transparency. Its predictions are easily explainable through model coefficients, which allows us to clearly communicate why a customer was identified as high-risk.</w:t>
      </w:r>
    </w:p>
    <w:p w14:paraId="52C9E8BA" w14:textId="745020B7" w:rsidR="00CB4CD4" w:rsidRPr="00CB4CD4" w:rsidRDefault="007A2900" w:rsidP="007A2900">
      <w:pPr>
        <w:pStyle w:val="ListBullet"/>
      </w:pPr>
      <w:r w:rsidRPr="007A2900">
        <w:rPr>
          <w:b/>
          <w:bCs/>
        </w:rPr>
        <w:t>R</w:t>
      </w:r>
      <w:r w:rsidR="00CB4CD4" w:rsidRPr="007A2900">
        <w:rPr>
          <w:b/>
          <w:bCs/>
        </w:rPr>
        <w:t>esponsible financial decision-making:</w:t>
      </w:r>
      <w:r w:rsidR="00CB4CD4" w:rsidRPr="00CB4CD4">
        <w:t xml:space="preserve"> </w:t>
      </w:r>
      <w:r>
        <w:t>T</w:t>
      </w:r>
      <w:r w:rsidR="00CB4CD4" w:rsidRPr="00CB4CD4">
        <w:t>he recommendation for a proactive, data-driven collections strategy supports responsible financial management. It focuses on early intervention to help customers avoid further financial distress.</w:t>
      </w:r>
    </w:p>
    <w:p w14:paraId="33EC1793" w14:textId="2E2CE4F8" w:rsidR="007D72C2" w:rsidRPr="00766A38" w:rsidRDefault="00CB4CD4" w:rsidP="00FC68B4">
      <w:pPr>
        <w:pStyle w:val="ListBullet"/>
        <w:rPr>
          <w:rFonts w:ascii="Arial" w:hAnsi="Arial" w:cs="Arial"/>
          <w:color w:val="000000" w:themeColor="text1"/>
        </w:rPr>
      </w:pPr>
      <w:r w:rsidRPr="007A2900">
        <w:rPr>
          <w:b/>
          <w:bCs/>
        </w:rPr>
        <w:t>Other ethical principles considered:</w:t>
      </w:r>
      <w:r w:rsidRPr="00CB4CD4">
        <w:t xml:space="preserve"> Our approach prioritizes transparency by using an explainable model and accountability by recommending a human review and approval </w:t>
      </w:r>
      <w:r w:rsidR="00150839">
        <w:t xml:space="preserve">(human-in-the-loop) </w:t>
      </w:r>
      <w:r w:rsidRPr="00CB4CD4">
        <w:t>process for a final review of the model's predictions. Data privacy is also a critical consideration, as all customer information is treated as confidential.</w:t>
      </w:r>
    </w:p>
    <w:p w14:paraId="7B04F57E" w14:textId="77777777" w:rsidR="00766A38" w:rsidRPr="00B0032F" w:rsidRDefault="00766A38" w:rsidP="00766A38">
      <w:pPr>
        <w:spacing w:after="240" w:line="240" w:lineRule="auto"/>
        <w:rPr>
          <w:rFonts w:ascii="Arial" w:eastAsia="Times New Roman" w:hAnsi="Arial" w:cs="Arial"/>
          <w:b/>
          <w:bCs/>
          <w:color w:val="1B1C1D"/>
          <w:lang w:eastAsia="en-IN"/>
        </w:rPr>
      </w:pPr>
    </w:p>
    <w:p w14:paraId="7D2B9CEF" w14:textId="0F9C5210" w:rsidR="00766A38" w:rsidRPr="00B0032F" w:rsidRDefault="00766A38" w:rsidP="00766A38">
      <w:pPr>
        <w:spacing w:after="240" w:line="240" w:lineRule="auto"/>
        <w:rPr>
          <w:rFonts w:ascii="Arial" w:eastAsia="Times New Roman" w:hAnsi="Arial" w:cs="Arial"/>
          <w:b/>
          <w:bCs/>
          <w:color w:val="1B1C1D"/>
          <w:lang w:eastAsia="en-IN"/>
        </w:rPr>
      </w:pPr>
      <w:r w:rsidRPr="00B0032F">
        <w:rPr>
          <w:rFonts w:ascii="Arial" w:eastAsia="Times New Roman" w:hAnsi="Arial" w:cs="Arial"/>
          <w:b/>
          <w:bCs/>
          <w:color w:val="1B1C1D"/>
          <w:lang w:eastAsia="en-IN"/>
        </w:rPr>
        <w:t>Based on the logistic regression model, here is a list of the top 10 customers most likely to miss payments in the future, ranked by their predicted probability:</w:t>
      </w:r>
    </w:p>
    <w:tbl>
      <w:tblPr>
        <w:tblW w:w="0" w:type="auto"/>
        <w:tblCellSpacing w:w="15" w:type="dxa"/>
        <w:tblCellMar>
          <w:left w:w="0" w:type="dxa"/>
          <w:right w:w="0" w:type="dxa"/>
        </w:tblCellMar>
        <w:tblLook w:val="04A0" w:firstRow="1" w:lastRow="0" w:firstColumn="1" w:lastColumn="0" w:noHBand="0" w:noVBand="1"/>
      </w:tblPr>
      <w:tblGrid>
        <w:gridCol w:w="1731"/>
        <w:gridCol w:w="3725"/>
      </w:tblGrid>
      <w:tr w:rsidR="00766A38" w:rsidRPr="001F7646" w14:paraId="06130509" w14:textId="77777777" w:rsidTr="007D6128">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3079A8" w14:textId="77777777" w:rsidR="00766A38" w:rsidRPr="001F7646" w:rsidRDefault="00766A38" w:rsidP="007D6128">
            <w:pPr>
              <w:spacing w:after="0" w:line="240" w:lineRule="auto"/>
              <w:rPr>
                <w:rFonts w:ascii="Arial" w:eastAsia="Times New Roman" w:hAnsi="Arial" w:cs="Arial"/>
                <w:color w:val="1B1C1D"/>
                <w:lang w:eastAsia="en-IN"/>
              </w:rPr>
            </w:pPr>
            <w:proofErr w:type="spellStart"/>
            <w:r w:rsidRPr="001F7646">
              <w:rPr>
                <w:rFonts w:ascii="Arial" w:eastAsia="Times New Roman" w:hAnsi="Arial" w:cs="Arial"/>
                <w:color w:val="1B1C1D"/>
                <w:lang w:eastAsia="en-IN"/>
              </w:rPr>
              <w:t>Customer_ID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B7ED30" w14:textId="77777777" w:rsidR="00766A38" w:rsidRPr="001F7646" w:rsidRDefault="00766A38" w:rsidP="007D6128">
            <w:pPr>
              <w:spacing w:after="0" w:line="240" w:lineRule="auto"/>
              <w:rPr>
                <w:rFonts w:ascii="Arial" w:eastAsia="Times New Roman" w:hAnsi="Arial" w:cs="Arial"/>
                <w:color w:val="1B1C1D"/>
                <w:lang w:eastAsia="en-IN"/>
              </w:rPr>
            </w:pPr>
            <w:r w:rsidRPr="001F7646">
              <w:rPr>
                <w:rFonts w:ascii="Arial" w:eastAsia="Times New Roman" w:hAnsi="Arial" w:cs="Arial"/>
                <w:color w:val="1B1C1D"/>
                <w:lang w:eastAsia="en-IN"/>
              </w:rPr>
              <w:t>Predicted Delinquency Probability</w:t>
            </w:r>
          </w:p>
        </w:tc>
      </w:tr>
      <w:tr w:rsidR="00766A38" w:rsidRPr="001F7646" w14:paraId="441AC46F" w14:textId="77777777" w:rsidTr="007D612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B4DF65" w14:textId="77777777" w:rsidR="00766A38" w:rsidRPr="001F7646" w:rsidRDefault="00766A38" w:rsidP="007D6128">
            <w:pPr>
              <w:spacing w:after="0" w:line="240" w:lineRule="auto"/>
              <w:rPr>
                <w:rFonts w:ascii="Arial" w:eastAsia="Times New Roman" w:hAnsi="Arial" w:cs="Arial"/>
                <w:color w:val="1B1C1D"/>
                <w:lang w:eastAsia="en-IN"/>
              </w:rPr>
            </w:pPr>
            <w:r w:rsidRPr="001F7646">
              <w:rPr>
                <w:rFonts w:ascii="Arial" w:eastAsia="Times New Roman" w:hAnsi="Arial" w:cs="Arial"/>
                <w:color w:val="1B1C1D"/>
                <w:lang w:eastAsia="en-IN"/>
              </w:rPr>
              <w:t>CUST0159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EAF737" w14:textId="77777777" w:rsidR="00766A38" w:rsidRPr="001F7646" w:rsidRDefault="00766A38" w:rsidP="007D6128">
            <w:pPr>
              <w:spacing w:after="0" w:line="240" w:lineRule="auto"/>
              <w:rPr>
                <w:rFonts w:ascii="Arial" w:eastAsia="Times New Roman" w:hAnsi="Arial" w:cs="Arial"/>
                <w:color w:val="1B1C1D"/>
                <w:lang w:eastAsia="en-IN"/>
              </w:rPr>
            </w:pPr>
            <w:r w:rsidRPr="001F7646">
              <w:rPr>
                <w:rFonts w:ascii="Arial" w:eastAsia="Times New Roman" w:hAnsi="Arial" w:cs="Arial"/>
                <w:color w:val="1B1C1D"/>
                <w:lang w:eastAsia="en-IN"/>
              </w:rPr>
              <w:t>0.329327</w:t>
            </w:r>
          </w:p>
        </w:tc>
      </w:tr>
      <w:tr w:rsidR="00766A38" w:rsidRPr="001F7646" w14:paraId="414142C5" w14:textId="77777777" w:rsidTr="007D612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EEACCA" w14:textId="77777777" w:rsidR="00766A38" w:rsidRPr="001F7646" w:rsidRDefault="00766A38" w:rsidP="007D6128">
            <w:pPr>
              <w:spacing w:after="0" w:line="240" w:lineRule="auto"/>
              <w:rPr>
                <w:rFonts w:ascii="Arial" w:eastAsia="Times New Roman" w:hAnsi="Arial" w:cs="Arial"/>
                <w:color w:val="1B1C1D"/>
                <w:lang w:eastAsia="en-IN"/>
              </w:rPr>
            </w:pPr>
            <w:r w:rsidRPr="001F7646">
              <w:rPr>
                <w:rFonts w:ascii="Arial" w:eastAsia="Times New Roman" w:hAnsi="Arial" w:cs="Arial"/>
                <w:color w:val="1B1C1D"/>
                <w:lang w:eastAsia="en-IN"/>
              </w:rPr>
              <w:t>CUST0478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67B2C0" w14:textId="77777777" w:rsidR="00766A38" w:rsidRPr="001F7646" w:rsidRDefault="00766A38" w:rsidP="007D6128">
            <w:pPr>
              <w:spacing w:after="0" w:line="240" w:lineRule="auto"/>
              <w:rPr>
                <w:rFonts w:ascii="Arial" w:eastAsia="Times New Roman" w:hAnsi="Arial" w:cs="Arial"/>
                <w:color w:val="1B1C1D"/>
                <w:lang w:eastAsia="en-IN"/>
              </w:rPr>
            </w:pPr>
            <w:r w:rsidRPr="001F7646">
              <w:rPr>
                <w:rFonts w:ascii="Arial" w:eastAsia="Times New Roman" w:hAnsi="Arial" w:cs="Arial"/>
                <w:color w:val="1B1C1D"/>
                <w:lang w:eastAsia="en-IN"/>
              </w:rPr>
              <w:t>0.326517</w:t>
            </w:r>
          </w:p>
        </w:tc>
      </w:tr>
      <w:tr w:rsidR="00766A38" w:rsidRPr="001F7646" w14:paraId="2D462140" w14:textId="77777777" w:rsidTr="007D612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AB634B" w14:textId="77777777" w:rsidR="00766A38" w:rsidRPr="001F7646" w:rsidRDefault="00766A38" w:rsidP="007D6128">
            <w:pPr>
              <w:spacing w:after="0" w:line="240" w:lineRule="auto"/>
              <w:rPr>
                <w:rFonts w:ascii="Arial" w:eastAsia="Times New Roman" w:hAnsi="Arial" w:cs="Arial"/>
                <w:color w:val="1B1C1D"/>
                <w:lang w:eastAsia="en-IN"/>
              </w:rPr>
            </w:pPr>
            <w:r w:rsidRPr="001F7646">
              <w:rPr>
                <w:rFonts w:ascii="Arial" w:eastAsia="Times New Roman" w:hAnsi="Arial" w:cs="Arial"/>
                <w:color w:val="1B1C1D"/>
                <w:lang w:eastAsia="en-IN"/>
              </w:rPr>
              <w:t>CUST0150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0D2B61" w14:textId="77777777" w:rsidR="00766A38" w:rsidRPr="001F7646" w:rsidRDefault="00766A38" w:rsidP="007D6128">
            <w:pPr>
              <w:spacing w:after="0" w:line="240" w:lineRule="auto"/>
              <w:rPr>
                <w:rFonts w:ascii="Arial" w:eastAsia="Times New Roman" w:hAnsi="Arial" w:cs="Arial"/>
                <w:color w:val="1B1C1D"/>
                <w:lang w:eastAsia="en-IN"/>
              </w:rPr>
            </w:pPr>
            <w:r w:rsidRPr="001F7646">
              <w:rPr>
                <w:rFonts w:ascii="Arial" w:eastAsia="Times New Roman" w:hAnsi="Arial" w:cs="Arial"/>
                <w:color w:val="1B1C1D"/>
                <w:lang w:eastAsia="en-IN"/>
              </w:rPr>
              <w:t>0.322289</w:t>
            </w:r>
          </w:p>
        </w:tc>
      </w:tr>
      <w:tr w:rsidR="00766A38" w:rsidRPr="001F7646" w14:paraId="5AEFA461" w14:textId="77777777" w:rsidTr="007D612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765536" w14:textId="77777777" w:rsidR="00766A38" w:rsidRPr="001F7646" w:rsidRDefault="00766A38" w:rsidP="007D6128">
            <w:pPr>
              <w:spacing w:after="0" w:line="240" w:lineRule="auto"/>
              <w:rPr>
                <w:rFonts w:ascii="Arial" w:eastAsia="Times New Roman" w:hAnsi="Arial" w:cs="Arial"/>
                <w:color w:val="1B1C1D"/>
                <w:lang w:eastAsia="en-IN"/>
              </w:rPr>
            </w:pPr>
            <w:r w:rsidRPr="001F7646">
              <w:rPr>
                <w:rFonts w:ascii="Arial" w:eastAsia="Times New Roman" w:hAnsi="Arial" w:cs="Arial"/>
                <w:color w:val="1B1C1D"/>
                <w:lang w:eastAsia="en-IN"/>
              </w:rPr>
              <w:t>CUST0112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AFE4F7" w14:textId="77777777" w:rsidR="00766A38" w:rsidRPr="001F7646" w:rsidRDefault="00766A38" w:rsidP="007D6128">
            <w:pPr>
              <w:spacing w:after="0" w:line="240" w:lineRule="auto"/>
              <w:rPr>
                <w:rFonts w:ascii="Arial" w:eastAsia="Times New Roman" w:hAnsi="Arial" w:cs="Arial"/>
                <w:color w:val="1B1C1D"/>
                <w:lang w:eastAsia="en-IN"/>
              </w:rPr>
            </w:pPr>
            <w:r w:rsidRPr="001F7646">
              <w:rPr>
                <w:rFonts w:ascii="Arial" w:eastAsia="Times New Roman" w:hAnsi="Arial" w:cs="Arial"/>
                <w:color w:val="1B1C1D"/>
                <w:lang w:eastAsia="en-IN"/>
              </w:rPr>
              <w:t>0.321528</w:t>
            </w:r>
          </w:p>
        </w:tc>
      </w:tr>
      <w:tr w:rsidR="00766A38" w:rsidRPr="001F7646" w14:paraId="4E749FC4" w14:textId="77777777" w:rsidTr="007D612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821679" w14:textId="77777777" w:rsidR="00766A38" w:rsidRPr="001F7646" w:rsidRDefault="00766A38" w:rsidP="007D6128">
            <w:pPr>
              <w:spacing w:after="0" w:line="240" w:lineRule="auto"/>
              <w:rPr>
                <w:rFonts w:ascii="Arial" w:eastAsia="Times New Roman" w:hAnsi="Arial" w:cs="Arial"/>
                <w:color w:val="1B1C1D"/>
                <w:lang w:eastAsia="en-IN"/>
              </w:rPr>
            </w:pPr>
            <w:r w:rsidRPr="001F7646">
              <w:rPr>
                <w:rFonts w:ascii="Arial" w:eastAsia="Times New Roman" w:hAnsi="Arial" w:cs="Arial"/>
                <w:color w:val="1B1C1D"/>
                <w:lang w:eastAsia="en-IN"/>
              </w:rPr>
              <w:t>CUST0167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A4F5C0" w14:textId="77777777" w:rsidR="00766A38" w:rsidRPr="001F7646" w:rsidRDefault="00766A38" w:rsidP="007D6128">
            <w:pPr>
              <w:spacing w:after="0" w:line="240" w:lineRule="auto"/>
              <w:rPr>
                <w:rFonts w:ascii="Arial" w:eastAsia="Times New Roman" w:hAnsi="Arial" w:cs="Arial"/>
                <w:color w:val="1B1C1D"/>
                <w:lang w:eastAsia="en-IN"/>
              </w:rPr>
            </w:pPr>
            <w:r w:rsidRPr="001F7646">
              <w:rPr>
                <w:rFonts w:ascii="Arial" w:eastAsia="Times New Roman" w:hAnsi="Arial" w:cs="Arial"/>
                <w:color w:val="1B1C1D"/>
                <w:lang w:eastAsia="en-IN"/>
              </w:rPr>
              <w:t>0.318845</w:t>
            </w:r>
          </w:p>
        </w:tc>
      </w:tr>
      <w:tr w:rsidR="00766A38" w:rsidRPr="001F7646" w14:paraId="4817E478" w14:textId="77777777" w:rsidTr="007D612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21F3F3" w14:textId="77777777" w:rsidR="00766A38" w:rsidRPr="001F7646" w:rsidRDefault="00766A38" w:rsidP="007D6128">
            <w:pPr>
              <w:spacing w:after="0" w:line="240" w:lineRule="auto"/>
              <w:rPr>
                <w:rFonts w:ascii="Arial" w:eastAsia="Times New Roman" w:hAnsi="Arial" w:cs="Arial"/>
                <w:color w:val="1B1C1D"/>
                <w:lang w:eastAsia="en-IN"/>
              </w:rPr>
            </w:pPr>
            <w:r w:rsidRPr="001F7646">
              <w:rPr>
                <w:rFonts w:ascii="Arial" w:eastAsia="Times New Roman" w:hAnsi="Arial" w:cs="Arial"/>
                <w:color w:val="1B1C1D"/>
                <w:lang w:eastAsia="en-IN"/>
              </w:rPr>
              <w:t>CUST0192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9891A3" w14:textId="77777777" w:rsidR="00766A38" w:rsidRPr="001F7646" w:rsidRDefault="00766A38" w:rsidP="007D6128">
            <w:pPr>
              <w:spacing w:after="0" w:line="240" w:lineRule="auto"/>
              <w:rPr>
                <w:rFonts w:ascii="Arial" w:eastAsia="Times New Roman" w:hAnsi="Arial" w:cs="Arial"/>
                <w:color w:val="1B1C1D"/>
                <w:lang w:eastAsia="en-IN"/>
              </w:rPr>
            </w:pPr>
            <w:r w:rsidRPr="001F7646">
              <w:rPr>
                <w:rFonts w:ascii="Arial" w:eastAsia="Times New Roman" w:hAnsi="Arial" w:cs="Arial"/>
                <w:color w:val="1B1C1D"/>
                <w:lang w:eastAsia="en-IN"/>
              </w:rPr>
              <w:t>0.315742</w:t>
            </w:r>
          </w:p>
        </w:tc>
      </w:tr>
      <w:tr w:rsidR="00766A38" w:rsidRPr="001F7646" w14:paraId="16D8C5B3" w14:textId="77777777" w:rsidTr="007D612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A4A9A8" w14:textId="77777777" w:rsidR="00766A38" w:rsidRPr="001F7646" w:rsidRDefault="00766A38" w:rsidP="007D6128">
            <w:pPr>
              <w:spacing w:after="0" w:line="240" w:lineRule="auto"/>
              <w:rPr>
                <w:rFonts w:ascii="Arial" w:eastAsia="Times New Roman" w:hAnsi="Arial" w:cs="Arial"/>
                <w:color w:val="1B1C1D"/>
                <w:lang w:eastAsia="en-IN"/>
              </w:rPr>
            </w:pPr>
            <w:r w:rsidRPr="001F7646">
              <w:rPr>
                <w:rFonts w:ascii="Arial" w:eastAsia="Times New Roman" w:hAnsi="Arial" w:cs="Arial"/>
                <w:color w:val="1B1C1D"/>
                <w:lang w:eastAsia="en-IN"/>
              </w:rPr>
              <w:t>CUST0171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0D789B" w14:textId="77777777" w:rsidR="00766A38" w:rsidRPr="001F7646" w:rsidRDefault="00766A38" w:rsidP="007D6128">
            <w:pPr>
              <w:spacing w:after="0" w:line="240" w:lineRule="auto"/>
              <w:rPr>
                <w:rFonts w:ascii="Arial" w:eastAsia="Times New Roman" w:hAnsi="Arial" w:cs="Arial"/>
                <w:color w:val="1B1C1D"/>
                <w:lang w:eastAsia="en-IN"/>
              </w:rPr>
            </w:pPr>
            <w:r w:rsidRPr="001F7646">
              <w:rPr>
                <w:rFonts w:ascii="Arial" w:eastAsia="Times New Roman" w:hAnsi="Arial" w:cs="Arial"/>
                <w:color w:val="1B1C1D"/>
                <w:lang w:eastAsia="en-IN"/>
              </w:rPr>
              <w:t>0.314114</w:t>
            </w:r>
          </w:p>
        </w:tc>
      </w:tr>
      <w:tr w:rsidR="00766A38" w:rsidRPr="001F7646" w14:paraId="1EDF1D7D" w14:textId="77777777" w:rsidTr="007D612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253361" w14:textId="77777777" w:rsidR="00766A38" w:rsidRPr="001F7646" w:rsidRDefault="00766A38" w:rsidP="007D6128">
            <w:pPr>
              <w:spacing w:after="0" w:line="240" w:lineRule="auto"/>
              <w:rPr>
                <w:rFonts w:ascii="Arial" w:eastAsia="Times New Roman" w:hAnsi="Arial" w:cs="Arial"/>
                <w:color w:val="1B1C1D"/>
                <w:lang w:eastAsia="en-IN"/>
              </w:rPr>
            </w:pPr>
            <w:r w:rsidRPr="001F7646">
              <w:rPr>
                <w:rFonts w:ascii="Arial" w:eastAsia="Times New Roman" w:hAnsi="Arial" w:cs="Arial"/>
                <w:color w:val="1B1C1D"/>
                <w:lang w:eastAsia="en-IN"/>
              </w:rPr>
              <w:t>CUST0361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30D16D" w14:textId="77777777" w:rsidR="00766A38" w:rsidRPr="001F7646" w:rsidRDefault="00766A38" w:rsidP="007D6128">
            <w:pPr>
              <w:spacing w:after="0" w:line="240" w:lineRule="auto"/>
              <w:rPr>
                <w:rFonts w:ascii="Arial" w:eastAsia="Times New Roman" w:hAnsi="Arial" w:cs="Arial"/>
                <w:color w:val="1B1C1D"/>
                <w:lang w:eastAsia="en-IN"/>
              </w:rPr>
            </w:pPr>
            <w:r w:rsidRPr="001F7646">
              <w:rPr>
                <w:rFonts w:ascii="Arial" w:eastAsia="Times New Roman" w:hAnsi="Arial" w:cs="Arial"/>
                <w:color w:val="1B1C1D"/>
                <w:lang w:eastAsia="en-IN"/>
              </w:rPr>
              <w:t>0.314011</w:t>
            </w:r>
          </w:p>
        </w:tc>
      </w:tr>
      <w:tr w:rsidR="00766A38" w:rsidRPr="001F7646" w14:paraId="1D3CACB4" w14:textId="77777777" w:rsidTr="007D612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7B048C" w14:textId="77777777" w:rsidR="00766A38" w:rsidRPr="001F7646" w:rsidRDefault="00766A38" w:rsidP="007D6128">
            <w:pPr>
              <w:spacing w:after="0" w:line="240" w:lineRule="auto"/>
              <w:rPr>
                <w:rFonts w:ascii="Arial" w:eastAsia="Times New Roman" w:hAnsi="Arial" w:cs="Arial"/>
                <w:color w:val="1B1C1D"/>
                <w:lang w:eastAsia="en-IN"/>
              </w:rPr>
            </w:pPr>
            <w:r w:rsidRPr="001F7646">
              <w:rPr>
                <w:rFonts w:ascii="Arial" w:eastAsia="Times New Roman" w:hAnsi="Arial" w:cs="Arial"/>
                <w:color w:val="1B1C1D"/>
                <w:lang w:eastAsia="en-IN"/>
              </w:rPr>
              <w:t>CUST0293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6A5B48" w14:textId="77777777" w:rsidR="00766A38" w:rsidRPr="001F7646" w:rsidRDefault="00766A38" w:rsidP="007D6128">
            <w:pPr>
              <w:spacing w:after="0" w:line="240" w:lineRule="auto"/>
              <w:rPr>
                <w:rFonts w:ascii="Arial" w:eastAsia="Times New Roman" w:hAnsi="Arial" w:cs="Arial"/>
                <w:color w:val="1B1C1D"/>
                <w:lang w:eastAsia="en-IN"/>
              </w:rPr>
            </w:pPr>
            <w:r w:rsidRPr="001F7646">
              <w:rPr>
                <w:rFonts w:ascii="Arial" w:eastAsia="Times New Roman" w:hAnsi="Arial" w:cs="Arial"/>
                <w:color w:val="1B1C1D"/>
                <w:lang w:eastAsia="en-IN"/>
              </w:rPr>
              <w:t>0.312120</w:t>
            </w:r>
          </w:p>
        </w:tc>
      </w:tr>
      <w:tr w:rsidR="00766A38" w:rsidRPr="001F7646" w14:paraId="3B56A18D" w14:textId="77777777" w:rsidTr="007D612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BA3D2C" w14:textId="77777777" w:rsidR="00766A38" w:rsidRPr="001F7646" w:rsidRDefault="00766A38" w:rsidP="007D6128">
            <w:pPr>
              <w:spacing w:after="0" w:line="240" w:lineRule="auto"/>
              <w:rPr>
                <w:rFonts w:ascii="Arial" w:eastAsia="Times New Roman" w:hAnsi="Arial" w:cs="Arial"/>
                <w:color w:val="1B1C1D"/>
                <w:lang w:eastAsia="en-IN"/>
              </w:rPr>
            </w:pPr>
            <w:r w:rsidRPr="001F7646">
              <w:rPr>
                <w:rFonts w:ascii="Arial" w:eastAsia="Times New Roman" w:hAnsi="Arial" w:cs="Arial"/>
                <w:color w:val="1B1C1D"/>
                <w:lang w:eastAsia="en-IN"/>
              </w:rPr>
              <w:t>CUST0109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C99B45" w14:textId="77777777" w:rsidR="00766A38" w:rsidRPr="001F7646" w:rsidRDefault="00766A38" w:rsidP="007D6128">
            <w:pPr>
              <w:spacing w:after="0" w:line="240" w:lineRule="auto"/>
              <w:rPr>
                <w:rFonts w:ascii="Arial" w:eastAsia="Times New Roman" w:hAnsi="Arial" w:cs="Arial"/>
                <w:color w:val="1B1C1D"/>
                <w:lang w:eastAsia="en-IN"/>
              </w:rPr>
            </w:pPr>
            <w:r w:rsidRPr="001F7646">
              <w:rPr>
                <w:rFonts w:ascii="Arial" w:eastAsia="Times New Roman" w:hAnsi="Arial" w:cs="Arial"/>
                <w:color w:val="1B1C1D"/>
                <w:lang w:eastAsia="en-IN"/>
              </w:rPr>
              <w:t>0.308835</w:t>
            </w:r>
          </w:p>
        </w:tc>
      </w:tr>
    </w:tbl>
    <w:p w14:paraId="6E46876F" w14:textId="77777777" w:rsidR="00766A38" w:rsidRPr="007A2900" w:rsidRDefault="00766A38" w:rsidP="00766A38">
      <w:pPr>
        <w:pStyle w:val="ListBullet"/>
        <w:numPr>
          <w:ilvl w:val="0"/>
          <w:numId w:val="0"/>
        </w:numPr>
        <w:ind w:left="360"/>
        <w:rPr>
          <w:rFonts w:ascii="Arial" w:hAnsi="Arial" w:cs="Arial"/>
          <w:color w:val="000000" w:themeColor="text1"/>
        </w:rPr>
      </w:pPr>
    </w:p>
    <w:sectPr w:rsidR="00766A38" w:rsidRPr="007A290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802A7" w14:textId="77777777" w:rsidR="000A03A5" w:rsidRDefault="000A03A5" w:rsidP="00CB4CD4">
      <w:pPr>
        <w:spacing w:after="0" w:line="240" w:lineRule="auto"/>
      </w:pPr>
      <w:r>
        <w:separator/>
      </w:r>
    </w:p>
  </w:endnote>
  <w:endnote w:type="continuationSeparator" w:id="0">
    <w:p w14:paraId="7C538022" w14:textId="77777777" w:rsidR="000A03A5" w:rsidRDefault="000A03A5" w:rsidP="00CB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D2E4A" w14:textId="77777777" w:rsidR="000A03A5" w:rsidRDefault="000A03A5" w:rsidP="00CB4CD4">
      <w:pPr>
        <w:spacing w:after="0" w:line="240" w:lineRule="auto"/>
      </w:pPr>
      <w:r>
        <w:separator/>
      </w:r>
    </w:p>
  </w:footnote>
  <w:footnote w:type="continuationSeparator" w:id="0">
    <w:p w14:paraId="0BC1C1F4" w14:textId="77777777" w:rsidR="000A03A5" w:rsidRDefault="000A03A5" w:rsidP="00CB4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58120FF0"/>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089E36"/>
    <w:lvl w:ilvl="0">
      <w:start w:val="1"/>
      <w:numFmt w:val="bullet"/>
      <w:pStyle w:val="ListBullet"/>
      <w:lvlText w:val=""/>
      <w:lvlJc w:val="left"/>
      <w:pPr>
        <w:tabs>
          <w:tab w:val="num" w:pos="360"/>
        </w:tabs>
        <w:ind w:left="360" w:hanging="360"/>
      </w:pPr>
      <w:rPr>
        <w:rFonts w:ascii="Symbol" w:hAnsi="Symbol" w:hint="default"/>
      </w:rPr>
    </w:lvl>
  </w:abstractNum>
  <w:num w:numId="1" w16cid:durableId="1399674117">
    <w:abstractNumId w:val="8"/>
  </w:num>
  <w:num w:numId="2" w16cid:durableId="1801531605">
    <w:abstractNumId w:val="6"/>
  </w:num>
  <w:num w:numId="3" w16cid:durableId="486094038">
    <w:abstractNumId w:val="5"/>
  </w:num>
  <w:num w:numId="4" w16cid:durableId="255750852">
    <w:abstractNumId w:val="4"/>
  </w:num>
  <w:num w:numId="5" w16cid:durableId="1951626911">
    <w:abstractNumId w:val="7"/>
  </w:num>
  <w:num w:numId="6" w16cid:durableId="1111168920">
    <w:abstractNumId w:val="3"/>
  </w:num>
  <w:num w:numId="7" w16cid:durableId="124276201">
    <w:abstractNumId w:val="2"/>
  </w:num>
  <w:num w:numId="8" w16cid:durableId="1778476411">
    <w:abstractNumId w:val="1"/>
  </w:num>
  <w:num w:numId="9" w16cid:durableId="111112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3A5"/>
    <w:rsid w:val="0015074B"/>
    <w:rsid w:val="00150839"/>
    <w:rsid w:val="00231456"/>
    <w:rsid w:val="0029639D"/>
    <w:rsid w:val="00326F90"/>
    <w:rsid w:val="00766A38"/>
    <w:rsid w:val="007A2900"/>
    <w:rsid w:val="007B1E9E"/>
    <w:rsid w:val="007D72C2"/>
    <w:rsid w:val="008237CA"/>
    <w:rsid w:val="008B4DCE"/>
    <w:rsid w:val="00980C9E"/>
    <w:rsid w:val="00A537D1"/>
    <w:rsid w:val="00AA1D8D"/>
    <w:rsid w:val="00B0032F"/>
    <w:rsid w:val="00B47730"/>
    <w:rsid w:val="00BA7AAF"/>
    <w:rsid w:val="00C419DB"/>
    <w:rsid w:val="00CB0664"/>
    <w:rsid w:val="00CB4CD4"/>
    <w:rsid w:val="00D606E7"/>
    <w:rsid w:val="00D620A4"/>
    <w:rsid w:val="00E04B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DB5BE"/>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D1"/>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DDDDDD" w:themeColor="accent1"/>
    </w:rPr>
  </w:style>
  <w:style w:type="paragraph" w:styleId="Title">
    <w:name w:val="Title"/>
    <w:basedOn w:val="Normal"/>
    <w:next w:val="Normal"/>
    <w:link w:val="TitleChar"/>
    <w:uiPriority w:val="10"/>
    <w:qFormat/>
    <w:rsid w:val="00FC693F"/>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DDDDD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DDDDD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DDDDD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FC693F"/>
    <w:rPr>
      <w:b/>
      <w:bCs/>
      <w:i/>
      <w:iCs/>
      <w:color w:val="DDDDD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DDDDDD" w:themeColor="accent1"/>
    </w:rPr>
  </w:style>
  <w:style w:type="character" w:styleId="SubtleReference">
    <w:name w:val="Subtle Reference"/>
    <w:basedOn w:val="DefaultParagraphFont"/>
    <w:uiPriority w:val="31"/>
    <w:qFormat/>
    <w:rsid w:val="00FC693F"/>
    <w:rPr>
      <w:smallCaps/>
      <w:color w:val="B2B2B2" w:themeColor="accent2"/>
      <w:u w:val="single"/>
    </w:rPr>
  </w:style>
  <w:style w:type="character" w:styleId="IntenseReference">
    <w:name w:val="Intense Reference"/>
    <w:basedOn w:val="DefaultParagraphFont"/>
    <w:uiPriority w:val="32"/>
    <w:qFormat/>
    <w:rsid w:val="00FC693F"/>
    <w:rPr>
      <w:b/>
      <w:bCs/>
      <w:smallCaps/>
      <w:color w:val="B2B2B2"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GridTable4-Accent2">
    <w:name w:val="Grid Table 4 Accent 2"/>
    <w:basedOn w:val="TableNormal"/>
    <w:uiPriority w:val="49"/>
    <w:rsid w:val="00BA7AAF"/>
    <w:pPr>
      <w:spacing w:after="0"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paragraph" w:styleId="NormalWeb">
    <w:name w:val="Normal (Web)"/>
    <w:basedOn w:val="Normal"/>
    <w:uiPriority w:val="99"/>
    <w:semiHidden/>
    <w:unhideWhenUsed/>
    <w:rsid w:val="00D606E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868902">
      <w:bodyDiv w:val="1"/>
      <w:marLeft w:val="0"/>
      <w:marRight w:val="0"/>
      <w:marTop w:val="0"/>
      <w:marBottom w:val="0"/>
      <w:divBdr>
        <w:top w:val="none" w:sz="0" w:space="0" w:color="auto"/>
        <w:left w:val="none" w:sz="0" w:space="0" w:color="auto"/>
        <w:bottom w:val="none" w:sz="0" w:space="0" w:color="auto"/>
        <w:right w:val="none" w:sz="0" w:space="0" w:color="auto"/>
      </w:divBdr>
    </w:div>
    <w:div w:id="1606309861">
      <w:bodyDiv w:val="1"/>
      <w:marLeft w:val="0"/>
      <w:marRight w:val="0"/>
      <w:marTop w:val="0"/>
      <w:marBottom w:val="0"/>
      <w:divBdr>
        <w:top w:val="none" w:sz="0" w:space="0" w:color="auto"/>
        <w:left w:val="none" w:sz="0" w:space="0" w:color="auto"/>
        <w:bottom w:val="none" w:sz="0" w:space="0" w:color="auto"/>
        <w:right w:val="none" w:sz="0" w:space="0" w:color="auto"/>
      </w:divBdr>
    </w:div>
    <w:div w:id="16569075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Nidhi Sawant</cp:lastModifiedBy>
  <cp:revision>8</cp:revision>
  <dcterms:created xsi:type="dcterms:W3CDTF">2013-12-23T23:15:00Z</dcterms:created>
  <dcterms:modified xsi:type="dcterms:W3CDTF">2025-08-03T15:19:00Z</dcterms:modified>
  <cp:category/>
</cp:coreProperties>
</file>