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AA4ED" w14:textId="1E167F94" w:rsidR="00AB295F" w:rsidRPr="00AB295F" w:rsidRDefault="00AB295F" w:rsidP="00AB295F">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IN"/>
          <w14:ligatures w14:val="none"/>
        </w:rPr>
      </w:pPr>
      <w:r w:rsidRPr="00AB295F">
        <w:rPr>
          <w:rFonts w:ascii="Arial" w:eastAsia="Times New Roman" w:hAnsi="Arial" w:cs="Arial"/>
          <w:b/>
          <w:bCs/>
          <w:color w:val="111111"/>
          <w:spacing w:val="1"/>
          <w:kern w:val="0"/>
          <w:sz w:val="36"/>
          <w:szCs w:val="36"/>
          <w:lang w:eastAsia="en-IN"/>
          <w14:ligatures w14:val="none"/>
        </w:rPr>
        <w:t>Consumer Financial Protection Bureau (CFPB)</w:t>
      </w:r>
    </w:p>
    <w:p w14:paraId="01E16856" w14:textId="77777777" w:rsidR="00AB295F" w:rsidRPr="00AB295F" w:rsidRDefault="00AB295F" w:rsidP="00AB295F">
      <w:pPr>
        <w:shd w:val="clear" w:color="auto" w:fill="FFFFFF"/>
        <w:spacing w:after="100" w:afterAutospacing="1" w:line="240" w:lineRule="auto"/>
        <w:ind w:left="30"/>
        <w:rPr>
          <w:rFonts w:ascii="Arial" w:eastAsia="Times New Roman" w:hAnsi="Arial" w:cs="Arial"/>
          <w:color w:val="111111"/>
          <w:spacing w:val="1"/>
          <w:kern w:val="0"/>
          <w:sz w:val="24"/>
          <w:szCs w:val="24"/>
          <w:lang w:eastAsia="en-IN"/>
          <w14:ligatures w14:val="none"/>
        </w:rPr>
      </w:pPr>
      <w:r w:rsidRPr="00AB295F">
        <w:rPr>
          <w:rFonts w:ascii="Arial" w:eastAsia="Times New Roman" w:hAnsi="Arial" w:cs="Arial"/>
          <w:color w:val="111111"/>
          <w:spacing w:val="1"/>
          <w:kern w:val="0"/>
          <w:sz w:val="24"/>
          <w:szCs w:val="24"/>
          <w:lang w:eastAsia="en-IN"/>
          <w14:ligatures w14:val="none"/>
        </w:rPr>
        <w:t>The Consumer Financial Protection Bureau (CFPB) is a regulatory agency charged with overseeing financial products and services that are offered to consumers. The CFPB is divided into several units—Operations; Consumer Education &amp; External Affairs; Legal; Supervision, Enforcement, and Fair Lending, and Research, Monitoring, and Regulations</w:t>
      </w:r>
      <w:r w:rsidRPr="00AB295F">
        <w:rPr>
          <w:rFonts w:ascii="Arial" w:eastAsia="Times New Roman" w:hAnsi="Arial" w:cs="Arial"/>
          <w:color w:val="111111"/>
          <w:spacing w:val="1"/>
          <w:kern w:val="0"/>
          <w:sz w:val="24"/>
          <w:szCs w:val="24"/>
          <w:lang w:eastAsia="en-IN"/>
          <w14:ligatures w14:val="none"/>
        </w:rPr>
        <w:t>.</w:t>
      </w:r>
    </w:p>
    <w:p w14:paraId="037CC1F2" w14:textId="2EFED941" w:rsidR="00AB295F" w:rsidRPr="00AB295F" w:rsidRDefault="00AB295F" w:rsidP="00AB295F">
      <w:pPr>
        <w:shd w:val="clear" w:color="auto" w:fill="FFFFFF"/>
        <w:spacing w:after="100" w:afterAutospacing="1" w:line="240" w:lineRule="auto"/>
        <w:ind w:left="30"/>
        <w:rPr>
          <w:rFonts w:ascii="Arial" w:eastAsia="Times New Roman" w:hAnsi="Arial" w:cs="Arial"/>
          <w:color w:val="111111"/>
          <w:spacing w:val="1"/>
          <w:kern w:val="0"/>
          <w:sz w:val="24"/>
          <w:szCs w:val="24"/>
          <w:lang w:eastAsia="en-IN"/>
          <w14:ligatures w14:val="none"/>
        </w:rPr>
      </w:pPr>
      <w:r w:rsidRPr="00AB295F">
        <w:rPr>
          <w:rFonts w:ascii="Arial" w:eastAsia="Times New Roman" w:hAnsi="Arial" w:cs="Arial"/>
          <w:color w:val="111111"/>
          <w:spacing w:val="1"/>
          <w:kern w:val="0"/>
          <w:sz w:val="24"/>
          <w:szCs w:val="24"/>
          <w:lang w:eastAsia="en-IN"/>
          <w14:ligatures w14:val="none"/>
        </w:rPr>
        <w:t>These units work together to protect and educate consumers about the various types of financial products and services that are available</w:t>
      </w:r>
    </w:p>
    <w:p w14:paraId="78DE4CF7" w14:textId="4E47C554" w:rsidR="00001581" w:rsidRDefault="00AB295F">
      <w:pPr>
        <w:rPr>
          <w:rFonts w:ascii="Arial" w:hAnsi="Arial" w:cs="Arial"/>
          <w:color w:val="111111"/>
          <w:spacing w:val="1"/>
          <w:sz w:val="24"/>
          <w:szCs w:val="24"/>
          <w:shd w:val="clear" w:color="auto" w:fill="FFFFFF"/>
        </w:rPr>
      </w:pPr>
      <w:r w:rsidRPr="00AB295F">
        <w:rPr>
          <w:rFonts w:ascii="Arial" w:hAnsi="Arial" w:cs="Arial"/>
          <w:color w:val="111111"/>
          <w:spacing w:val="1"/>
          <w:sz w:val="24"/>
          <w:szCs w:val="24"/>
          <w:shd w:val="clear" w:color="auto" w:fill="FFFFFF"/>
        </w:rPr>
        <w:t>The Consumer Financial Protection Bureau ensures that federal law involving financial law is enforced and implemented and that the markets for products and services for consumers are "fair, transparent, and competitive."</w:t>
      </w:r>
    </w:p>
    <w:p w14:paraId="0FF1081E" w14:textId="28842C73" w:rsidR="001F424D" w:rsidRPr="001F424D" w:rsidRDefault="001F424D" w:rsidP="001F424D">
      <w:pPr>
        <w:jc w:val="center"/>
        <w:rPr>
          <w:rFonts w:ascii="Arial" w:hAnsi="Arial" w:cs="Arial"/>
          <w:color w:val="111111"/>
          <w:spacing w:val="1"/>
          <w:sz w:val="24"/>
          <w:szCs w:val="24"/>
          <w:u w:val="single"/>
          <w:shd w:val="clear" w:color="auto" w:fill="FFFFFF"/>
        </w:rPr>
      </w:pPr>
      <w:r w:rsidRPr="001F424D">
        <w:rPr>
          <w:u w:val="single"/>
        </w:rPr>
        <w:t>BUREAU FUND FISCAL YEAR TRANSFERS REQUESTED COMPARED TO THE FUNDING CAP, OBLIGATIONS AND UNOBLIGATED BALANCE ($ MILLIONS)</w:t>
      </w:r>
    </w:p>
    <w:p w14:paraId="04071064" w14:textId="2A44F4A8" w:rsidR="001F424D" w:rsidRDefault="001F424D" w:rsidP="001F424D">
      <w:pPr>
        <w:jc w:val="center"/>
        <w:rPr>
          <w:sz w:val="20"/>
          <w:szCs w:val="20"/>
        </w:rPr>
      </w:pPr>
      <w:r w:rsidRPr="001F424D">
        <w:rPr>
          <w:sz w:val="20"/>
          <w:szCs w:val="20"/>
        </w:rPr>
        <w:drawing>
          <wp:inline distT="0" distB="0" distL="0" distR="0" wp14:anchorId="326A9BE3" wp14:editId="3E4317FC">
            <wp:extent cx="5155987" cy="2260386"/>
            <wp:effectExtent l="0" t="0" r="6985" b="6985"/>
            <wp:docPr id="79128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81001" name=""/>
                    <pic:cNvPicPr/>
                  </pic:nvPicPr>
                  <pic:blipFill>
                    <a:blip r:embed="rId6"/>
                    <a:stretch>
                      <a:fillRect/>
                    </a:stretch>
                  </pic:blipFill>
                  <pic:spPr>
                    <a:xfrm>
                      <a:off x="0" y="0"/>
                      <a:ext cx="5171560" cy="2267213"/>
                    </a:xfrm>
                    <a:prstGeom prst="rect">
                      <a:avLst/>
                    </a:prstGeom>
                  </pic:spPr>
                </pic:pic>
              </a:graphicData>
            </a:graphic>
          </wp:inline>
        </w:drawing>
      </w:r>
    </w:p>
    <w:p w14:paraId="72788FE8" w14:textId="77777777" w:rsidR="009F146D" w:rsidRDefault="00412C78" w:rsidP="009F146D">
      <w:pPr>
        <w:jc w:val="center"/>
        <w:rPr>
          <w:sz w:val="20"/>
          <w:szCs w:val="20"/>
        </w:rPr>
      </w:pPr>
      <w:r w:rsidRPr="00412C78">
        <w:rPr>
          <w:sz w:val="20"/>
          <w:szCs w:val="20"/>
        </w:rPr>
        <w:drawing>
          <wp:inline distT="0" distB="0" distL="0" distR="0" wp14:anchorId="6DD51209" wp14:editId="10D85FAD">
            <wp:extent cx="5063778" cy="2972836"/>
            <wp:effectExtent l="0" t="0" r="3810" b="0"/>
            <wp:docPr id="134740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01214" name=""/>
                    <pic:cNvPicPr/>
                  </pic:nvPicPr>
                  <pic:blipFill>
                    <a:blip r:embed="rId7"/>
                    <a:stretch>
                      <a:fillRect/>
                    </a:stretch>
                  </pic:blipFill>
                  <pic:spPr>
                    <a:xfrm>
                      <a:off x="0" y="0"/>
                      <a:ext cx="5076258" cy="2980163"/>
                    </a:xfrm>
                    <a:prstGeom prst="rect">
                      <a:avLst/>
                    </a:prstGeom>
                  </pic:spPr>
                </pic:pic>
              </a:graphicData>
            </a:graphic>
          </wp:inline>
        </w:drawing>
      </w:r>
    </w:p>
    <w:p w14:paraId="63729FB1" w14:textId="566B6E70" w:rsidR="009F146D" w:rsidRPr="009F146D" w:rsidRDefault="009F146D" w:rsidP="009F146D">
      <w:pPr>
        <w:rPr>
          <w:sz w:val="20"/>
          <w:szCs w:val="20"/>
        </w:rPr>
      </w:pPr>
      <w:r>
        <w:rPr>
          <w:rFonts w:ascii="Arial" w:hAnsi="Arial" w:cs="Arial"/>
          <w:b/>
          <w:bCs/>
          <w:sz w:val="36"/>
          <w:szCs w:val="36"/>
        </w:rPr>
        <w:lastRenderedPageBreak/>
        <w:t>A</w:t>
      </w:r>
      <w:r w:rsidRPr="009F146D">
        <w:rPr>
          <w:rFonts w:ascii="Arial" w:hAnsi="Arial" w:cs="Arial"/>
          <w:b/>
          <w:bCs/>
          <w:sz w:val="36"/>
          <w:szCs w:val="36"/>
        </w:rPr>
        <w:t>nti</w:t>
      </w:r>
      <w:r>
        <w:rPr>
          <w:rFonts w:ascii="Arial" w:hAnsi="Arial" w:cs="Arial"/>
          <w:b/>
          <w:bCs/>
          <w:sz w:val="36"/>
          <w:szCs w:val="36"/>
        </w:rPr>
        <w:t>-M</w:t>
      </w:r>
      <w:r w:rsidRPr="009F146D">
        <w:rPr>
          <w:rFonts w:ascii="Arial" w:hAnsi="Arial" w:cs="Arial"/>
          <w:b/>
          <w:bCs/>
          <w:sz w:val="36"/>
          <w:szCs w:val="36"/>
        </w:rPr>
        <w:t xml:space="preserve">oney </w:t>
      </w:r>
      <w:r>
        <w:rPr>
          <w:rFonts w:ascii="Arial" w:hAnsi="Arial" w:cs="Arial"/>
          <w:b/>
          <w:bCs/>
          <w:sz w:val="36"/>
          <w:szCs w:val="36"/>
        </w:rPr>
        <w:t>L</w:t>
      </w:r>
      <w:r w:rsidRPr="009F146D">
        <w:rPr>
          <w:rFonts w:ascii="Arial" w:hAnsi="Arial" w:cs="Arial"/>
          <w:b/>
          <w:bCs/>
          <w:sz w:val="36"/>
          <w:szCs w:val="36"/>
        </w:rPr>
        <w:t xml:space="preserve">aundering </w:t>
      </w:r>
      <w:r>
        <w:rPr>
          <w:rFonts w:ascii="Arial" w:hAnsi="Arial" w:cs="Arial"/>
          <w:b/>
          <w:bCs/>
          <w:sz w:val="36"/>
          <w:szCs w:val="36"/>
        </w:rPr>
        <w:t>R</w:t>
      </w:r>
      <w:r w:rsidRPr="009F146D">
        <w:rPr>
          <w:rFonts w:ascii="Arial" w:hAnsi="Arial" w:cs="Arial"/>
          <w:b/>
          <w:bCs/>
          <w:sz w:val="36"/>
          <w:szCs w:val="36"/>
        </w:rPr>
        <w:t xml:space="preserve">egulations </w:t>
      </w:r>
      <w:r>
        <w:rPr>
          <w:rFonts w:ascii="Arial" w:hAnsi="Arial" w:cs="Arial"/>
          <w:b/>
          <w:bCs/>
          <w:sz w:val="36"/>
          <w:szCs w:val="36"/>
        </w:rPr>
        <w:t>US</w:t>
      </w:r>
    </w:p>
    <w:p w14:paraId="076F778A" w14:textId="425A3334" w:rsidR="009F146D" w:rsidRPr="005538E3" w:rsidRDefault="005538E3" w:rsidP="005538E3">
      <w:pPr>
        <w:pStyle w:val="ListParagraph"/>
        <w:numPr>
          <w:ilvl w:val="0"/>
          <w:numId w:val="1"/>
        </w:numPr>
        <w:rPr>
          <w:sz w:val="24"/>
          <w:szCs w:val="24"/>
        </w:rPr>
      </w:pPr>
      <w:r w:rsidRPr="005538E3">
        <w:rPr>
          <w:sz w:val="24"/>
          <w:szCs w:val="24"/>
        </w:rPr>
        <w:t>Bank Secrecy Act (BSA) (1970)</w:t>
      </w:r>
      <w:r w:rsidR="00012E38">
        <w:rPr>
          <w:sz w:val="24"/>
          <w:szCs w:val="24"/>
        </w:rPr>
        <w:t xml:space="preserve">: </w:t>
      </w:r>
      <w:r w:rsidR="00012E38">
        <w:t>Also known as the Currency and Foreign Transactions Reporting Act, the BSA requires financial institutions to keep records and file reports that are useful for detecting and preventing money laundering</w:t>
      </w:r>
      <w:r w:rsidR="00012E38">
        <w:t>.</w:t>
      </w:r>
    </w:p>
    <w:p w14:paraId="5E752C79" w14:textId="196B3480" w:rsidR="005538E3" w:rsidRPr="005538E3" w:rsidRDefault="005538E3" w:rsidP="005538E3">
      <w:pPr>
        <w:pStyle w:val="ListParagraph"/>
        <w:numPr>
          <w:ilvl w:val="0"/>
          <w:numId w:val="1"/>
        </w:numPr>
        <w:rPr>
          <w:sz w:val="24"/>
          <w:szCs w:val="24"/>
        </w:rPr>
      </w:pPr>
      <w:r w:rsidRPr="005538E3">
        <w:rPr>
          <w:sz w:val="24"/>
          <w:szCs w:val="24"/>
        </w:rPr>
        <w:t>USA PATRIOT Act (2001)</w:t>
      </w:r>
      <w:r w:rsidR="00012E38">
        <w:rPr>
          <w:sz w:val="24"/>
          <w:szCs w:val="24"/>
        </w:rPr>
        <w:t xml:space="preserve">: </w:t>
      </w:r>
      <w:r w:rsidR="00012E38">
        <w:t>Enacted in response to the September 11 attacks, the USA PATRIOT Act significantly expanded AML requirements</w:t>
      </w:r>
      <w:r w:rsidR="00012E38">
        <w:t>.</w:t>
      </w:r>
    </w:p>
    <w:p w14:paraId="0557D9E3" w14:textId="0482D330" w:rsidR="005538E3" w:rsidRPr="005538E3" w:rsidRDefault="005538E3" w:rsidP="005538E3">
      <w:pPr>
        <w:pStyle w:val="ListParagraph"/>
        <w:numPr>
          <w:ilvl w:val="0"/>
          <w:numId w:val="1"/>
        </w:numPr>
        <w:rPr>
          <w:sz w:val="24"/>
          <w:szCs w:val="24"/>
        </w:rPr>
      </w:pPr>
      <w:r w:rsidRPr="005538E3">
        <w:rPr>
          <w:sz w:val="24"/>
          <w:szCs w:val="24"/>
        </w:rPr>
        <w:t>Financial Crimes Enforcement Network (FinCEN)</w:t>
      </w:r>
      <w:r w:rsidR="00012E38">
        <w:rPr>
          <w:sz w:val="24"/>
          <w:szCs w:val="24"/>
        </w:rPr>
        <w:t xml:space="preserve">: </w:t>
      </w:r>
      <w:r w:rsidR="00012E38">
        <w:t xml:space="preserve">A bureau of the U.S. Department of the Treasury, FinCEN oversees and enforces AML regulations. FinCEN collects and </w:t>
      </w:r>
      <w:r w:rsidR="00012E38">
        <w:t>analyses</w:t>
      </w:r>
      <w:r w:rsidR="00012E38">
        <w:t xml:space="preserve"> information about financial transactions to combat money laundering, terrorist financing, and other financial crimes.</w:t>
      </w:r>
    </w:p>
    <w:p w14:paraId="259685E4" w14:textId="59EC9E07" w:rsidR="005538E3" w:rsidRPr="005538E3" w:rsidRDefault="005538E3" w:rsidP="005538E3">
      <w:pPr>
        <w:pStyle w:val="ListParagraph"/>
        <w:numPr>
          <w:ilvl w:val="0"/>
          <w:numId w:val="1"/>
        </w:numPr>
        <w:rPr>
          <w:sz w:val="24"/>
          <w:szCs w:val="24"/>
        </w:rPr>
      </w:pPr>
      <w:r w:rsidRPr="005538E3">
        <w:rPr>
          <w:sz w:val="24"/>
          <w:szCs w:val="24"/>
        </w:rPr>
        <w:t>Office of Foreign Assets Control (OFAC)</w:t>
      </w:r>
      <w:r w:rsidR="00012E38">
        <w:rPr>
          <w:sz w:val="24"/>
          <w:szCs w:val="24"/>
        </w:rPr>
        <w:t xml:space="preserve">: </w:t>
      </w:r>
      <w:r w:rsidR="00012E38">
        <w:t xml:space="preserve">Also, </w:t>
      </w:r>
      <w:r w:rsidR="00012E38">
        <w:t>part of the Treasury Department, OFAC administers and enforces economic and trade sanctions against targeted foreign countries and regimes, terrorists, international narcotics traffickers, those engaged in activities related to the proliferation of weapons of mass destruction, and other threats to U.S. national security, foreign policy, or economy</w:t>
      </w:r>
    </w:p>
    <w:p w14:paraId="54007777" w14:textId="2B1CC6E6" w:rsidR="005538E3" w:rsidRPr="005538E3" w:rsidRDefault="005538E3" w:rsidP="005538E3">
      <w:pPr>
        <w:pStyle w:val="ListParagraph"/>
        <w:numPr>
          <w:ilvl w:val="0"/>
          <w:numId w:val="1"/>
        </w:numPr>
        <w:rPr>
          <w:sz w:val="24"/>
          <w:szCs w:val="24"/>
        </w:rPr>
      </w:pPr>
      <w:r w:rsidRPr="005538E3">
        <w:rPr>
          <w:sz w:val="24"/>
          <w:szCs w:val="24"/>
        </w:rPr>
        <w:t>Customer Due Diligence (CDD) Rule</w:t>
      </w:r>
      <w:r w:rsidR="00012E38">
        <w:rPr>
          <w:sz w:val="24"/>
          <w:szCs w:val="24"/>
        </w:rPr>
        <w:t xml:space="preserve">: </w:t>
      </w:r>
      <w:r w:rsidR="00012E38">
        <w:t>Effective from May 2018, this rule requires financial institutions to identify and verify the identities of beneficial owners of legal entity customers. It ensures that financial institutions understand who their customers are and the nature and purpose of the relationships.</w:t>
      </w:r>
    </w:p>
    <w:p w14:paraId="27D69F25" w14:textId="1499EEEC" w:rsidR="005538E3" w:rsidRPr="00336DC7" w:rsidRDefault="005538E3" w:rsidP="005538E3">
      <w:pPr>
        <w:pStyle w:val="ListParagraph"/>
        <w:numPr>
          <w:ilvl w:val="0"/>
          <w:numId w:val="1"/>
        </w:numPr>
        <w:rPr>
          <w:rFonts w:ascii="Arial" w:hAnsi="Arial" w:cs="Arial"/>
          <w:b/>
          <w:bCs/>
          <w:sz w:val="28"/>
          <w:szCs w:val="28"/>
        </w:rPr>
      </w:pPr>
      <w:r w:rsidRPr="005538E3">
        <w:rPr>
          <w:sz w:val="24"/>
          <w:szCs w:val="24"/>
        </w:rPr>
        <w:t>Anti-Money Laundering Act of 2020 (AMLA)</w:t>
      </w:r>
      <w:r w:rsidR="00012E38">
        <w:rPr>
          <w:sz w:val="24"/>
          <w:szCs w:val="24"/>
        </w:rPr>
        <w:t xml:space="preserve">: </w:t>
      </w:r>
      <w:r w:rsidR="00012E38">
        <w:t xml:space="preserve">Part of the National </w:t>
      </w:r>
      <w:r w:rsidR="00012E38">
        <w:t>Défense</w:t>
      </w:r>
      <w:r w:rsidR="00012E38">
        <w:t xml:space="preserve"> Authorization Act for Fiscal Year 2021, the AMLA includes significant reforms to the AML/CFT (Countering the Financing of Terrorism) framework</w:t>
      </w:r>
      <w:r w:rsidR="00012E38">
        <w:t>.</w:t>
      </w:r>
    </w:p>
    <w:p w14:paraId="72265F1F" w14:textId="77777777" w:rsidR="00336DC7" w:rsidRPr="005538E3" w:rsidRDefault="00336DC7" w:rsidP="00336DC7">
      <w:pPr>
        <w:pStyle w:val="ListParagraph"/>
        <w:rPr>
          <w:rFonts w:ascii="Arial" w:hAnsi="Arial" w:cs="Arial"/>
          <w:b/>
          <w:bCs/>
          <w:sz w:val="28"/>
          <w:szCs w:val="28"/>
        </w:rPr>
      </w:pPr>
    </w:p>
    <w:p w14:paraId="7EA80A9F" w14:textId="42313FDA" w:rsidR="005538E3" w:rsidRDefault="005538E3" w:rsidP="00336DC7">
      <w:pPr>
        <w:pStyle w:val="ListParagraph"/>
        <w:jc w:val="center"/>
        <w:rPr>
          <w:rFonts w:ascii="Arial" w:hAnsi="Arial" w:cs="Arial"/>
          <w:b/>
          <w:bCs/>
          <w:sz w:val="28"/>
          <w:szCs w:val="28"/>
        </w:rPr>
      </w:pPr>
      <w:r w:rsidRPr="005538E3">
        <w:rPr>
          <w:rFonts w:ascii="Arial" w:hAnsi="Arial" w:cs="Arial"/>
          <w:b/>
          <w:bCs/>
          <w:sz w:val="28"/>
          <w:szCs w:val="28"/>
        </w:rPr>
        <w:drawing>
          <wp:inline distT="0" distB="0" distL="0" distR="0" wp14:anchorId="766B6F4D" wp14:editId="2E332663">
            <wp:extent cx="4877481" cy="2773936"/>
            <wp:effectExtent l="0" t="0" r="0" b="7620"/>
            <wp:docPr id="2023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796" name=""/>
                    <pic:cNvPicPr/>
                  </pic:nvPicPr>
                  <pic:blipFill rotWithShape="1">
                    <a:blip r:embed="rId8"/>
                    <a:srcRect t="1623"/>
                    <a:stretch/>
                  </pic:blipFill>
                  <pic:spPr bwMode="auto">
                    <a:xfrm>
                      <a:off x="0" y="0"/>
                      <a:ext cx="4898340" cy="2785799"/>
                    </a:xfrm>
                    <a:prstGeom prst="rect">
                      <a:avLst/>
                    </a:prstGeom>
                    <a:ln>
                      <a:noFill/>
                    </a:ln>
                    <a:extLst>
                      <a:ext uri="{53640926-AAD7-44D8-BBD7-CCE9431645EC}">
                        <a14:shadowObscured xmlns:a14="http://schemas.microsoft.com/office/drawing/2010/main"/>
                      </a:ext>
                    </a:extLst>
                  </pic:spPr>
                </pic:pic>
              </a:graphicData>
            </a:graphic>
          </wp:inline>
        </w:drawing>
      </w:r>
    </w:p>
    <w:p w14:paraId="6A6109A7" w14:textId="77777777" w:rsidR="00336DC7" w:rsidRDefault="00336DC7" w:rsidP="00336DC7">
      <w:pPr>
        <w:pStyle w:val="ListParagraph"/>
        <w:rPr>
          <w:rFonts w:ascii="Arial" w:hAnsi="Arial" w:cs="Arial"/>
          <w:b/>
          <w:bCs/>
          <w:sz w:val="44"/>
          <w:szCs w:val="44"/>
        </w:rPr>
      </w:pPr>
    </w:p>
    <w:p w14:paraId="2DA5D2AC" w14:textId="77777777" w:rsidR="00012E38" w:rsidRDefault="00012E38" w:rsidP="00336DC7">
      <w:pPr>
        <w:pStyle w:val="ListParagraph"/>
        <w:rPr>
          <w:rFonts w:ascii="Arial" w:hAnsi="Arial" w:cs="Arial"/>
          <w:b/>
          <w:bCs/>
          <w:sz w:val="44"/>
          <w:szCs w:val="44"/>
        </w:rPr>
      </w:pPr>
    </w:p>
    <w:p w14:paraId="2065FA25" w14:textId="77777777" w:rsidR="00012E38" w:rsidRDefault="00012E38" w:rsidP="00336DC7">
      <w:pPr>
        <w:pStyle w:val="ListParagraph"/>
        <w:rPr>
          <w:rFonts w:ascii="Arial" w:hAnsi="Arial" w:cs="Arial"/>
          <w:b/>
          <w:bCs/>
          <w:sz w:val="44"/>
          <w:szCs w:val="44"/>
        </w:rPr>
      </w:pPr>
    </w:p>
    <w:p w14:paraId="6643120F" w14:textId="77777777" w:rsidR="00012E38" w:rsidRPr="00336DC7" w:rsidRDefault="00012E38" w:rsidP="00336DC7">
      <w:pPr>
        <w:pStyle w:val="ListParagraph"/>
        <w:rPr>
          <w:rFonts w:ascii="Arial" w:hAnsi="Arial" w:cs="Arial"/>
          <w:b/>
          <w:bCs/>
          <w:sz w:val="44"/>
          <w:szCs w:val="44"/>
        </w:rPr>
      </w:pPr>
    </w:p>
    <w:p w14:paraId="790E915A" w14:textId="1EE4412E" w:rsidR="00336DC7" w:rsidRPr="00336DC7" w:rsidRDefault="00336DC7" w:rsidP="00336DC7">
      <w:pPr>
        <w:rPr>
          <w:rFonts w:ascii="Arial" w:hAnsi="Arial" w:cs="Arial"/>
          <w:b/>
          <w:bCs/>
          <w:sz w:val="44"/>
          <w:szCs w:val="44"/>
        </w:rPr>
      </w:pPr>
      <w:r w:rsidRPr="00336DC7">
        <w:rPr>
          <w:rFonts w:ascii="Arial" w:hAnsi="Arial" w:cs="Arial"/>
          <w:b/>
          <w:bCs/>
          <w:sz w:val="36"/>
          <w:szCs w:val="36"/>
        </w:rPr>
        <w:lastRenderedPageBreak/>
        <w:t xml:space="preserve">Know </w:t>
      </w:r>
      <w:r w:rsidRPr="00336DC7">
        <w:rPr>
          <w:rFonts w:ascii="Arial" w:hAnsi="Arial" w:cs="Arial"/>
          <w:b/>
          <w:bCs/>
          <w:sz w:val="36"/>
          <w:szCs w:val="36"/>
        </w:rPr>
        <w:t>Y</w:t>
      </w:r>
      <w:r w:rsidRPr="00336DC7">
        <w:rPr>
          <w:rFonts w:ascii="Arial" w:hAnsi="Arial" w:cs="Arial"/>
          <w:b/>
          <w:bCs/>
          <w:sz w:val="36"/>
          <w:szCs w:val="36"/>
        </w:rPr>
        <w:t xml:space="preserve">our </w:t>
      </w:r>
      <w:r w:rsidRPr="00336DC7">
        <w:rPr>
          <w:rFonts w:ascii="Arial" w:hAnsi="Arial" w:cs="Arial"/>
          <w:b/>
          <w:bCs/>
          <w:sz w:val="36"/>
          <w:szCs w:val="36"/>
        </w:rPr>
        <w:t>C</w:t>
      </w:r>
      <w:r w:rsidRPr="00336DC7">
        <w:rPr>
          <w:rFonts w:ascii="Arial" w:hAnsi="Arial" w:cs="Arial"/>
          <w:b/>
          <w:bCs/>
          <w:sz w:val="36"/>
          <w:szCs w:val="36"/>
        </w:rPr>
        <w:t xml:space="preserve">ustomer </w:t>
      </w:r>
      <w:r w:rsidRPr="00336DC7">
        <w:rPr>
          <w:rFonts w:ascii="Arial" w:hAnsi="Arial" w:cs="Arial"/>
          <w:b/>
          <w:bCs/>
          <w:sz w:val="36"/>
          <w:szCs w:val="36"/>
        </w:rPr>
        <w:t>R</w:t>
      </w:r>
      <w:r w:rsidRPr="00336DC7">
        <w:rPr>
          <w:rFonts w:ascii="Arial" w:hAnsi="Arial" w:cs="Arial"/>
          <w:b/>
          <w:bCs/>
          <w:sz w:val="36"/>
          <w:szCs w:val="36"/>
        </w:rPr>
        <w:t>egulations</w:t>
      </w:r>
    </w:p>
    <w:p w14:paraId="5300DC76" w14:textId="21EC457B" w:rsidR="00336DC7" w:rsidRPr="00336DC7" w:rsidRDefault="00336DC7" w:rsidP="00336DC7">
      <w:pPr>
        <w:rPr>
          <w:rFonts w:ascii="Arial" w:hAnsi="Arial" w:cs="Arial"/>
          <w:b/>
          <w:bCs/>
          <w:sz w:val="32"/>
          <w:szCs w:val="32"/>
        </w:rPr>
      </w:pPr>
      <w:r w:rsidRPr="00336DC7">
        <w:rPr>
          <w:sz w:val="24"/>
          <w:szCs w:val="24"/>
        </w:rPr>
        <w:t>"Know Your Customer" (KYC) regulations are a critical part of anti-money laundering (AML) measures and are designed to ensure that financial institutions verify the identity of their clients and understand the nature of their business activities. These regulations help to prevent identity theft, financial fraud, money laundering, and terrorist financing.</w:t>
      </w:r>
    </w:p>
    <w:p w14:paraId="446187D2" w14:textId="77777777" w:rsidR="00012E38" w:rsidRDefault="00012E38" w:rsidP="00012E38">
      <w:pPr>
        <w:pStyle w:val="Heading3"/>
      </w:pPr>
      <w:r>
        <w:t>Legal Framework and Guidelines:</w:t>
      </w:r>
    </w:p>
    <w:p w14:paraId="6CA45BDA" w14:textId="77777777" w:rsidR="00012E38" w:rsidRDefault="00012E38" w:rsidP="00012E38">
      <w:pPr>
        <w:pStyle w:val="NormalWeb"/>
        <w:numPr>
          <w:ilvl w:val="0"/>
          <w:numId w:val="2"/>
        </w:numPr>
      </w:pPr>
      <w:r>
        <w:rPr>
          <w:rStyle w:val="Strong"/>
        </w:rPr>
        <w:t>Bank Secrecy Act (BSA)</w:t>
      </w:r>
      <w:r>
        <w:t>:</w:t>
      </w:r>
    </w:p>
    <w:p w14:paraId="7864AEDB" w14:textId="77777777" w:rsidR="00012E38" w:rsidRDefault="00012E38" w:rsidP="00012E38">
      <w:pPr>
        <w:numPr>
          <w:ilvl w:val="1"/>
          <w:numId w:val="2"/>
        </w:numPr>
        <w:spacing w:before="100" w:beforeAutospacing="1" w:after="100" w:afterAutospacing="1" w:line="240" w:lineRule="auto"/>
      </w:pPr>
      <w:r>
        <w:t>The foundational law for AML and KYC in the United States, requiring financial institutions to assist U.S. government agencies in detecting and preventing money laundering.</w:t>
      </w:r>
    </w:p>
    <w:p w14:paraId="499500B8" w14:textId="77777777" w:rsidR="00012E38" w:rsidRDefault="00012E38" w:rsidP="00012E38">
      <w:pPr>
        <w:pStyle w:val="NormalWeb"/>
        <w:numPr>
          <w:ilvl w:val="0"/>
          <w:numId w:val="2"/>
        </w:numPr>
      </w:pPr>
      <w:r>
        <w:rPr>
          <w:rStyle w:val="Strong"/>
        </w:rPr>
        <w:t>USA PATRIOT Act</w:t>
      </w:r>
      <w:r>
        <w:t>:</w:t>
      </w:r>
    </w:p>
    <w:p w14:paraId="744961BE" w14:textId="77777777" w:rsidR="00012E38" w:rsidRDefault="00012E38" w:rsidP="00012E38">
      <w:pPr>
        <w:numPr>
          <w:ilvl w:val="1"/>
          <w:numId w:val="2"/>
        </w:numPr>
        <w:spacing w:before="100" w:beforeAutospacing="1" w:after="100" w:afterAutospacing="1" w:line="240" w:lineRule="auto"/>
      </w:pPr>
      <w:r>
        <w:t>Expanded KYC requirements, mandating CIPs for all financial institutions and enhancing CDD and EDD requirements.</w:t>
      </w:r>
    </w:p>
    <w:p w14:paraId="3E379A21" w14:textId="77777777" w:rsidR="00012E38" w:rsidRDefault="00012E38" w:rsidP="00012E38">
      <w:pPr>
        <w:pStyle w:val="NormalWeb"/>
        <w:numPr>
          <w:ilvl w:val="0"/>
          <w:numId w:val="2"/>
        </w:numPr>
      </w:pPr>
      <w:r>
        <w:rPr>
          <w:rStyle w:val="Strong"/>
        </w:rPr>
        <w:t>Financial Crimes Enforcement Network (FinCEN)</w:t>
      </w:r>
      <w:r>
        <w:t>:</w:t>
      </w:r>
    </w:p>
    <w:p w14:paraId="7620B13D" w14:textId="77777777" w:rsidR="00012E38" w:rsidRDefault="00012E38" w:rsidP="00012E38">
      <w:pPr>
        <w:numPr>
          <w:ilvl w:val="1"/>
          <w:numId w:val="2"/>
        </w:numPr>
        <w:spacing w:before="100" w:beforeAutospacing="1" w:after="100" w:afterAutospacing="1" w:line="240" w:lineRule="auto"/>
      </w:pPr>
      <w:r>
        <w:t>The U.S. Department of the Treasury bureau responsible for enforcing KYC regulations and overseeing AML compliance.</w:t>
      </w:r>
    </w:p>
    <w:p w14:paraId="5F3C556A" w14:textId="77777777" w:rsidR="00012E38" w:rsidRDefault="00012E38" w:rsidP="00012E38">
      <w:pPr>
        <w:pStyle w:val="NormalWeb"/>
        <w:numPr>
          <w:ilvl w:val="0"/>
          <w:numId w:val="2"/>
        </w:numPr>
      </w:pPr>
      <w:r>
        <w:rPr>
          <w:rStyle w:val="Strong"/>
        </w:rPr>
        <w:t>Office of Foreign Assets Control (OFAC)</w:t>
      </w:r>
      <w:r>
        <w:t>:</w:t>
      </w:r>
    </w:p>
    <w:p w14:paraId="28A59ED9" w14:textId="77777777" w:rsidR="00012E38" w:rsidRDefault="00012E38" w:rsidP="00012E38">
      <w:pPr>
        <w:numPr>
          <w:ilvl w:val="1"/>
          <w:numId w:val="2"/>
        </w:numPr>
        <w:spacing w:before="100" w:beforeAutospacing="1" w:after="100" w:afterAutospacing="1" w:line="240" w:lineRule="auto"/>
      </w:pPr>
      <w:r>
        <w:t>Requires financial institutions to ensure they do not conduct business with individuals or entities on sanctions lists.</w:t>
      </w:r>
    </w:p>
    <w:tbl>
      <w:tblPr>
        <w:tblW w:w="9467" w:type="dxa"/>
        <w:tblLook w:val="04A0" w:firstRow="1" w:lastRow="0" w:firstColumn="1" w:lastColumn="0" w:noHBand="0" w:noVBand="1"/>
      </w:tblPr>
      <w:tblGrid>
        <w:gridCol w:w="663"/>
        <w:gridCol w:w="1286"/>
        <w:gridCol w:w="537"/>
        <w:gridCol w:w="1519"/>
        <w:gridCol w:w="929"/>
        <w:gridCol w:w="1326"/>
        <w:gridCol w:w="708"/>
        <w:gridCol w:w="2000"/>
        <w:gridCol w:w="716"/>
        <w:gridCol w:w="266"/>
      </w:tblGrid>
      <w:tr w:rsidR="001C1EAC" w:rsidRPr="001C1EAC" w14:paraId="4ACBED0A" w14:textId="77777777" w:rsidTr="001C1EAC">
        <w:trPr>
          <w:trHeight w:val="271"/>
        </w:trPr>
        <w:tc>
          <w:tcPr>
            <w:tcW w:w="6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FE987" w14:textId="77777777" w:rsidR="001C1EAC" w:rsidRPr="001C1EAC" w:rsidRDefault="001C1EAC" w:rsidP="001C1EAC">
            <w:pPr>
              <w:spacing w:after="0" w:line="240" w:lineRule="auto"/>
              <w:jc w:val="center"/>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Year</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016EC74C"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KYC Compliance Cost</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11E06DC7"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69E0237D" w14:textId="77777777" w:rsidR="001C1EAC" w:rsidRPr="001C1EAC" w:rsidRDefault="001C1EAC" w:rsidP="001C1EAC">
            <w:pPr>
              <w:spacing w:after="0" w:line="240" w:lineRule="auto"/>
              <w:ind w:firstLineChars="300" w:firstLine="663"/>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Total Fines</w:t>
            </w:r>
          </w:p>
        </w:tc>
        <w:tc>
          <w:tcPr>
            <w:tcW w:w="899" w:type="dxa"/>
            <w:tcBorders>
              <w:top w:val="single" w:sz="4" w:space="0" w:color="auto"/>
              <w:left w:val="nil"/>
              <w:bottom w:val="single" w:sz="4" w:space="0" w:color="auto"/>
              <w:right w:val="single" w:sz="4" w:space="0" w:color="auto"/>
            </w:tcBorders>
            <w:shd w:val="clear" w:color="auto" w:fill="auto"/>
            <w:noWrap/>
            <w:vAlign w:val="bottom"/>
            <w:hideMark/>
          </w:tcPr>
          <w:p w14:paraId="56BE6097" w14:textId="77777777" w:rsidR="001C1EAC" w:rsidRPr="001C1EAC" w:rsidRDefault="001C1EAC" w:rsidP="001C1EAC">
            <w:pPr>
              <w:spacing w:after="0" w:line="240" w:lineRule="auto"/>
              <w:ind w:firstLineChars="300" w:firstLine="663"/>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14:paraId="608C71D8" w14:textId="77777777" w:rsidR="001C1EAC" w:rsidRPr="001C1EAC" w:rsidRDefault="001C1EAC" w:rsidP="001C1EAC">
            <w:pPr>
              <w:spacing w:after="0" w:line="240" w:lineRule="auto"/>
              <w:ind w:firstLineChars="200" w:firstLine="442"/>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Cost Per KYC</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06F86861" w14:textId="77777777" w:rsidR="001C1EAC" w:rsidRPr="001C1EAC" w:rsidRDefault="001C1EAC" w:rsidP="001C1EAC">
            <w:pPr>
              <w:spacing w:after="0" w:line="240" w:lineRule="auto"/>
              <w:ind w:firstLineChars="200" w:firstLine="442"/>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c>
          <w:tcPr>
            <w:tcW w:w="25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C8FCDA"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Number of KYC Tasks</w:t>
            </w:r>
          </w:p>
        </w:tc>
        <w:tc>
          <w:tcPr>
            <w:tcW w:w="248" w:type="dxa"/>
            <w:tcBorders>
              <w:top w:val="single" w:sz="4" w:space="0" w:color="auto"/>
              <w:left w:val="nil"/>
              <w:bottom w:val="single" w:sz="4" w:space="0" w:color="auto"/>
              <w:right w:val="single" w:sz="4" w:space="0" w:color="auto"/>
            </w:tcBorders>
            <w:shd w:val="clear" w:color="auto" w:fill="auto"/>
            <w:noWrap/>
            <w:vAlign w:val="bottom"/>
            <w:hideMark/>
          </w:tcPr>
          <w:p w14:paraId="7398DFBB"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r>
      <w:tr w:rsidR="001C1EAC" w:rsidRPr="001C1EAC" w14:paraId="679A84B8" w14:textId="77777777" w:rsidTr="001C1EAC">
        <w:trPr>
          <w:trHeight w:val="234"/>
        </w:trPr>
        <w:tc>
          <w:tcPr>
            <w:tcW w:w="607" w:type="dxa"/>
            <w:vMerge/>
            <w:tcBorders>
              <w:top w:val="single" w:sz="4" w:space="0" w:color="auto"/>
              <w:left w:val="single" w:sz="4" w:space="0" w:color="auto"/>
              <w:bottom w:val="single" w:sz="4" w:space="0" w:color="auto"/>
              <w:right w:val="single" w:sz="4" w:space="0" w:color="auto"/>
            </w:tcBorders>
            <w:vAlign w:val="center"/>
            <w:hideMark/>
          </w:tcPr>
          <w:p w14:paraId="0C517CF7"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p>
        </w:tc>
        <w:tc>
          <w:tcPr>
            <w:tcW w:w="1178" w:type="dxa"/>
            <w:tcBorders>
              <w:top w:val="nil"/>
              <w:left w:val="nil"/>
              <w:bottom w:val="single" w:sz="4" w:space="0" w:color="auto"/>
              <w:right w:val="single" w:sz="4" w:space="0" w:color="auto"/>
            </w:tcBorders>
            <w:shd w:val="clear" w:color="auto" w:fill="auto"/>
            <w:noWrap/>
            <w:vAlign w:val="bottom"/>
            <w:hideMark/>
          </w:tcPr>
          <w:p w14:paraId="2D33CB86"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(Million USD)</w:t>
            </w:r>
          </w:p>
        </w:tc>
        <w:tc>
          <w:tcPr>
            <w:tcW w:w="537" w:type="dxa"/>
            <w:tcBorders>
              <w:top w:val="nil"/>
              <w:left w:val="nil"/>
              <w:bottom w:val="single" w:sz="4" w:space="0" w:color="auto"/>
              <w:right w:val="single" w:sz="4" w:space="0" w:color="auto"/>
            </w:tcBorders>
            <w:shd w:val="clear" w:color="auto" w:fill="auto"/>
            <w:noWrap/>
            <w:vAlign w:val="bottom"/>
            <w:hideMark/>
          </w:tcPr>
          <w:p w14:paraId="3713AB92" w14:textId="77777777" w:rsidR="001C1EAC" w:rsidRPr="001C1EAC" w:rsidRDefault="001C1EAC" w:rsidP="001C1EAC">
            <w:pPr>
              <w:spacing w:after="0" w:line="240" w:lineRule="auto"/>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c>
          <w:tcPr>
            <w:tcW w:w="1499" w:type="dxa"/>
            <w:tcBorders>
              <w:top w:val="nil"/>
              <w:left w:val="nil"/>
              <w:bottom w:val="single" w:sz="4" w:space="0" w:color="auto"/>
              <w:right w:val="single" w:sz="4" w:space="0" w:color="auto"/>
            </w:tcBorders>
            <w:shd w:val="clear" w:color="auto" w:fill="auto"/>
            <w:noWrap/>
            <w:vAlign w:val="bottom"/>
            <w:hideMark/>
          </w:tcPr>
          <w:p w14:paraId="08A9DC5B" w14:textId="77777777" w:rsidR="001C1EAC" w:rsidRPr="001C1EAC" w:rsidRDefault="001C1EAC" w:rsidP="001C1EAC">
            <w:pPr>
              <w:spacing w:after="0" w:line="240" w:lineRule="auto"/>
              <w:ind w:firstLineChars="300" w:firstLine="663"/>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(billion USD)</w:t>
            </w:r>
          </w:p>
        </w:tc>
        <w:tc>
          <w:tcPr>
            <w:tcW w:w="899" w:type="dxa"/>
            <w:tcBorders>
              <w:top w:val="nil"/>
              <w:left w:val="nil"/>
              <w:bottom w:val="single" w:sz="4" w:space="0" w:color="auto"/>
              <w:right w:val="single" w:sz="4" w:space="0" w:color="auto"/>
            </w:tcBorders>
            <w:shd w:val="clear" w:color="auto" w:fill="auto"/>
            <w:noWrap/>
            <w:vAlign w:val="bottom"/>
            <w:hideMark/>
          </w:tcPr>
          <w:p w14:paraId="77773A24" w14:textId="77777777" w:rsidR="001C1EAC" w:rsidRPr="001C1EAC" w:rsidRDefault="001C1EAC" w:rsidP="001C1EAC">
            <w:pPr>
              <w:spacing w:after="0" w:line="240" w:lineRule="auto"/>
              <w:ind w:firstLineChars="300" w:firstLine="663"/>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c>
          <w:tcPr>
            <w:tcW w:w="1266" w:type="dxa"/>
            <w:tcBorders>
              <w:top w:val="nil"/>
              <w:left w:val="nil"/>
              <w:bottom w:val="single" w:sz="4" w:space="0" w:color="auto"/>
              <w:right w:val="single" w:sz="4" w:space="0" w:color="auto"/>
            </w:tcBorders>
            <w:shd w:val="clear" w:color="auto" w:fill="auto"/>
            <w:noWrap/>
            <w:vAlign w:val="bottom"/>
            <w:hideMark/>
          </w:tcPr>
          <w:p w14:paraId="33FE61ED" w14:textId="77777777" w:rsidR="001C1EAC" w:rsidRPr="001C1EAC" w:rsidRDefault="001C1EAC" w:rsidP="001C1EAC">
            <w:pPr>
              <w:spacing w:after="0" w:line="240" w:lineRule="auto"/>
              <w:ind w:firstLineChars="200" w:firstLine="442"/>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Review (USD)</w:t>
            </w:r>
          </w:p>
        </w:tc>
        <w:tc>
          <w:tcPr>
            <w:tcW w:w="664" w:type="dxa"/>
            <w:tcBorders>
              <w:top w:val="nil"/>
              <w:left w:val="nil"/>
              <w:bottom w:val="single" w:sz="4" w:space="0" w:color="auto"/>
              <w:right w:val="single" w:sz="4" w:space="0" w:color="auto"/>
            </w:tcBorders>
            <w:shd w:val="clear" w:color="auto" w:fill="auto"/>
            <w:noWrap/>
            <w:vAlign w:val="bottom"/>
            <w:hideMark/>
          </w:tcPr>
          <w:p w14:paraId="40FF9BD6" w14:textId="77777777" w:rsidR="001C1EAC" w:rsidRPr="001C1EAC" w:rsidRDefault="001C1EAC" w:rsidP="001C1EAC">
            <w:pPr>
              <w:spacing w:after="0" w:line="240" w:lineRule="auto"/>
              <w:ind w:firstLineChars="200" w:firstLine="442"/>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c>
          <w:tcPr>
            <w:tcW w:w="1833" w:type="dxa"/>
            <w:tcBorders>
              <w:top w:val="nil"/>
              <w:left w:val="nil"/>
              <w:bottom w:val="single" w:sz="4" w:space="0" w:color="auto"/>
              <w:right w:val="single" w:sz="4" w:space="0" w:color="auto"/>
            </w:tcBorders>
            <w:shd w:val="clear" w:color="auto" w:fill="auto"/>
            <w:noWrap/>
            <w:vAlign w:val="bottom"/>
            <w:hideMark/>
          </w:tcPr>
          <w:p w14:paraId="290A394F" w14:textId="77777777" w:rsidR="001C1EAC" w:rsidRPr="001C1EAC" w:rsidRDefault="001C1EAC" w:rsidP="001C1EAC">
            <w:pPr>
              <w:spacing w:after="0" w:line="240" w:lineRule="auto"/>
              <w:ind w:firstLineChars="300" w:firstLine="663"/>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(Thousands)</w:t>
            </w:r>
          </w:p>
        </w:tc>
        <w:tc>
          <w:tcPr>
            <w:tcW w:w="982" w:type="dxa"/>
            <w:gridSpan w:val="2"/>
            <w:tcBorders>
              <w:top w:val="nil"/>
              <w:left w:val="nil"/>
              <w:bottom w:val="single" w:sz="4" w:space="0" w:color="auto"/>
              <w:right w:val="single" w:sz="4" w:space="0" w:color="auto"/>
            </w:tcBorders>
            <w:shd w:val="clear" w:color="auto" w:fill="auto"/>
            <w:noWrap/>
            <w:vAlign w:val="bottom"/>
            <w:hideMark/>
          </w:tcPr>
          <w:p w14:paraId="08455A01" w14:textId="77777777" w:rsidR="001C1EAC" w:rsidRPr="001C1EAC" w:rsidRDefault="001C1EAC" w:rsidP="001C1EAC">
            <w:pPr>
              <w:spacing w:after="0" w:line="240" w:lineRule="auto"/>
              <w:ind w:firstLineChars="300" w:firstLine="663"/>
              <w:rPr>
                <w:rFonts w:ascii="Calibri" w:eastAsia="Times New Roman" w:hAnsi="Calibri" w:cs="Calibri"/>
                <w:b/>
                <w:bCs/>
                <w:color w:val="000000"/>
                <w:kern w:val="0"/>
                <w:lang w:eastAsia="en-IN"/>
                <w14:ligatures w14:val="none"/>
              </w:rPr>
            </w:pPr>
            <w:r w:rsidRPr="001C1EAC">
              <w:rPr>
                <w:rFonts w:ascii="Calibri" w:eastAsia="Times New Roman" w:hAnsi="Calibri" w:cs="Calibri"/>
                <w:b/>
                <w:bCs/>
                <w:color w:val="000000"/>
                <w:kern w:val="0"/>
                <w:lang w:eastAsia="en-IN"/>
                <w14:ligatures w14:val="none"/>
              </w:rPr>
              <w:t> </w:t>
            </w:r>
          </w:p>
        </w:tc>
      </w:tr>
      <w:tr w:rsidR="001C1EAC" w:rsidRPr="001C1EAC" w14:paraId="298911A5" w14:textId="77777777" w:rsidTr="001C1EAC">
        <w:trPr>
          <w:trHeight w:val="271"/>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2DE27511"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2019</w:t>
            </w:r>
          </w:p>
        </w:tc>
        <w:tc>
          <w:tcPr>
            <w:tcW w:w="171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B1C811"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60</w:t>
            </w:r>
          </w:p>
        </w:tc>
        <w:tc>
          <w:tcPr>
            <w:tcW w:w="239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52B8A"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w:t>
            </w:r>
          </w:p>
        </w:tc>
        <w:tc>
          <w:tcPr>
            <w:tcW w:w="19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740E2B"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2200</w:t>
            </w:r>
          </w:p>
        </w:tc>
        <w:tc>
          <w:tcPr>
            <w:tcW w:w="2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B507AF0"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1000</w:t>
            </w:r>
          </w:p>
        </w:tc>
      </w:tr>
      <w:tr w:rsidR="001C1EAC" w:rsidRPr="001C1EAC" w14:paraId="6284DFF7" w14:textId="77777777" w:rsidTr="001C1EAC">
        <w:trPr>
          <w:trHeight w:val="271"/>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0A76B339"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2020</w:t>
            </w:r>
          </w:p>
        </w:tc>
        <w:tc>
          <w:tcPr>
            <w:tcW w:w="171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C641BD"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69</w:t>
            </w:r>
          </w:p>
        </w:tc>
        <w:tc>
          <w:tcPr>
            <w:tcW w:w="239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D4B3B1"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2.3</w:t>
            </w:r>
          </w:p>
        </w:tc>
        <w:tc>
          <w:tcPr>
            <w:tcW w:w="19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FE8ACE"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2500</w:t>
            </w:r>
          </w:p>
        </w:tc>
        <w:tc>
          <w:tcPr>
            <w:tcW w:w="2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01FE445"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900</w:t>
            </w:r>
          </w:p>
        </w:tc>
      </w:tr>
      <w:tr w:rsidR="001C1EAC" w:rsidRPr="001C1EAC" w14:paraId="3D007D9A" w14:textId="77777777" w:rsidTr="001C1EAC">
        <w:trPr>
          <w:trHeight w:val="271"/>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1E90E9B7"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2021</w:t>
            </w:r>
          </w:p>
        </w:tc>
        <w:tc>
          <w:tcPr>
            <w:tcW w:w="171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62D152"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79.35</w:t>
            </w:r>
          </w:p>
        </w:tc>
        <w:tc>
          <w:tcPr>
            <w:tcW w:w="239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2050756"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2.6</w:t>
            </w:r>
          </w:p>
        </w:tc>
        <w:tc>
          <w:tcPr>
            <w:tcW w:w="19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F75232"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2900</w:t>
            </w:r>
          </w:p>
        </w:tc>
        <w:tc>
          <w:tcPr>
            <w:tcW w:w="2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192DD8"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850</w:t>
            </w:r>
          </w:p>
        </w:tc>
      </w:tr>
      <w:tr w:rsidR="001C1EAC" w:rsidRPr="001C1EAC" w14:paraId="16AB0057" w14:textId="77777777" w:rsidTr="001C1EAC">
        <w:trPr>
          <w:trHeight w:val="271"/>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56DF5762"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2022</w:t>
            </w:r>
          </w:p>
        </w:tc>
        <w:tc>
          <w:tcPr>
            <w:tcW w:w="171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282DA8"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92.84</w:t>
            </w:r>
          </w:p>
        </w:tc>
        <w:tc>
          <w:tcPr>
            <w:tcW w:w="239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6C64D2"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2.2</w:t>
            </w:r>
          </w:p>
        </w:tc>
        <w:tc>
          <w:tcPr>
            <w:tcW w:w="19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647727"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3400</w:t>
            </w:r>
          </w:p>
        </w:tc>
        <w:tc>
          <w:tcPr>
            <w:tcW w:w="2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3BC2C0"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730</w:t>
            </w:r>
          </w:p>
        </w:tc>
      </w:tr>
      <w:tr w:rsidR="001C1EAC" w:rsidRPr="001C1EAC" w14:paraId="007543F2" w14:textId="77777777" w:rsidTr="001C1EAC">
        <w:trPr>
          <w:trHeight w:val="271"/>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3938D31C"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2023</w:t>
            </w:r>
          </w:p>
        </w:tc>
        <w:tc>
          <w:tcPr>
            <w:tcW w:w="171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07BA47"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108.77</w:t>
            </w:r>
          </w:p>
        </w:tc>
        <w:tc>
          <w:tcPr>
            <w:tcW w:w="239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821F38"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2.5</w:t>
            </w:r>
          </w:p>
        </w:tc>
        <w:tc>
          <w:tcPr>
            <w:tcW w:w="193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F4709F"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4000</w:t>
            </w:r>
          </w:p>
        </w:tc>
        <w:tc>
          <w:tcPr>
            <w:tcW w:w="2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917653" w14:textId="77777777" w:rsidR="001C1EAC" w:rsidRPr="001C1EAC" w:rsidRDefault="001C1EAC" w:rsidP="001C1EAC">
            <w:pPr>
              <w:spacing w:after="0" w:line="240" w:lineRule="auto"/>
              <w:jc w:val="center"/>
              <w:rPr>
                <w:rFonts w:ascii="Calibri" w:eastAsia="Times New Roman" w:hAnsi="Calibri" w:cs="Calibri"/>
                <w:color w:val="000000"/>
                <w:kern w:val="0"/>
                <w:lang w:eastAsia="en-IN"/>
                <w14:ligatures w14:val="none"/>
              </w:rPr>
            </w:pPr>
            <w:r w:rsidRPr="001C1EAC">
              <w:rPr>
                <w:rFonts w:ascii="Calibri" w:eastAsia="Times New Roman" w:hAnsi="Calibri" w:cs="Calibri"/>
                <w:color w:val="000000"/>
                <w:kern w:val="0"/>
                <w:lang w:eastAsia="en-IN"/>
                <w14:ligatures w14:val="none"/>
              </w:rPr>
              <w:t>627</w:t>
            </w:r>
          </w:p>
        </w:tc>
      </w:tr>
    </w:tbl>
    <w:p w14:paraId="7D8518BA" w14:textId="77777777" w:rsidR="001C1EAC" w:rsidRDefault="001C1EAC" w:rsidP="001C1EAC">
      <w:pPr>
        <w:spacing w:before="100" w:beforeAutospacing="1" w:after="100" w:afterAutospacing="1" w:line="240" w:lineRule="auto"/>
        <w:ind w:left="1440"/>
      </w:pPr>
    </w:p>
    <w:p w14:paraId="63A83638" w14:textId="5B910FA1" w:rsidR="00336DC7" w:rsidRPr="00012E38" w:rsidRDefault="00012E38" w:rsidP="00012E38">
      <w:pPr>
        <w:rPr>
          <w:rFonts w:ascii="Arial" w:hAnsi="Arial" w:cs="Arial"/>
          <w:b/>
          <w:bCs/>
          <w:sz w:val="32"/>
          <w:szCs w:val="32"/>
        </w:rPr>
      </w:pPr>
      <w:r w:rsidRPr="00012E38">
        <w:rPr>
          <w:rFonts w:ascii="Arial" w:hAnsi="Arial" w:cs="Arial"/>
          <w:b/>
          <w:bCs/>
          <w:sz w:val="32"/>
          <w:szCs w:val="32"/>
        </w:rPr>
        <w:drawing>
          <wp:inline distT="0" distB="0" distL="0" distR="0" wp14:anchorId="67116A67" wp14:editId="75FF05EC">
            <wp:extent cx="5716665" cy="2456482"/>
            <wp:effectExtent l="0" t="0" r="0" b="1270"/>
            <wp:docPr id="4609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9299" name=""/>
                    <pic:cNvPicPr/>
                  </pic:nvPicPr>
                  <pic:blipFill rotWithShape="1">
                    <a:blip r:embed="rId9"/>
                    <a:srcRect t="2546"/>
                    <a:stretch/>
                  </pic:blipFill>
                  <pic:spPr bwMode="auto">
                    <a:xfrm>
                      <a:off x="0" y="0"/>
                      <a:ext cx="5791025" cy="2488435"/>
                    </a:xfrm>
                    <a:prstGeom prst="rect">
                      <a:avLst/>
                    </a:prstGeom>
                    <a:ln>
                      <a:noFill/>
                    </a:ln>
                    <a:extLst>
                      <a:ext uri="{53640926-AAD7-44D8-BBD7-CCE9431645EC}">
                        <a14:shadowObscured xmlns:a14="http://schemas.microsoft.com/office/drawing/2010/main"/>
                      </a:ext>
                    </a:extLst>
                  </pic:spPr>
                </pic:pic>
              </a:graphicData>
            </a:graphic>
          </wp:inline>
        </w:drawing>
      </w:r>
    </w:p>
    <w:sectPr w:rsidR="00336DC7" w:rsidRPr="00012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D2A6B"/>
    <w:multiLevelType w:val="multilevel"/>
    <w:tmpl w:val="05CCA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D240C"/>
    <w:multiLevelType w:val="hybridMultilevel"/>
    <w:tmpl w:val="8F6E0BA6"/>
    <w:lvl w:ilvl="0" w:tplc="58B2FBB8">
      <w:start w:val="1"/>
      <w:numFmt w:val="decimal"/>
      <w:lvlText w:val="%1."/>
      <w:lvlJc w:val="left"/>
      <w:pPr>
        <w:ind w:left="720" w:hanging="360"/>
      </w:pPr>
      <w:rPr>
        <w:b w:val="0"/>
        <w:b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7226038">
    <w:abstractNumId w:val="1"/>
  </w:num>
  <w:num w:numId="2" w16cid:durableId="9220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5F"/>
    <w:rsid w:val="00001581"/>
    <w:rsid w:val="00012E38"/>
    <w:rsid w:val="001C1EAC"/>
    <w:rsid w:val="001E1ABE"/>
    <w:rsid w:val="001F424D"/>
    <w:rsid w:val="00336DC7"/>
    <w:rsid w:val="00412C78"/>
    <w:rsid w:val="005538E3"/>
    <w:rsid w:val="009F146D"/>
    <w:rsid w:val="00AB2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701D"/>
  <w15:chartTrackingRefBased/>
  <w15:docId w15:val="{91F9DA80-7559-4754-9200-D3C670AB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9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12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95F"/>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AB295F"/>
  </w:style>
  <w:style w:type="paragraph" w:customStyle="1" w:styleId="comp">
    <w:name w:val="comp"/>
    <w:basedOn w:val="Normal"/>
    <w:rsid w:val="00AB29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AB295F"/>
  </w:style>
  <w:style w:type="paragraph" w:styleId="NormalWeb">
    <w:name w:val="Normal (Web)"/>
    <w:basedOn w:val="Normal"/>
    <w:uiPriority w:val="99"/>
    <w:semiHidden/>
    <w:unhideWhenUsed/>
    <w:rsid w:val="00AB29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295F"/>
    <w:rPr>
      <w:color w:val="0000FF"/>
      <w:u w:val="single"/>
    </w:rPr>
  </w:style>
  <w:style w:type="paragraph" w:styleId="ListParagraph">
    <w:name w:val="List Paragraph"/>
    <w:basedOn w:val="Normal"/>
    <w:uiPriority w:val="34"/>
    <w:qFormat/>
    <w:rsid w:val="005538E3"/>
    <w:pPr>
      <w:ind w:left="720"/>
      <w:contextualSpacing/>
    </w:pPr>
  </w:style>
  <w:style w:type="character" w:customStyle="1" w:styleId="Heading3Char">
    <w:name w:val="Heading 3 Char"/>
    <w:basedOn w:val="DefaultParagraphFont"/>
    <w:link w:val="Heading3"/>
    <w:uiPriority w:val="9"/>
    <w:semiHidden/>
    <w:rsid w:val="00012E3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12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939370">
      <w:bodyDiv w:val="1"/>
      <w:marLeft w:val="0"/>
      <w:marRight w:val="0"/>
      <w:marTop w:val="0"/>
      <w:marBottom w:val="0"/>
      <w:divBdr>
        <w:top w:val="none" w:sz="0" w:space="0" w:color="auto"/>
        <w:left w:val="none" w:sz="0" w:space="0" w:color="auto"/>
        <w:bottom w:val="none" w:sz="0" w:space="0" w:color="auto"/>
        <w:right w:val="none" w:sz="0" w:space="0" w:color="auto"/>
      </w:divBdr>
    </w:div>
    <w:div w:id="959216930">
      <w:bodyDiv w:val="1"/>
      <w:marLeft w:val="0"/>
      <w:marRight w:val="0"/>
      <w:marTop w:val="0"/>
      <w:marBottom w:val="0"/>
      <w:divBdr>
        <w:top w:val="none" w:sz="0" w:space="0" w:color="auto"/>
        <w:left w:val="none" w:sz="0" w:space="0" w:color="auto"/>
        <w:bottom w:val="none" w:sz="0" w:space="0" w:color="auto"/>
        <w:right w:val="none" w:sz="0" w:space="0" w:color="auto"/>
      </w:divBdr>
      <w:divsChild>
        <w:div w:id="572814406">
          <w:marLeft w:val="0"/>
          <w:marRight w:val="0"/>
          <w:marTop w:val="0"/>
          <w:marBottom w:val="0"/>
          <w:divBdr>
            <w:top w:val="none" w:sz="0" w:space="0" w:color="auto"/>
            <w:left w:val="none" w:sz="0" w:space="0" w:color="auto"/>
            <w:bottom w:val="none" w:sz="0" w:space="0" w:color="auto"/>
            <w:right w:val="none" w:sz="0" w:space="0" w:color="auto"/>
          </w:divBdr>
          <w:divsChild>
            <w:div w:id="817496959">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112633640">
      <w:bodyDiv w:val="1"/>
      <w:marLeft w:val="0"/>
      <w:marRight w:val="0"/>
      <w:marTop w:val="0"/>
      <w:marBottom w:val="0"/>
      <w:divBdr>
        <w:top w:val="none" w:sz="0" w:space="0" w:color="auto"/>
        <w:left w:val="none" w:sz="0" w:space="0" w:color="auto"/>
        <w:bottom w:val="none" w:sz="0" w:space="0" w:color="auto"/>
        <w:right w:val="none" w:sz="0" w:space="0" w:color="auto"/>
      </w:divBdr>
    </w:div>
    <w:div w:id="18338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FAED9-498D-4801-BC95-BBA4CE73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2024-06-12T04:18:00Z</dcterms:created>
  <dcterms:modified xsi:type="dcterms:W3CDTF">2024-06-12T06:27:00Z</dcterms:modified>
</cp:coreProperties>
</file>