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3B42A" w14:textId="6F93A96D" w:rsidR="00001581" w:rsidRPr="001B3F5B" w:rsidRDefault="008D4B6C">
      <w:pPr>
        <w:rPr>
          <w:rFonts w:ascii="Times New Roman" w:hAnsi="Times New Roman" w:cs="Times New Roman"/>
          <w:b/>
          <w:bCs/>
          <w:color w:val="000000" w:themeColor="text1"/>
          <w:sz w:val="28"/>
          <w:szCs w:val="28"/>
          <w:u w:val="single"/>
          <w:lang w:val="en-US"/>
        </w:rPr>
      </w:pPr>
      <w:r w:rsidRPr="001B3F5B">
        <w:rPr>
          <w:rFonts w:ascii="Times New Roman" w:hAnsi="Times New Roman" w:cs="Times New Roman"/>
          <w:b/>
          <w:bCs/>
          <w:color w:val="000000" w:themeColor="text1"/>
          <w:sz w:val="28"/>
          <w:szCs w:val="28"/>
          <w:u w:val="single"/>
          <w:lang w:val="en-US"/>
        </w:rPr>
        <w:t>Asset Management</w:t>
      </w:r>
    </w:p>
    <w:p w14:paraId="0F00F3FF" w14:textId="4D78D944" w:rsidR="008D4B6C" w:rsidRPr="001B3F5B" w:rsidRDefault="008D4B6C" w:rsidP="001B3F5B">
      <w:pPr>
        <w:pStyle w:val="ListParagraph"/>
        <w:numPr>
          <w:ilvl w:val="0"/>
          <w:numId w:val="2"/>
        </w:numPr>
        <w:rPr>
          <w:rFonts w:ascii="Times New Roman" w:hAnsi="Times New Roman" w:cs="Times New Roman"/>
          <w:color w:val="000000" w:themeColor="text1"/>
          <w:spacing w:val="1"/>
          <w:sz w:val="24"/>
          <w:szCs w:val="24"/>
          <w:shd w:val="clear" w:color="auto" w:fill="FFFFFF"/>
        </w:rPr>
      </w:pPr>
      <w:r w:rsidRPr="001B3F5B">
        <w:rPr>
          <w:rFonts w:ascii="Times New Roman" w:hAnsi="Times New Roman" w:cs="Times New Roman"/>
          <w:color w:val="000000" w:themeColor="text1"/>
          <w:spacing w:val="1"/>
          <w:sz w:val="24"/>
          <w:szCs w:val="24"/>
          <w:shd w:val="clear" w:color="auto" w:fill="FFFFFF"/>
        </w:rPr>
        <w:t>Asset management is the practice of buying, selling, and managing investments, commensurate with specific risk tolerances, to increase wealth over time.</w:t>
      </w:r>
    </w:p>
    <w:p w14:paraId="510549D0" w14:textId="04471EAC" w:rsidR="008D4B6C" w:rsidRDefault="008D4B6C" w:rsidP="001B3F5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pacing w:val="1"/>
          <w:kern w:val="0"/>
          <w:sz w:val="24"/>
          <w:szCs w:val="24"/>
          <w:lang w:eastAsia="en-IN"/>
          <w14:ligatures w14:val="none"/>
        </w:rPr>
      </w:pPr>
      <w:r w:rsidRPr="001B3F5B">
        <w:rPr>
          <w:rFonts w:ascii="Times New Roman" w:eastAsia="Times New Roman" w:hAnsi="Times New Roman" w:cs="Times New Roman"/>
          <w:color w:val="000000" w:themeColor="text1"/>
          <w:spacing w:val="1"/>
          <w:kern w:val="0"/>
          <w:sz w:val="24"/>
          <w:szCs w:val="24"/>
          <w:lang w:eastAsia="en-IN"/>
          <w14:ligatures w14:val="none"/>
        </w:rPr>
        <w:t>Asset management is generally provided by specialized firms to individuals, government entities, corporations, and institutional investors.</w:t>
      </w:r>
    </w:p>
    <w:p w14:paraId="5A7AE071" w14:textId="2B2F3FA5" w:rsidR="007B7A0A" w:rsidRPr="007B7A0A" w:rsidRDefault="007B7A0A" w:rsidP="001B3F5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spacing w:val="1"/>
          <w:kern w:val="0"/>
          <w:sz w:val="24"/>
          <w:szCs w:val="24"/>
          <w:lang w:eastAsia="en-IN"/>
          <w14:ligatures w14:val="none"/>
        </w:rPr>
      </w:pPr>
      <w:r w:rsidRPr="007B7A0A">
        <w:rPr>
          <w:rFonts w:ascii="Times New Roman" w:hAnsi="Times New Roman" w:cs="Times New Roman"/>
          <w:sz w:val="24"/>
          <w:szCs w:val="24"/>
          <w:shd w:val="clear" w:color="auto" w:fill="FFFFFF"/>
        </w:rPr>
        <w:t>The </w:t>
      </w:r>
      <w:hyperlink r:id="rId5" w:history="1">
        <w:r w:rsidRPr="007B7A0A">
          <w:rPr>
            <w:rStyle w:val="Hyperlink"/>
            <w:rFonts w:ascii="Times New Roman" w:hAnsi="Times New Roman" w:cs="Times New Roman"/>
            <w:color w:val="auto"/>
            <w:sz w:val="24"/>
            <w:szCs w:val="24"/>
            <w:u w:val="none"/>
            <w:shd w:val="clear" w:color="auto" w:fill="FFFFFF"/>
          </w:rPr>
          <w:t>asset management industry</w:t>
        </w:r>
      </w:hyperlink>
      <w:r w:rsidRPr="007B7A0A">
        <w:rPr>
          <w:rFonts w:ascii="Times New Roman" w:hAnsi="Times New Roman" w:cs="Times New Roman"/>
          <w:sz w:val="24"/>
          <w:szCs w:val="24"/>
          <w:shd w:val="clear" w:color="auto" w:fill="FFFFFF"/>
        </w:rPr>
        <w:t> has emerged from the global pandemic in a position of strength, with assets growing by 11% in 2020 to end the year at $103 trillion.</w:t>
      </w:r>
    </w:p>
    <w:p w14:paraId="04EF7E9B" w14:textId="47F39D17" w:rsidR="008D4B6C" w:rsidRPr="001B3F5B" w:rsidRDefault="008D4B6C" w:rsidP="001B3F5B">
      <w:pPr>
        <w:pStyle w:val="ListParagraph"/>
        <w:numPr>
          <w:ilvl w:val="0"/>
          <w:numId w:val="2"/>
        </w:numPr>
        <w:rPr>
          <w:rFonts w:ascii="Times New Roman" w:hAnsi="Times New Roman" w:cs="Times New Roman"/>
          <w:color w:val="000000" w:themeColor="text1"/>
          <w:sz w:val="24"/>
          <w:szCs w:val="24"/>
        </w:rPr>
      </w:pPr>
      <w:r w:rsidRPr="001B3F5B">
        <w:rPr>
          <w:rFonts w:ascii="Times New Roman" w:hAnsi="Times New Roman" w:cs="Times New Roman"/>
          <w:color w:val="000000" w:themeColor="text1"/>
          <w:sz w:val="24"/>
          <w:szCs w:val="24"/>
          <w:shd w:val="clear" w:color="auto" w:fill="FFFFFF"/>
        </w:rPr>
        <w:t>The U.S. asset management market is substantial and poised for growth. As of 2024, it’s estimated to be around </w:t>
      </w:r>
      <w:r w:rsidRPr="001B3F5B">
        <w:rPr>
          <w:rStyle w:val="Strong"/>
          <w:rFonts w:ascii="Times New Roman" w:hAnsi="Times New Roman" w:cs="Times New Roman"/>
          <w:color w:val="000000" w:themeColor="text1"/>
          <w:sz w:val="24"/>
          <w:szCs w:val="24"/>
          <w:shd w:val="clear" w:color="auto" w:fill="FFFFFF"/>
        </w:rPr>
        <w:t>USD 48.22 trillion</w:t>
      </w:r>
      <w:r w:rsidRPr="001B3F5B">
        <w:rPr>
          <w:rFonts w:ascii="Times New Roman" w:hAnsi="Times New Roman" w:cs="Times New Roman"/>
          <w:color w:val="000000" w:themeColor="text1"/>
          <w:sz w:val="24"/>
          <w:szCs w:val="24"/>
          <w:shd w:val="clear" w:color="auto" w:fill="FFFFFF"/>
        </w:rPr>
        <w:t> in terms of assets under management. </w:t>
      </w:r>
      <w:hyperlink r:id="rId6" w:tgtFrame="_blank" w:history="1">
        <w:r w:rsidRPr="001B3F5B">
          <w:rPr>
            <w:rStyle w:val="Hyperlink"/>
            <w:rFonts w:ascii="Times New Roman" w:hAnsi="Times New Roman" w:cs="Times New Roman"/>
            <w:color w:val="000000" w:themeColor="text1"/>
            <w:sz w:val="24"/>
            <w:szCs w:val="24"/>
            <w:u w:val="none"/>
          </w:rPr>
          <w:t>However, by 2029, it’s projected to reach an impressive </w:t>
        </w:r>
        <w:r w:rsidRPr="001B3F5B">
          <w:rPr>
            <w:rStyle w:val="Strong"/>
            <w:rFonts w:ascii="Times New Roman" w:hAnsi="Times New Roman" w:cs="Times New Roman"/>
            <w:color w:val="000000" w:themeColor="text1"/>
            <w:sz w:val="24"/>
            <w:szCs w:val="24"/>
          </w:rPr>
          <w:t>USD 113.48 trillion</w:t>
        </w:r>
        <w:r w:rsidRPr="001B3F5B">
          <w:rPr>
            <w:rStyle w:val="Hyperlink"/>
            <w:rFonts w:ascii="Times New Roman" w:hAnsi="Times New Roman" w:cs="Times New Roman"/>
            <w:color w:val="000000" w:themeColor="text1"/>
            <w:sz w:val="24"/>
            <w:szCs w:val="24"/>
            <w:u w:val="none"/>
          </w:rPr>
          <w:t>, with a </w:t>
        </w:r>
        <w:r w:rsidRPr="001B3F5B">
          <w:rPr>
            <w:rStyle w:val="Strong"/>
            <w:rFonts w:ascii="Times New Roman" w:hAnsi="Times New Roman" w:cs="Times New Roman"/>
            <w:color w:val="000000" w:themeColor="text1"/>
            <w:sz w:val="24"/>
            <w:szCs w:val="24"/>
          </w:rPr>
          <w:t>CAGR of 18.67%</w:t>
        </w:r>
        <w:r w:rsidRPr="001B3F5B">
          <w:rPr>
            <w:rStyle w:val="Hyperlink"/>
            <w:rFonts w:ascii="Times New Roman" w:hAnsi="Times New Roman" w:cs="Times New Roman"/>
            <w:color w:val="000000" w:themeColor="text1"/>
            <w:sz w:val="24"/>
            <w:szCs w:val="24"/>
            <w:u w:val="none"/>
          </w:rPr>
          <w:t> during that period</w:t>
        </w:r>
      </w:hyperlink>
      <w:r w:rsidRPr="001B3F5B">
        <w:rPr>
          <w:rFonts w:ascii="Times New Roman" w:hAnsi="Times New Roman" w:cs="Times New Roman"/>
          <w:color w:val="000000" w:themeColor="text1"/>
          <w:sz w:val="24"/>
          <w:szCs w:val="24"/>
        </w:rPr>
        <w:t>.</w:t>
      </w:r>
    </w:p>
    <w:p w14:paraId="5145F558" w14:textId="25F00B7D" w:rsidR="00E15B97" w:rsidRPr="001B3F5B" w:rsidRDefault="00E15B97" w:rsidP="001B3F5B">
      <w:pPr>
        <w:pStyle w:val="ListParagraph"/>
        <w:numPr>
          <w:ilvl w:val="0"/>
          <w:numId w:val="2"/>
        </w:numPr>
        <w:rPr>
          <w:rFonts w:ascii="Times New Roman" w:hAnsi="Times New Roman" w:cs="Times New Roman"/>
          <w:color w:val="000000" w:themeColor="text1"/>
          <w:spacing w:val="1"/>
          <w:sz w:val="24"/>
          <w:szCs w:val="24"/>
          <w:shd w:val="clear" w:color="auto" w:fill="FFFFFF"/>
        </w:rPr>
      </w:pPr>
      <w:r w:rsidRPr="001B3F5B">
        <w:rPr>
          <w:rFonts w:ascii="Times New Roman" w:hAnsi="Times New Roman" w:cs="Times New Roman"/>
          <w:color w:val="000000" w:themeColor="text1"/>
          <w:spacing w:val="1"/>
          <w:sz w:val="24"/>
          <w:szCs w:val="24"/>
          <w:shd w:val="clear" w:color="auto" w:fill="FFFFFF"/>
        </w:rPr>
        <w:t>As of February 2024, the five largest asset management institutions, based on global assets under management (AUM), were BlackRock ($9.46 trillion), Vanguard Group ($7.25 trillion), Fidelity Management and Research ($3.88 trillion), The Capital Group ($2.5 trillion), and Amundi ($2.1 trillion).</w:t>
      </w:r>
    </w:p>
    <w:p w14:paraId="7A0DB607" w14:textId="3FFDDB01" w:rsidR="00E15B97" w:rsidRPr="001B3F5B" w:rsidRDefault="00E15B97" w:rsidP="001B3F5B">
      <w:pPr>
        <w:pStyle w:val="ListParagraph"/>
        <w:numPr>
          <w:ilvl w:val="0"/>
          <w:numId w:val="2"/>
        </w:numPr>
        <w:rPr>
          <w:rFonts w:ascii="Times New Roman" w:hAnsi="Times New Roman" w:cs="Times New Roman"/>
          <w:color w:val="000000" w:themeColor="text1"/>
          <w:spacing w:val="1"/>
          <w:sz w:val="24"/>
          <w:szCs w:val="24"/>
          <w:shd w:val="clear" w:color="auto" w:fill="FFFFFF"/>
        </w:rPr>
      </w:pPr>
      <w:r w:rsidRPr="001B3F5B">
        <w:rPr>
          <w:rFonts w:ascii="Times New Roman" w:hAnsi="Times New Roman" w:cs="Times New Roman"/>
          <w:color w:val="000000" w:themeColor="text1"/>
          <w:spacing w:val="1"/>
          <w:sz w:val="24"/>
          <w:szCs w:val="24"/>
          <w:shd w:val="clear" w:color="auto" w:fill="FFFFFF"/>
        </w:rPr>
        <w:t>Asset managers have a variety of fee structures. The most common model charges a percentage of the assets under management, with the industry average at about 1% for up to $1 million. Larger portfolios are usually charged fewer and lower fees due to their size.</w:t>
      </w:r>
    </w:p>
    <w:p w14:paraId="443E7576" w14:textId="779D9EB5" w:rsidR="00E15B97" w:rsidRPr="001B3F5B" w:rsidRDefault="00E15B97" w:rsidP="001B3F5B">
      <w:pPr>
        <w:pStyle w:val="ListParagraph"/>
        <w:numPr>
          <w:ilvl w:val="0"/>
          <w:numId w:val="2"/>
        </w:numPr>
        <w:rPr>
          <w:rFonts w:ascii="Times New Roman" w:hAnsi="Times New Roman" w:cs="Times New Roman"/>
          <w:color w:val="000000" w:themeColor="text1"/>
          <w:spacing w:val="1"/>
          <w:sz w:val="24"/>
          <w:szCs w:val="24"/>
          <w:shd w:val="clear" w:color="auto" w:fill="FFFFFF"/>
        </w:rPr>
      </w:pPr>
      <w:r w:rsidRPr="001B3F5B">
        <w:rPr>
          <w:rFonts w:ascii="Times New Roman" w:hAnsi="Times New Roman" w:cs="Times New Roman"/>
          <w:color w:val="000000" w:themeColor="text1"/>
          <w:spacing w:val="1"/>
          <w:sz w:val="24"/>
          <w:szCs w:val="24"/>
          <w:shd w:val="clear" w:color="auto" w:fill="FFFFFF"/>
        </w:rPr>
        <w:t>A </w:t>
      </w:r>
      <w:hyperlink r:id="rId7" w:history="1">
        <w:r w:rsidRPr="001B3F5B">
          <w:rPr>
            <w:rStyle w:val="Hyperlink"/>
            <w:rFonts w:ascii="Times New Roman" w:hAnsi="Times New Roman" w:cs="Times New Roman"/>
            <w:color w:val="000000" w:themeColor="text1"/>
            <w:spacing w:val="1"/>
            <w:sz w:val="24"/>
            <w:szCs w:val="24"/>
            <w:u w:val="none"/>
            <w:shd w:val="clear" w:color="auto" w:fill="FFFFFF"/>
          </w:rPr>
          <w:t>registered investment adviser (RIA)</w:t>
        </w:r>
      </w:hyperlink>
      <w:r w:rsidRPr="001B3F5B">
        <w:rPr>
          <w:rFonts w:ascii="Times New Roman" w:hAnsi="Times New Roman" w:cs="Times New Roman"/>
          <w:color w:val="000000" w:themeColor="text1"/>
          <w:spacing w:val="1"/>
          <w:sz w:val="24"/>
          <w:szCs w:val="24"/>
          <w:shd w:val="clear" w:color="auto" w:fill="FFFFFF"/>
        </w:rPr>
        <w:t> is a firm that advises clients on security trades and </w:t>
      </w:r>
      <w:hyperlink r:id="rId8" w:history="1">
        <w:r w:rsidRPr="001B3F5B">
          <w:rPr>
            <w:rStyle w:val="Hyperlink"/>
            <w:rFonts w:ascii="Times New Roman" w:hAnsi="Times New Roman" w:cs="Times New Roman"/>
            <w:color w:val="000000" w:themeColor="text1"/>
            <w:spacing w:val="1"/>
            <w:sz w:val="24"/>
            <w:szCs w:val="24"/>
            <w:u w:val="none"/>
            <w:shd w:val="clear" w:color="auto" w:fill="FFFFFF"/>
          </w:rPr>
          <w:t>manages their portfolios</w:t>
        </w:r>
      </w:hyperlink>
      <w:r w:rsidRPr="001B3F5B">
        <w:rPr>
          <w:rFonts w:ascii="Times New Roman" w:hAnsi="Times New Roman" w:cs="Times New Roman"/>
          <w:color w:val="000000" w:themeColor="text1"/>
          <w:spacing w:val="1"/>
          <w:sz w:val="24"/>
          <w:szCs w:val="24"/>
          <w:shd w:val="clear" w:color="auto" w:fill="FFFFFF"/>
        </w:rPr>
        <w:t>. RIAs are closely regulated and are </w:t>
      </w:r>
      <w:hyperlink r:id="rId9" w:history="1">
        <w:r w:rsidRPr="001B3F5B">
          <w:rPr>
            <w:rStyle w:val="Hyperlink"/>
            <w:rFonts w:ascii="Times New Roman" w:hAnsi="Times New Roman" w:cs="Times New Roman"/>
            <w:color w:val="000000" w:themeColor="text1"/>
            <w:spacing w:val="1"/>
            <w:sz w:val="24"/>
            <w:szCs w:val="24"/>
            <w:u w:val="none"/>
            <w:shd w:val="clear" w:color="auto" w:fill="FFFFFF"/>
          </w:rPr>
          <w:t>required to register with the SEC</w:t>
        </w:r>
      </w:hyperlink>
      <w:r w:rsidRPr="001B3F5B">
        <w:rPr>
          <w:rFonts w:ascii="Times New Roman" w:hAnsi="Times New Roman" w:cs="Times New Roman"/>
          <w:color w:val="000000" w:themeColor="text1"/>
          <w:spacing w:val="1"/>
          <w:sz w:val="24"/>
          <w:szCs w:val="24"/>
          <w:shd w:val="clear" w:color="auto" w:fill="FFFFFF"/>
        </w:rPr>
        <w:t> if they manage more than $100 million in assets.</w:t>
      </w:r>
    </w:p>
    <w:p w14:paraId="2E68835F" w14:textId="48CEF3C3" w:rsidR="00E15B97" w:rsidRPr="001B3F5B" w:rsidRDefault="00E15B97" w:rsidP="001B3F5B">
      <w:pPr>
        <w:pStyle w:val="ListParagraph"/>
        <w:numPr>
          <w:ilvl w:val="0"/>
          <w:numId w:val="2"/>
        </w:numPr>
        <w:rPr>
          <w:rFonts w:ascii="Times New Roman" w:hAnsi="Times New Roman" w:cs="Times New Roman"/>
          <w:i/>
          <w:iCs/>
          <w:color w:val="000000" w:themeColor="text1"/>
          <w:spacing w:val="1"/>
          <w:sz w:val="24"/>
          <w:szCs w:val="24"/>
          <w:shd w:val="clear" w:color="auto" w:fill="FFFFFF"/>
        </w:rPr>
      </w:pPr>
      <w:r w:rsidRPr="001B3F5B">
        <w:rPr>
          <w:rFonts w:ascii="Times New Roman" w:hAnsi="Times New Roman" w:cs="Times New Roman"/>
          <w:color w:val="000000" w:themeColor="text1"/>
          <w:spacing w:val="1"/>
          <w:sz w:val="24"/>
          <w:szCs w:val="24"/>
          <w:shd w:val="clear" w:color="auto" w:fill="FFFFFF"/>
        </w:rPr>
        <w:t>Other types are: Broker, financial-advisor, Robo-advisor i.e. (</w:t>
      </w:r>
      <w:r w:rsidRPr="001B3F5B">
        <w:rPr>
          <w:rFonts w:ascii="Times New Roman" w:hAnsi="Times New Roman" w:cs="Times New Roman"/>
          <w:color w:val="000000" w:themeColor="text1"/>
          <w:spacing w:val="1"/>
          <w:sz w:val="24"/>
          <w:szCs w:val="24"/>
          <w:shd w:val="clear" w:color="auto" w:fill="FFFFFF"/>
        </w:rPr>
        <w:t xml:space="preserve">A </w:t>
      </w:r>
      <w:proofErr w:type="spellStart"/>
      <w:r w:rsidRPr="001B3F5B">
        <w:rPr>
          <w:rFonts w:ascii="Times New Roman" w:hAnsi="Times New Roman" w:cs="Times New Roman"/>
          <w:color w:val="000000" w:themeColor="text1"/>
          <w:spacing w:val="1"/>
          <w:sz w:val="24"/>
          <w:szCs w:val="24"/>
          <w:shd w:val="clear" w:color="auto" w:fill="FFFFFF"/>
        </w:rPr>
        <w:t>robo</w:t>
      </w:r>
      <w:proofErr w:type="spellEnd"/>
      <w:r w:rsidRPr="001B3F5B">
        <w:rPr>
          <w:rFonts w:ascii="Times New Roman" w:hAnsi="Times New Roman" w:cs="Times New Roman"/>
          <w:color w:val="000000" w:themeColor="text1"/>
          <w:spacing w:val="1"/>
          <w:sz w:val="24"/>
          <w:szCs w:val="24"/>
          <w:shd w:val="clear" w:color="auto" w:fill="FFFFFF"/>
        </w:rPr>
        <w:t>-advisor is a computer algorithm that automatically builds, monitors, and rebalances an investor's portfolio to suit their needs.</w:t>
      </w:r>
      <w:r w:rsidRPr="001B3F5B">
        <w:rPr>
          <w:rFonts w:ascii="Times New Roman" w:hAnsi="Times New Roman" w:cs="Times New Roman"/>
          <w:color w:val="000000" w:themeColor="text1"/>
          <w:spacing w:val="1"/>
          <w:sz w:val="24"/>
          <w:szCs w:val="24"/>
          <w:shd w:val="clear" w:color="auto" w:fill="FFFFFF"/>
        </w:rPr>
        <w:t>).</w:t>
      </w:r>
      <w:r w:rsidRPr="001B3F5B">
        <w:rPr>
          <w:rFonts w:ascii="Times New Roman" w:hAnsi="Times New Roman" w:cs="Times New Roman"/>
          <w:i/>
          <w:iCs/>
          <w:color w:val="000000" w:themeColor="text1"/>
          <w:spacing w:val="1"/>
          <w:sz w:val="24"/>
          <w:szCs w:val="24"/>
          <w:shd w:val="clear" w:color="auto" w:fill="FFFFFF"/>
        </w:rPr>
        <w:t xml:space="preserve"> </w:t>
      </w:r>
      <w:r w:rsidRPr="001B3F5B">
        <w:rPr>
          <w:rFonts w:ascii="Times New Roman" w:hAnsi="Times New Roman" w:cs="Times New Roman"/>
          <w:color w:val="000000" w:themeColor="text1"/>
          <w:spacing w:val="1"/>
          <w:sz w:val="24"/>
          <w:szCs w:val="24"/>
          <w:shd w:val="clear" w:color="auto" w:fill="FFFFFF"/>
        </w:rPr>
        <w:t xml:space="preserve">The </w:t>
      </w:r>
      <w:proofErr w:type="spellStart"/>
      <w:r w:rsidRPr="001B3F5B">
        <w:rPr>
          <w:rFonts w:ascii="Times New Roman" w:hAnsi="Times New Roman" w:cs="Times New Roman"/>
          <w:color w:val="000000" w:themeColor="text1"/>
          <w:spacing w:val="1"/>
          <w:sz w:val="24"/>
          <w:szCs w:val="24"/>
          <w:shd w:val="clear" w:color="auto" w:fill="FFFFFF"/>
        </w:rPr>
        <w:t>robo</w:t>
      </w:r>
      <w:proofErr w:type="spellEnd"/>
      <w:r w:rsidRPr="001B3F5B">
        <w:rPr>
          <w:rFonts w:ascii="Times New Roman" w:hAnsi="Times New Roman" w:cs="Times New Roman"/>
          <w:color w:val="000000" w:themeColor="text1"/>
          <w:spacing w:val="1"/>
          <w:sz w:val="24"/>
          <w:szCs w:val="24"/>
          <w:shd w:val="clear" w:color="auto" w:fill="FFFFFF"/>
        </w:rPr>
        <w:t>-advisor market is expected to grow from $9.5 billion in 2024 to $72 billion in 2032.</w:t>
      </w:r>
    </w:p>
    <w:tbl>
      <w:tblPr>
        <w:tblpPr w:leftFromText="180" w:rightFromText="180" w:vertAnchor="text" w:horzAnchor="page" w:tblpX="969" w:tblpY="2910"/>
        <w:tblW w:w="3114" w:type="dxa"/>
        <w:tblLook w:val="04A0" w:firstRow="1" w:lastRow="0" w:firstColumn="1" w:lastColumn="0" w:noHBand="0" w:noVBand="1"/>
      </w:tblPr>
      <w:tblGrid>
        <w:gridCol w:w="960"/>
        <w:gridCol w:w="2154"/>
      </w:tblGrid>
      <w:tr w:rsidR="007B7A0A" w:rsidRPr="00E15B97" w14:paraId="191351C0" w14:textId="77777777" w:rsidTr="007B7A0A">
        <w:trPr>
          <w:trHeight w:val="57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1C15F" w14:textId="77777777" w:rsidR="007B7A0A" w:rsidRPr="00E15B97" w:rsidRDefault="007B7A0A" w:rsidP="007B7A0A">
            <w:pPr>
              <w:spacing w:after="0" w:line="240" w:lineRule="auto"/>
              <w:jc w:val="center"/>
              <w:rPr>
                <w:rFonts w:ascii="Calibri" w:eastAsia="Times New Roman" w:hAnsi="Calibri" w:cs="Calibri"/>
                <w:b/>
                <w:bCs/>
                <w:color w:val="000000"/>
                <w:kern w:val="0"/>
                <w:lang w:eastAsia="en-IN"/>
                <w14:ligatures w14:val="none"/>
              </w:rPr>
            </w:pPr>
            <w:r w:rsidRPr="00E15B97">
              <w:rPr>
                <w:rFonts w:ascii="Calibri" w:eastAsia="Times New Roman" w:hAnsi="Calibri" w:cs="Calibri"/>
                <w:b/>
                <w:bCs/>
                <w:color w:val="000000"/>
                <w:kern w:val="0"/>
                <w:lang w:eastAsia="en-IN"/>
                <w14:ligatures w14:val="none"/>
              </w:rPr>
              <w:t>Year</w:t>
            </w:r>
          </w:p>
        </w:tc>
        <w:tc>
          <w:tcPr>
            <w:tcW w:w="2154" w:type="dxa"/>
            <w:tcBorders>
              <w:top w:val="single" w:sz="4" w:space="0" w:color="auto"/>
              <w:left w:val="nil"/>
              <w:bottom w:val="single" w:sz="4" w:space="0" w:color="auto"/>
              <w:right w:val="single" w:sz="4" w:space="0" w:color="auto"/>
            </w:tcBorders>
            <w:shd w:val="clear" w:color="auto" w:fill="auto"/>
            <w:vAlign w:val="center"/>
            <w:hideMark/>
          </w:tcPr>
          <w:p w14:paraId="65D43572" w14:textId="77777777" w:rsidR="007B7A0A" w:rsidRPr="00E15B97" w:rsidRDefault="007B7A0A" w:rsidP="007B7A0A">
            <w:pPr>
              <w:spacing w:after="0" w:line="240" w:lineRule="auto"/>
              <w:jc w:val="center"/>
              <w:rPr>
                <w:rFonts w:ascii="Calibri" w:eastAsia="Times New Roman" w:hAnsi="Calibri" w:cs="Calibri"/>
                <w:b/>
                <w:bCs/>
                <w:color w:val="000000"/>
                <w:kern w:val="0"/>
                <w:lang w:eastAsia="en-IN"/>
                <w14:ligatures w14:val="none"/>
              </w:rPr>
            </w:pPr>
            <w:r w:rsidRPr="00E15B97">
              <w:rPr>
                <w:rFonts w:ascii="Calibri" w:eastAsia="Times New Roman" w:hAnsi="Calibri" w:cs="Calibri"/>
                <w:b/>
                <w:bCs/>
                <w:color w:val="000000"/>
                <w:kern w:val="0"/>
                <w:lang w:eastAsia="en-IN"/>
                <w14:ligatures w14:val="none"/>
              </w:rPr>
              <w:t>Revenue (USD Million)</w:t>
            </w:r>
          </w:p>
        </w:tc>
      </w:tr>
      <w:tr w:rsidR="007B7A0A" w:rsidRPr="00E15B97" w14:paraId="6512FF81" w14:textId="77777777" w:rsidTr="007B7A0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533E57B"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2018</w:t>
            </w:r>
          </w:p>
        </w:tc>
        <w:tc>
          <w:tcPr>
            <w:tcW w:w="2154" w:type="dxa"/>
            <w:tcBorders>
              <w:top w:val="nil"/>
              <w:left w:val="nil"/>
              <w:bottom w:val="single" w:sz="4" w:space="0" w:color="auto"/>
              <w:right w:val="single" w:sz="4" w:space="0" w:color="auto"/>
            </w:tcBorders>
            <w:shd w:val="clear" w:color="auto" w:fill="auto"/>
            <w:vAlign w:val="center"/>
            <w:hideMark/>
          </w:tcPr>
          <w:p w14:paraId="02F7520A"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2.79</w:t>
            </w:r>
          </w:p>
        </w:tc>
      </w:tr>
      <w:tr w:rsidR="007B7A0A" w:rsidRPr="00E15B97" w14:paraId="005A8BF0" w14:textId="77777777" w:rsidTr="007B7A0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E0E8B6"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2019</w:t>
            </w:r>
          </w:p>
        </w:tc>
        <w:tc>
          <w:tcPr>
            <w:tcW w:w="2154" w:type="dxa"/>
            <w:tcBorders>
              <w:top w:val="nil"/>
              <w:left w:val="nil"/>
              <w:bottom w:val="single" w:sz="4" w:space="0" w:color="auto"/>
              <w:right w:val="single" w:sz="4" w:space="0" w:color="auto"/>
            </w:tcBorders>
            <w:shd w:val="clear" w:color="auto" w:fill="auto"/>
            <w:vAlign w:val="center"/>
            <w:hideMark/>
          </w:tcPr>
          <w:p w14:paraId="634C475C"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2.93</w:t>
            </w:r>
          </w:p>
        </w:tc>
      </w:tr>
      <w:tr w:rsidR="007B7A0A" w:rsidRPr="00E15B97" w14:paraId="1D5AD998" w14:textId="77777777" w:rsidTr="007B7A0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CB71ECD"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2020</w:t>
            </w:r>
          </w:p>
        </w:tc>
        <w:tc>
          <w:tcPr>
            <w:tcW w:w="2154" w:type="dxa"/>
            <w:tcBorders>
              <w:top w:val="nil"/>
              <w:left w:val="nil"/>
              <w:bottom w:val="single" w:sz="4" w:space="0" w:color="auto"/>
              <w:right w:val="single" w:sz="4" w:space="0" w:color="auto"/>
            </w:tcBorders>
            <w:shd w:val="clear" w:color="auto" w:fill="auto"/>
            <w:vAlign w:val="center"/>
            <w:hideMark/>
          </w:tcPr>
          <w:p w14:paraId="08256330"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2.94</w:t>
            </w:r>
          </w:p>
        </w:tc>
      </w:tr>
      <w:tr w:rsidR="007B7A0A" w:rsidRPr="00E15B97" w14:paraId="3862A0E3" w14:textId="77777777" w:rsidTr="007B7A0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15A55B0"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2021</w:t>
            </w:r>
          </w:p>
        </w:tc>
        <w:tc>
          <w:tcPr>
            <w:tcW w:w="2154" w:type="dxa"/>
            <w:tcBorders>
              <w:top w:val="nil"/>
              <w:left w:val="nil"/>
              <w:bottom w:val="single" w:sz="4" w:space="0" w:color="auto"/>
              <w:right w:val="single" w:sz="4" w:space="0" w:color="auto"/>
            </w:tcBorders>
            <w:shd w:val="clear" w:color="auto" w:fill="auto"/>
            <w:vAlign w:val="center"/>
            <w:hideMark/>
          </w:tcPr>
          <w:p w14:paraId="419626FD"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3.08</w:t>
            </w:r>
          </w:p>
        </w:tc>
      </w:tr>
      <w:tr w:rsidR="007B7A0A" w:rsidRPr="00E15B97" w14:paraId="2D6F5D4F" w14:textId="77777777" w:rsidTr="007B7A0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AC2EA4C"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2022</w:t>
            </w:r>
          </w:p>
        </w:tc>
        <w:tc>
          <w:tcPr>
            <w:tcW w:w="2154" w:type="dxa"/>
            <w:tcBorders>
              <w:top w:val="nil"/>
              <w:left w:val="nil"/>
              <w:bottom w:val="single" w:sz="4" w:space="0" w:color="auto"/>
              <w:right w:val="single" w:sz="4" w:space="0" w:color="auto"/>
            </w:tcBorders>
            <w:shd w:val="clear" w:color="auto" w:fill="auto"/>
            <w:vAlign w:val="center"/>
            <w:hideMark/>
          </w:tcPr>
          <w:p w14:paraId="62A34A89"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3.23</w:t>
            </w:r>
          </w:p>
        </w:tc>
      </w:tr>
      <w:tr w:rsidR="007B7A0A" w:rsidRPr="00E15B97" w14:paraId="1AFEE333" w14:textId="77777777" w:rsidTr="007B7A0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45B7CFD"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2023</w:t>
            </w:r>
          </w:p>
        </w:tc>
        <w:tc>
          <w:tcPr>
            <w:tcW w:w="2154" w:type="dxa"/>
            <w:tcBorders>
              <w:top w:val="nil"/>
              <w:left w:val="nil"/>
              <w:bottom w:val="single" w:sz="4" w:space="0" w:color="auto"/>
              <w:right w:val="single" w:sz="4" w:space="0" w:color="auto"/>
            </w:tcBorders>
            <w:shd w:val="clear" w:color="auto" w:fill="auto"/>
            <w:vAlign w:val="center"/>
            <w:hideMark/>
          </w:tcPr>
          <w:p w14:paraId="64D6AEDB" w14:textId="77777777" w:rsidR="007B7A0A" w:rsidRPr="00E15B97" w:rsidRDefault="007B7A0A" w:rsidP="007B7A0A">
            <w:pPr>
              <w:spacing w:after="0" w:line="240" w:lineRule="auto"/>
              <w:jc w:val="right"/>
              <w:rPr>
                <w:rFonts w:ascii="Calibri" w:eastAsia="Times New Roman" w:hAnsi="Calibri" w:cs="Calibri"/>
                <w:color w:val="000000"/>
                <w:kern w:val="0"/>
                <w:lang w:eastAsia="en-IN"/>
                <w14:ligatures w14:val="none"/>
              </w:rPr>
            </w:pPr>
            <w:r w:rsidRPr="00E15B97">
              <w:rPr>
                <w:rFonts w:ascii="Calibri" w:eastAsia="Times New Roman" w:hAnsi="Calibri" w:cs="Calibri"/>
                <w:color w:val="000000"/>
                <w:kern w:val="0"/>
                <w:lang w:eastAsia="en-IN"/>
                <w14:ligatures w14:val="none"/>
              </w:rPr>
              <w:t>3.39</w:t>
            </w:r>
          </w:p>
        </w:tc>
      </w:tr>
    </w:tbl>
    <w:p w14:paraId="2E9B8400" w14:textId="634FC646" w:rsidR="001B3F5B" w:rsidRPr="001B3F5B" w:rsidRDefault="001B3F5B" w:rsidP="001B3F5B">
      <w:pPr>
        <w:pStyle w:val="ListParagraph"/>
        <w:numPr>
          <w:ilvl w:val="0"/>
          <w:numId w:val="2"/>
        </w:numPr>
        <w:rPr>
          <w:rFonts w:ascii="Times New Roman" w:hAnsi="Times New Roman" w:cs="Times New Roman"/>
          <w:i/>
          <w:iCs/>
          <w:color w:val="000000" w:themeColor="text1"/>
          <w:spacing w:val="1"/>
          <w:sz w:val="24"/>
          <w:szCs w:val="24"/>
          <w:shd w:val="clear" w:color="auto" w:fill="FFFFFF"/>
        </w:rPr>
      </w:pPr>
      <w:r w:rsidRPr="001B3F5B">
        <w:rPr>
          <w:rFonts w:ascii="Times New Roman" w:hAnsi="Times New Roman" w:cs="Times New Roman"/>
          <w:color w:val="000000" w:themeColor="text1"/>
          <w:sz w:val="24"/>
          <w:szCs w:val="24"/>
        </w:rPr>
        <w:t xml:space="preserve">In August 2023, BlackRock Inc., a prominent international credit asset manager, acquired </w:t>
      </w:r>
      <w:proofErr w:type="spellStart"/>
      <w:r w:rsidRPr="001B3F5B">
        <w:rPr>
          <w:rFonts w:ascii="Times New Roman" w:hAnsi="Times New Roman" w:cs="Times New Roman"/>
          <w:color w:val="000000" w:themeColor="text1"/>
          <w:sz w:val="24"/>
          <w:szCs w:val="24"/>
        </w:rPr>
        <w:t>Kreos</w:t>
      </w:r>
      <w:proofErr w:type="spellEnd"/>
      <w:r w:rsidRPr="001B3F5B">
        <w:rPr>
          <w:rFonts w:ascii="Times New Roman" w:hAnsi="Times New Roman" w:cs="Times New Roman"/>
          <w:color w:val="000000" w:themeColor="text1"/>
          <w:sz w:val="24"/>
          <w:szCs w:val="24"/>
        </w:rPr>
        <w:t xml:space="preserve">. </w:t>
      </w:r>
      <w:proofErr w:type="spellStart"/>
      <w:r w:rsidRPr="001B3F5B">
        <w:rPr>
          <w:rFonts w:ascii="Times New Roman" w:hAnsi="Times New Roman" w:cs="Times New Roman"/>
          <w:color w:val="000000" w:themeColor="text1"/>
          <w:sz w:val="24"/>
          <w:szCs w:val="24"/>
        </w:rPr>
        <w:t>Kreos</w:t>
      </w:r>
      <w:proofErr w:type="spellEnd"/>
      <w:r w:rsidRPr="001B3F5B">
        <w:rPr>
          <w:rFonts w:ascii="Times New Roman" w:hAnsi="Times New Roman" w:cs="Times New Roman"/>
          <w:color w:val="000000" w:themeColor="text1"/>
          <w:sz w:val="24"/>
          <w:szCs w:val="24"/>
        </w:rPr>
        <w:t>, renowned for its specialization in growth and risk-based financing for technology and healthcare enterprises, enhances BlackRock's market presence. This acquisition aligns with BlackRock's strategic objective of broadening its private-market investment portfolio.</w:t>
      </w:r>
    </w:p>
    <w:p w14:paraId="748B8302" w14:textId="0A5F7F97" w:rsidR="001B3F5B" w:rsidRPr="001B3F5B" w:rsidRDefault="007B7A0A" w:rsidP="001B3F5B">
      <w:pPr>
        <w:rPr>
          <w:rFonts w:ascii="Times New Roman" w:hAnsi="Times New Roman" w:cs="Times New Roman"/>
          <w:i/>
          <w:iCs/>
          <w:color w:val="000000" w:themeColor="text1"/>
          <w:spacing w:val="1"/>
          <w:sz w:val="24"/>
          <w:szCs w:val="24"/>
          <w:shd w:val="clear" w:color="auto" w:fill="FFFFFF"/>
        </w:rPr>
      </w:pPr>
      <w:r>
        <w:rPr>
          <w:noProof/>
        </w:rPr>
        <w:drawing>
          <wp:anchor distT="0" distB="0" distL="114300" distR="114300" simplePos="0" relativeHeight="251658240" behindDoc="0" locked="0" layoutInCell="1" allowOverlap="1" wp14:anchorId="7569350B" wp14:editId="7BBB9FF4">
            <wp:simplePos x="0" y="0"/>
            <wp:positionH relativeFrom="column">
              <wp:posOffset>1773621</wp:posOffset>
            </wp:positionH>
            <wp:positionV relativeFrom="paragraph">
              <wp:posOffset>199062</wp:posOffset>
            </wp:positionV>
            <wp:extent cx="4616669" cy="2412124"/>
            <wp:effectExtent l="0" t="0" r="12700" b="7620"/>
            <wp:wrapSquare wrapText="bothSides"/>
            <wp:docPr id="984796591" name="Chart 1">
              <a:extLst xmlns:a="http://schemas.openxmlformats.org/drawingml/2006/main">
                <a:ext uri="{FF2B5EF4-FFF2-40B4-BE49-F238E27FC236}">
                  <a16:creationId xmlns:a16="http://schemas.microsoft.com/office/drawing/2014/main" id="{14920993-F4BD-4455-A896-C177461F5D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A35C5BD" w14:textId="48ECC4DE" w:rsidR="00E15B97" w:rsidRDefault="00E15B97"/>
    <w:p w14:paraId="59265D70" w14:textId="0C253499" w:rsidR="008D4B6C" w:rsidRDefault="008D4B6C">
      <w:pPr>
        <w:rPr>
          <w:lang w:val="en-US"/>
        </w:rPr>
      </w:pPr>
    </w:p>
    <w:p w14:paraId="5383FCFD" w14:textId="4D5B9EDB" w:rsidR="001B3F5B" w:rsidRPr="0052302E" w:rsidRDefault="001B3F5B" w:rsidP="0052302E">
      <w:pPr>
        <w:rPr>
          <w:rStyle w:val="Strong"/>
          <w:rFonts w:ascii="Times New Roman" w:hAnsi="Times New Roman" w:cs="Times New Roman"/>
          <w:sz w:val="28"/>
          <w:szCs w:val="28"/>
          <w:u w:val="single"/>
        </w:rPr>
      </w:pPr>
      <w:r w:rsidRPr="0052302E">
        <w:rPr>
          <w:rStyle w:val="Strong"/>
          <w:rFonts w:ascii="Times New Roman" w:hAnsi="Times New Roman" w:cs="Times New Roman"/>
          <w:sz w:val="28"/>
          <w:szCs w:val="28"/>
          <w:u w:val="single"/>
        </w:rPr>
        <w:lastRenderedPageBreak/>
        <w:t>Private Equity and Venture Capital</w:t>
      </w:r>
    </w:p>
    <w:p w14:paraId="54093DC9" w14:textId="32BAD1C2" w:rsidR="00157012" w:rsidRPr="0052302E" w:rsidRDefault="00157012"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Venture capital and private equity are two types of financial assistance that are used by companies in different stage. Private Equity is a large investment in developed companies and venture capital is a small investment usually made in initial stages of development of a company</w:t>
      </w:r>
    </w:p>
    <w:p w14:paraId="5EB0222D" w14:textId="324316F0" w:rsidR="00157012" w:rsidRPr="0052302E" w:rsidRDefault="00157012"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Private equity, at its most basic, is equity—shares representing ownership of, or an interest in, an entity—that is not </w:t>
      </w:r>
      <w:hyperlink r:id="rId11" w:history="1">
        <w:r w:rsidRPr="0052302E">
          <w:rPr>
            <w:rStyle w:val="Strong"/>
            <w:rFonts w:ascii="Times New Roman" w:hAnsi="Times New Roman" w:cs="Times New Roman"/>
            <w:b w:val="0"/>
            <w:bCs w:val="0"/>
            <w:sz w:val="24"/>
            <w:szCs w:val="24"/>
          </w:rPr>
          <w:t>publicly listed</w:t>
        </w:r>
      </w:hyperlink>
      <w:r w:rsidRPr="0052302E">
        <w:rPr>
          <w:rStyle w:val="Strong"/>
          <w:rFonts w:ascii="Times New Roman" w:hAnsi="Times New Roman" w:cs="Times New Roman"/>
          <w:b w:val="0"/>
          <w:bCs w:val="0"/>
          <w:sz w:val="24"/>
          <w:szCs w:val="24"/>
        </w:rPr>
        <w:t> or traded. Private equity is a source of investment capital from </w:t>
      </w:r>
      <w:hyperlink r:id="rId12" w:history="1">
        <w:r w:rsidRPr="0052302E">
          <w:rPr>
            <w:rStyle w:val="Strong"/>
            <w:rFonts w:ascii="Times New Roman" w:hAnsi="Times New Roman" w:cs="Times New Roman"/>
            <w:b w:val="0"/>
            <w:bCs w:val="0"/>
            <w:sz w:val="24"/>
            <w:szCs w:val="24"/>
          </w:rPr>
          <w:t>high-net-worth individuals</w:t>
        </w:r>
      </w:hyperlink>
      <w:r w:rsidRPr="0052302E">
        <w:rPr>
          <w:rStyle w:val="Strong"/>
          <w:rFonts w:ascii="Times New Roman" w:hAnsi="Times New Roman" w:cs="Times New Roman"/>
          <w:b w:val="0"/>
          <w:bCs w:val="0"/>
          <w:sz w:val="24"/>
          <w:szCs w:val="24"/>
        </w:rPr>
        <w:t> and firms.</w:t>
      </w:r>
    </w:p>
    <w:p w14:paraId="0DABD1C9" w14:textId="5E20DA98" w:rsidR="001B3F5B" w:rsidRPr="0052302E" w:rsidRDefault="001B3F5B"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Venture capital is financing given to startup companies and small businesses that are seen as having the potential to generate high rates of growth and above-average returns</w:t>
      </w:r>
      <w:r w:rsidR="00157012" w:rsidRPr="0052302E">
        <w:rPr>
          <w:rStyle w:val="Strong"/>
          <w:rFonts w:ascii="Times New Roman" w:hAnsi="Times New Roman" w:cs="Times New Roman"/>
          <w:b w:val="0"/>
          <w:bCs w:val="0"/>
          <w:sz w:val="24"/>
          <w:szCs w:val="24"/>
        </w:rPr>
        <w:t>.</w:t>
      </w:r>
    </w:p>
    <w:p w14:paraId="11334626" w14:textId="751AC61F" w:rsidR="00157012" w:rsidRPr="0052302E" w:rsidRDefault="00157012"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one notable development that emerged in recent times is the allocation of capital toward private equity has increased substantially, considering the resilience exhibited in returns of the private equity asset class across historical periods.</w:t>
      </w:r>
    </w:p>
    <w:p w14:paraId="26D7E61A" w14:textId="3476F655" w:rsidR="007B7A0A" w:rsidRPr="0052302E" w:rsidRDefault="007B7A0A"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The U.S. is the cradle of private equity, and it currently holds the title of the largest private equity market worldwide.</w:t>
      </w:r>
    </w:p>
    <w:p w14:paraId="054B4DF8" w14:textId="5056BE32" w:rsidR="0052302E" w:rsidRPr="0052302E" w:rsidRDefault="0052302E"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The U.S. private equity market continues to expand and grow rapidly with close to 100,000 active investments, $900 billion in dry powder, and challenging public market volatility.</w:t>
      </w:r>
    </w:p>
    <w:p w14:paraId="359AA122" w14:textId="1F00CA29" w:rsidR="0052302E" w:rsidRPr="0052302E" w:rsidRDefault="0052302E"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PE has invested at least $1.1 trillion dollars in the energy sector over the last decade, with 80% of that in fossil fuels. </w:t>
      </w:r>
    </w:p>
    <w:p w14:paraId="7F41F208" w14:textId="66F6D5E9" w:rsidR="0052302E" w:rsidRPr="0052302E" w:rsidRDefault="0052302E"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PE currently has $4.4 trillion in assets under management, including $1 trillion of uninvested capital</w:t>
      </w:r>
    </w:p>
    <w:p w14:paraId="42346356" w14:textId="2683571F" w:rsidR="007B7A0A" w:rsidRPr="0052302E" w:rsidRDefault="007B7A0A"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2021 was a record year in terms of the value of global first-time venture capital financing deals, when it amounted to 64.5 billion U.S. dollars globally.</w:t>
      </w:r>
    </w:p>
    <w:p w14:paraId="02F56EFF" w14:textId="18D25B9F" w:rsidR="007B7A0A" w:rsidRPr="0052302E" w:rsidRDefault="007B7A0A" w:rsidP="0052302E">
      <w:pPr>
        <w:pStyle w:val="ListParagraph"/>
        <w:numPr>
          <w:ilvl w:val="0"/>
          <w:numId w:val="2"/>
        </w:numPr>
        <w:rPr>
          <w:rStyle w:val="Strong"/>
          <w:rFonts w:ascii="Times New Roman" w:hAnsi="Times New Roman" w:cs="Times New Roman"/>
          <w:b w:val="0"/>
          <w:bCs w:val="0"/>
          <w:sz w:val="24"/>
          <w:szCs w:val="24"/>
        </w:rPr>
      </w:pPr>
      <w:r w:rsidRPr="0052302E">
        <w:rPr>
          <w:rStyle w:val="Strong"/>
          <w:rFonts w:ascii="Times New Roman" w:hAnsi="Times New Roman" w:cs="Times New Roman"/>
          <w:b w:val="0"/>
          <w:bCs w:val="0"/>
          <w:sz w:val="24"/>
          <w:szCs w:val="24"/>
        </w:rPr>
        <w:t>U.S.-based Blackstone was the leading private equity (PE) firm worldwide, with a recorded fundraising sum of 125.61 billion U.S. dollars between 2017 and 2022.</w:t>
      </w:r>
    </w:p>
    <w:p w14:paraId="00E9CA0E" w14:textId="2CE1D253" w:rsidR="0052302E" w:rsidRDefault="0052302E">
      <w:pPr>
        <w:rPr>
          <w:rFonts w:ascii="Open Sans" w:hAnsi="Open Sans" w:cs="Open Sans"/>
          <w:color w:val="455F7C"/>
          <w:sz w:val="23"/>
          <w:szCs w:val="23"/>
          <w:shd w:val="clear" w:color="auto" w:fill="FFFFFF"/>
        </w:rPr>
      </w:pPr>
      <w:r>
        <w:rPr>
          <w:noProof/>
        </w:rPr>
        <w:drawing>
          <wp:anchor distT="0" distB="0" distL="114300" distR="114300" simplePos="0" relativeHeight="251659264" behindDoc="0" locked="0" layoutInCell="1" allowOverlap="1" wp14:anchorId="6E4E7784" wp14:editId="039D183C">
            <wp:simplePos x="0" y="0"/>
            <wp:positionH relativeFrom="column">
              <wp:posOffset>2143760</wp:posOffset>
            </wp:positionH>
            <wp:positionV relativeFrom="paragraph">
              <wp:posOffset>217170</wp:posOffset>
            </wp:positionV>
            <wp:extent cx="4177665" cy="2743200"/>
            <wp:effectExtent l="0" t="0" r="13335" b="0"/>
            <wp:wrapSquare wrapText="bothSides"/>
            <wp:docPr id="1721593229" name="Chart 1">
              <a:extLst xmlns:a="http://schemas.openxmlformats.org/drawingml/2006/main">
                <a:ext uri="{FF2B5EF4-FFF2-40B4-BE49-F238E27FC236}">
                  <a16:creationId xmlns:a16="http://schemas.microsoft.com/office/drawing/2014/main" id="{A6425200-E636-6448-9504-561B22E50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tbl>
      <w:tblPr>
        <w:tblW w:w="2840" w:type="dxa"/>
        <w:tblInd w:w="-5" w:type="dxa"/>
        <w:tblLook w:val="04A0" w:firstRow="1" w:lastRow="0" w:firstColumn="1" w:lastColumn="0" w:noHBand="0" w:noVBand="1"/>
      </w:tblPr>
      <w:tblGrid>
        <w:gridCol w:w="960"/>
        <w:gridCol w:w="1880"/>
      </w:tblGrid>
      <w:tr w:rsidR="0052302E" w:rsidRPr="0052302E" w14:paraId="617EBA7E" w14:textId="77777777" w:rsidTr="0052302E">
        <w:trPr>
          <w:trHeight w:val="540"/>
        </w:trPr>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AC15D25"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Quarter</w:t>
            </w:r>
          </w:p>
        </w:tc>
        <w:tc>
          <w:tcPr>
            <w:tcW w:w="1880" w:type="dxa"/>
            <w:tcBorders>
              <w:top w:val="single" w:sz="4" w:space="0" w:color="auto"/>
              <w:left w:val="nil"/>
              <w:bottom w:val="single" w:sz="4" w:space="0" w:color="auto"/>
              <w:right w:val="single" w:sz="4" w:space="0" w:color="auto"/>
            </w:tcBorders>
            <w:shd w:val="clear" w:color="auto" w:fill="auto"/>
            <w:vAlign w:val="bottom"/>
            <w:hideMark/>
          </w:tcPr>
          <w:p w14:paraId="571F2942"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PE Fundraising (in billion $)</w:t>
            </w:r>
          </w:p>
        </w:tc>
      </w:tr>
      <w:tr w:rsidR="0052302E" w:rsidRPr="0052302E" w14:paraId="3D4FB1C2"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55C554BB"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Q1 21</w:t>
            </w:r>
          </w:p>
        </w:tc>
        <w:tc>
          <w:tcPr>
            <w:tcW w:w="1880" w:type="dxa"/>
            <w:tcBorders>
              <w:top w:val="nil"/>
              <w:left w:val="nil"/>
              <w:bottom w:val="single" w:sz="4" w:space="0" w:color="auto"/>
              <w:right w:val="single" w:sz="4" w:space="0" w:color="auto"/>
            </w:tcBorders>
            <w:shd w:val="clear" w:color="auto" w:fill="auto"/>
            <w:vAlign w:val="bottom"/>
            <w:hideMark/>
          </w:tcPr>
          <w:p w14:paraId="0E50656D"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155.51</w:t>
            </w:r>
          </w:p>
        </w:tc>
      </w:tr>
      <w:tr w:rsidR="0052302E" w:rsidRPr="0052302E" w14:paraId="25ACEF77"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35632AEE"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Q2 21</w:t>
            </w:r>
          </w:p>
        </w:tc>
        <w:tc>
          <w:tcPr>
            <w:tcW w:w="1880" w:type="dxa"/>
            <w:tcBorders>
              <w:top w:val="nil"/>
              <w:left w:val="nil"/>
              <w:bottom w:val="single" w:sz="4" w:space="0" w:color="auto"/>
              <w:right w:val="single" w:sz="4" w:space="0" w:color="auto"/>
            </w:tcBorders>
            <w:shd w:val="clear" w:color="auto" w:fill="auto"/>
            <w:vAlign w:val="bottom"/>
            <w:hideMark/>
          </w:tcPr>
          <w:p w14:paraId="3872C2EE"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180.01</w:t>
            </w:r>
          </w:p>
        </w:tc>
      </w:tr>
      <w:tr w:rsidR="0052302E" w:rsidRPr="0052302E" w14:paraId="61AB5308"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766B7B3F"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Q3 21</w:t>
            </w:r>
          </w:p>
        </w:tc>
        <w:tc>
          <w:tcPr>
            <w:tcW w:w="1880" w:type="dxa"/>
            <w:tcBorders>
              <w:top w:val="nil"/>
              <w:left w:val="nil"/>
              <w:bottom w:val="single" w:sz="4" w:space="0" w:color="auto"/>
              <w:right w:val="single" w:sz="4" w:space="0" w:color="auto"/>
            </w:tcBorders>
            <w:shd w:val="clear" w:color="auto" w:fill="auto"/>
            <w:vAlign w:val="bottom"/>
            <w:hideMark/>
          </w:tcPr>
          <w:p w14:paraId="146429FC"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133.67</w:t>
            </w:r>
          </w:p>
        </w:tc>
      </w:tr>
      <w:tr w:rsidR="0052302E" w:rsidRPr="0052302E" w14:paraId="33971F63"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49D3360"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Q4 21</w:t>
            </w:r>
          </w:p>
        </w:tc>
        <w:tc>
          <w:tcPr>
            <w:tcW w:w="1880" w:type="dxa"/>
            <w:tcBorders>
              <w:top w:val="nil"/>
              <w:left w:val="nil"/>
              <w:bottom w:val="single" w:sz="4" w:space="0" w:color="auto"/>
              <w:right w:val="single" w:sz="4" w:space="0" w:color="auto"/>
            </w:tcBorders>
            <w:shd w:val="clear" w:color="auto" w:fill="auto"/>
            <w:vAlign w:val="bottom"/>
            <w:hideMark/>
          </w:tcPr>
          <w:p w14:paraId="1DC898B5"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160.85</w:t>
            </w:r>
          </w:p>
        </w:tc>
      </w:tr>
      <w:tr w:rsidR="0052302E" w:rsidRPr="0052302E" w14:paraId="55B7D24C"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479BE551"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Q1 22</w:t>
            </w:r>
          </w:p>
        </w:tc>
        <w:tc>
          <w:tcPr>
            <w:tcW w:w="1880" w:type="dxa"/>
            <w:tcBorders>
              <w:top w:val="nil"/>
              <w:left w:val="nil"/>
              <w:bottom w:val="single" w:sz="4" w:space="0" w:color="auto"/>
              <w:right w:val="single" w:sz="4" w:space="0" w:color="auto"/>
            </w:tcBorders>
            <w:shd w:val="clear" w:color="auto" w:fill="auto"/>
            <w:vAlign w:val="bottom"/>
            <w:hideMark/>
          </w:tcPr>
          <w:p w14:paraId="42B931C9"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128.11</w:t>
            </w:r>
          </w:p>
        </w:tc>
      </w:tr>
      <w:tr w:rsidR="0052302E" w:rsidRPr="0052302E" w14:paraId="1D27FA8F"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080B8521"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Q2 22</w:t>
            </w:r>
          </w:p>
        </w:tc>
        <w:tc>
          <w:tcPr>
            <w:tcW w:w="1880" w:type="dxa"/>
            <w:tcBorders>
              <w:top w:val="nil"/>
              <w:left w:val="nil"/>
              <w:bottom w:val="single" w:sz="4" w:space="0" w:color="auto"/>
              <w:right w:val="single" w:sz="4" w:space="0" w:color="auto"/>
            </w:tcBorders>
            <w:shd w:val="clear" w:color="auto" w:fill="auto"/>
            <w:vAlign w:val="bottom"/>
            <w:hideMark/>
          </w:tcPr>
          <w:p w14:paraId="3CFEFC75"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155.46</w:t>
            </w:r>
          </w:p>
        </w:tc>
      </w:tr>
      <w:tr w:rsidR="0052302E" w:rsidRPr="0052302E" w14:paraId="4648B45F"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1C40290"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Q3 22</w:t>
            </w:r>
          </w:p>
        </w:tc>
        <w:tc>
          <w:tcPr>
            <w:tcW w:w="1880" w:type="dxa"/>
            <w:tcBorders>
              <w:top w:val="nil"/>
              <w:left w:val="nil"/>
              <w:bottom w:val="single" w:sz="4" w:space="0" w:color="auto"/>
              <w:right w:val="single" w:sz="4" w:space="0" w:color="auto"/>
            </w:tcBorders>
            <w:shd w:val="clear" w:color="auto" w:fill="auto"/>
            <w:vAlign w:val="bottom"/>
            <w:hideMark/>
          </w:tcPr>
          <w:p w14:paraId="77A31425"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108.75</w:t>
            </w:r>
          </w:p>
        </w:tc>
      </w:tr>
      <w:tr w:rsidR="0052302E" w:rsidRPr="0052302E" w14:paraId="3695920F"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6E3C6DC3"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Q4 22</w:t>
            </w:r>
          </w:p>
        </w:tc>
        <w:tc>
          <w:tcPr>
            <w:tcW w:w="1880" w:type="dxa"/>
            <w:tcBorders>
              <w:top w:val="nil"/>
              <w:left w:val="nil"/>
              <w:bottom w:val="single" w:sz="4" w:space="0" w:color="auto"/>
              <w:right w:val="single" w:sz="4" w:space="0" w:color="auto"/>
            </w:tcBorders>
            <w:shd w:val="clear" w:color="auto" w:fill="auto"/>
            <w:vAlign w:val="bottom"/>
            <w:hideMark/>
          </w:tcPr>
          <w:p w14:paraId="1F4BB619"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143.56</w:t>
            </w:r>
          </w:p>
        </w:tc>
      </w:tr>
      <w:tr w:rsidR="0052302E" w:rsidRPr="0052302E" w14:paraId="5BDC0A72"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3110D09"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Q1 23</w:t>
            </w:r>
          </w:p>
        </w:tc>
        <w:tc>
          <w:tcPr>
            <w:tcW w:w="1880" w:type="dxa"/>
            <w:tcBorders>
              <w:top w:val="nil"/>
              <w:left w:val="nil"/>
              <w:bottom w:val="single" w:sz="4" w:space="0" w:color="auto"/>
              <w:right w:val="single" w:sz="4" w:space="0" w:color="auto"/>
            </w:tcBorders>
            <w:shd w:val="clear" w:color="auto" w:fill="auto"/>
            <w:vAlign w:val="bottom"/>
            <w:hideMark/>
          </w:tcPr>
          <w:p w14:paraId="602DE5F6"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105.09</w:t>
            </w:r>
          </w:p>
        </w:tc>
      </w:tr>
      <w:tr w:rsidR="0052302E" w:rsidRPr="0052302E" w14:paraId="31CC594D" w14:textId="77777777" w:rsidTr="0052302E">
        <w:trPr>
          <w:trHeight w:val="288"/>
        </w:trPr>
        <w:tc>
          <w:tcPr>
            <w:tcW w:w="960" w:type="dxa"/>
            <w:tcBorders>
              <w:top w:val="nil"/>
              <w:left w:val="single" w:sz="4" w:space="0" w:color="auto"/>
              <w:bottom w:val="single" w:sz="4" w:space="0" w:color="auto"/>
              <w:right w:val="single" w:sz="4" w:space="0" w:color="auto"/>
            </w:tcBorders>
            <w:shd w:val="clear" w:color="auto" w:fill="auto"/>
            <w:vAlign w:val="bottom"/>
            <w:hideMark/>
          </w:tcPr>
          <w:p w14:paraId="2389AFD3" w14:textId="77777777" w:rsidR="0052302E" w:rsidRPr="0052302E" w:rsidRDefault="0052302E" w:rsidP="0052302E">
            <w:pPr>
              <w:spacing w:after="0" w:line="240" w:lineRule="auto"/>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Q2 23</w:t>
            </w:r>
          </w:p>
        </w:tc>
        <w:tc>
          <w:tcPr>
            <w:tcW w:w="1880" w:type="dxa"/>
            <w:tcBorders>
              <w:top w:val="nil"/>
              <w:left w:val="nil"/>
              <w:bottom w:val="single" w:sz="4" w:space="0" w:color="auto"/>
              <w:right w:val="single" w:sz="4" w:space="0" w:color="auto"/>
            </w:tcBorders>
            <w:shd w:val="clear" w:color="auto" w:fill="auto"/>
            <w:vAlign w:val="bottom"/>
            <w:hideMark/>
          </w:tcPr>
          <w:p w14:paraId="742B0784" w14:textId="77777777" w:rsidR="0052302E" w:rsidRPr="0052302E" w:rsidRDefault="0052302E" w:rsidP="0052302E">
            <w:pPr>
              <w:spacing w:after="0" w:line="240" w:lineRule="auto"/>
              <w:jc w:val="right"/>
              <w:rPr>
                <w:rFonts w:ascii="Arial" w:eastAsia="Times New Roman" w:hAnsi="Arial" w:cs="Arial"/>
                <w:color w:val="000000"/>
                <w:kern w:val="0"/>
                <w:sz w:val="20"/>
                <w:szCs w:val="20"/>
                <w:lang w:eastAsia="en-IN"/>
                <w14:ligatures w14:val="none"/>
              </w:rPr>
            </w:pPr>
            <w:r w:rsidRPr="0052302E">
              <w:rPr>
                <w:rFonts w:ascii="Arial" w:eastAsia="Times New Roman" w:hAnsi="Arial" w:cs="Arial"/>
                <w:color w:val="000000"/>
                <w:kern w:val="0"/>
                <w:sz w:val="20"/>
                <w:szCs w:val="20"/>
                <w:lang w:eastAsia="en-IN"/>
                <w14:ligatures w14:val="none"/>
              </w:rPr>
              <w:t>104.18</w:t>
            </w:r>
          </w:p>
        </w:tc>
      </w:tr>
    </w:tbl>
    <w:p w14:paraId="2D5D94AB" w14:textId="77777777" w:rsidR="0052302E" w:rsidRDefault="0052302E">
      <w:pPr>
        <w:rPr>
          <w:rFonts w:ascii="Open Sans" w:hAnsi="Open Sans" w:cs="Open Sans"/>
          <w:color w:val="455F7C"/>
          <w:sz w:val="23"/>
          <w:szCs w:val="23"/>
          <w:shd w:val="clear" w:color="auto" w:fill="FFFFFF"/>
        </w:rPr>
      </w:pPr>
    </w:p>
    <w:p w14:paraId="71C68958" w14:textId="77777777" w:rsidR="0052302E" w:rsidRDefault="0052302E" w:rsidP="0052302E">
      <w:pPr>
        <w:jc w:val="center"/>
        <w:rPr>
          <w:rFonts w:ascii="Open Sans" w:hAnsi="Open Sans" w:cs="Open Sans"/>
          <w:color w:val="455F7C"/>
          <w:sz w:val="23"/>
          <w:szCs w:val="23"/>
          <w:shd w:val="clear" w:color="auto" w:fill="FFFFFF"/>
        </w:rPr>
      </w:pPr>
    </w:p>
    <w:p w14:paraId="3816C432" w14:textId="0C8B2192" w:rsidR="00F324D6" w:rsidRDefault="00F324D6">
      <w:pPr>
        <w:rPr>
          <w:rFonts w:ascii="Open Sans" w:hAnsi="Open Sans" w:cs="Open Sans"/>
          <w:color w:val="455F7C"/>
          <w:sz w:val="23"/>
          <w:szCs w:val="23"/>
          <w:shd w:val="clear" w:color="auto" w:fill="FFFFFF"/>
        </w:rPr>
      </w:pPr>
    </w:p>
    <w:tbl>
      <w:tblPr>
        <w:tblW w:w="4092" w:type="dxa"/>
        <w:jc w:val="center"/>
        <w:tblLook w:val="04A0" w:firstRow="1" w:lastRow="0" w:firstColumn="1" w:lastColumn="0" w:noHBand="0" w:noVBand="1"/>
      </w:tblPr>
      <w:tblGrid>
        <w:gridCol w:w="1383"/>
        <w:gridCol w:w="2709"/>
      </w:tblGrid>
      <w:tr w:rsidR="00F324D6" w:rsidRPr="00F324D6" w14:paraId="287A2DA8" w14:textId="77777777" w:rsidTr="0052302E">
        <w:trPr>
          <w:trHeight w:val="309"/>
          <w:jc w:val="center"/>
        </w:trPr>
        <w:tc>
          <w:tcPr>
            <w:tcW w:w="1383" w:type="dxa"/>
            <w:tcBorders>
              <w:top w:val="single" w:sz="8" w:space="0" w:color="CCCCCC"/>
              <w:left w:val="single" w:sz="8" w:space="0" w:color="CCCCCC"/>
              <w:bottom w:val="single" w:sz="8" w:space="0" w:color="CCCCCC"/>
              <w:right w:val="single" w:sz="8" w:space="0" w:color="CCCCCC"/>
            </w:tcBorders>
            <w:shd w:val="clear" w:color="auto" w:fill="auto"/>
            <w:vAlign w:val="bottom"/>
            <w:hideMark/>
          </w:tcPr>
          <w:p w14:paraId="166EC76E" w14:textId="77777777" w:rsidR="00F324D6" w:rsidRPr="00F324D6" w:rsidRDefault="00F324D6" w:rsidP="0052302E">
            <w:pPr>
              <w:spacing w:after="0" w:line="240" w:lineRule="auto"/>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lastRenderedPageBreak/>
              <w:t>Year</w:t>
            </w:r>
          </w:p>
        </w:tc>
        <w:tc>
          <w:tcPr>
            <w:tcW w:w="2709" w:type="dxa"/>
            <w:tcBorders>
              <w:top w:val="single" w:sz="8" w:space="0" w:color="CCCCCC"/>
              <w:left w:val="nil"/>
              <w:bottom w:val="single" w:sz="8" w:space="0" w:color="CCCCCC"/>
              <w:right w:val="single" w:sz="8" w:space="0" w:color="CCCCCC"/>
            </w:tcBorders>
            <w:shd w:val="clear" w:color="auto" w:fill="auto"/>
            <w:vAlign w:val="bottom"/>
            <w:hideMark/>
          </w:tcPr>
          <w:p w14:paraId="32E579B0" w14:textId="77777777" w:rsidR="00F324D6" w:rsidRPr="00F324D6" w:rsidRDefault="00F324D6" w:rsidP="00F324D6">
            <w:pPr>
              <w:spacing w:after="0" w:line="240" w:lineRule="auto"/>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Deal count</w:t>
            </w:r>
          </w:p>
        </w:tc>
      </w:tr>
      <w:tr w:rsidR="00F324D6" w:rsidRPr="00F324D6" w14:paraId="45A7EA98"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72363BE7"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2012</w:t>
            </w:r>
          </w:p>
        </w:tc>
        <w:tc>
          <w:tcPr>
            <w:tcW w:w="2709" w:type="dxa"/>
            <w:tcBorders>
              <w:top w:val="nil"/>
              <w:left w:val="nil"/>
              <w:bottom w:val="single" w:sz="8" w:space="0" w:color="CCCCCC"/>
              <w:right w:val="single" w:sz="8" w:space="0" w:color="CCCCCC"/>
            </w:tcBorders>
            <w:shd w:val="clear" w:color="auto" w:fill="auto"/>
            <w:vAlign w:val="bottom"/>
            <w:hideMark/>
          </w:tcPr>
          <w:p w14:paraId="25A4FDC3"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8,026</w:t>
            </w:r>
          </w:p>
        </w:tc>
      </w:tr>
      <w:tr w:rsidR="00F324D6" w:rsidRPr="00F324D6" w14:paraId="1787A7C5"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55DFB15E"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2013</w:t>
            </w:r>
          </w:p>
        </w:tc>
        <w:tc>
          <w:tcPr>
            <w:tcW w:w="2709" w:type="dxa"/>
            <w:tcBorders>
              <w:top w:val="nil"/>
              <w:left w:val="nil"/>
              <w:bottom w:val="single" w:sz="8" w:space="0" w:color="CCCCCC"/>
              <w:right w:val="single" w:sz="8" w:space="0" w:color="CCCCCC"/>
            </w:tcBorders>
            <w:shd w:val="clear" w:color="auto" w:fill="auto"/>
            <w:vAlign w:val="bottom"/>
            <w:hideMark/>
          </w:tcPr>
          <w:p w14:paraId="01A44F6D"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9,510</w:t>
            </w:r>
          </w:p>
        </w:tc>
      </w:tr>
      <w:tr w:rsidR="00F324D6" w:rsidRPr="00F324D6" w14:paraId="425C1522"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4A3BF99F"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2014</w:t>
            </w:r>
          </w:p>
        </w:tc>
        <w:tc>
          <w:tcPr>
            <w:tcW w:w="2709" w:type="dxa"/>
            <w:tcBorders>
              <w:top w:val="nil"/>
              <w:left w:val="nil"/>
              <w:bottom w:val="single" w:sz="8" w:space="0" w:color="CCCCCC"/>
              <w:right w:val="single" w:sz="8" w:space="0" w:color="CCCCCC"/>
            </w:tcBorders>
            <w:shd w:val="clear" w:color="auto" w:fill="auto"/>
            <w:vAlign w:val="bottom"/>
            <w:hideMark/>
          </w:tcPr>
          <w:p w14:paraId="79E431EC"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10,713</w:t>
            </w:r>
          </w:p>
        </w:tc>
      </w:tr>
      <w:tr w:rsidR="00F324D6" w:rsidRPr="00F324D6" w14:paraId="07966749"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61A3907E"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2015</w:t>
            </w:r>
          </w:p>
        </w:tc>
        <w:tc>
          <w:tcPr>
            <w:tcW w:w="2709" w:type="dxa"/>
            <w:tcBorders>
              <w:top w:val="nil"/>
              <w:left w:val="nil"/>
              <w:bottom w:val="single" w:sz="8" w:space="0" w:color="CCCCCC"/>
              <w:right w:val="single" w:sz="8" w:space="0" w:color="CCCCCC"/>
            </w:tcBorders>
            <w:shd w:val="clear" w:color="auto" w:fill="auto"/>
            <w:vAlign w:val="bottom"/>
            <w:hideMark/>
          </w:tcPr>
          <w:p w14:paraId="5AEB1521"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11,344</w:t>
            </w:r>
          </w:p>
        </w:tc>
      </w:tr>
      <w:tr w:rsidR="00F324D6" w:rsidRPr="00F324D6" w14:paraId="2FCFCCBD"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30051C42"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2016</w:t>
            </w:r>
          </w:p>
        </w:tc>
        <w:tc>
          <w:tcPr>
            <w:tcW w:w="2709" w:type="dxa"/>
            <w:tcBorders>
              <w:top w:val="nil"/>
              <w:left w:val="nil"/>
              <w:bottom w:val="single" w:sz="8" w:space="0" w:color="CCCCCC"/>
              <w:right w:val="single" w:sz="8" w:space="0" w:color="CCCCCC"/>
            </w:tcBorders>
            <w:shd w:val="clear" w:color="auto" w:fill="auto"/>
            <w:vAlign w:val="bottom"/>
            <w:hideMark/>
          </w:tcPr>
          <w:p w14:paraId="4F19E76B"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10,215</w:t>
            </w:r>
          </w:p>
        </w:tc>
      </w:tr>
      <w:tr w:rsidR="00F324D6" w:rsidRPr="00F324D6" w14:paraId="08145D86"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51EE3278"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2017</w:t>
            </w:r>
          </w:p>
        </w:tc>
        <w:tc>
          <w:tcPr>
            <w:tcW w:w="2709" w:type="dxa"/>
            <w:tcBorders>
              <w:top w:val="nil"/>
              <w:left w:val="nil"/>
              <w:bottom w:val="single" w:sz="8" w:space="0" w:color="CCCCCC"/>
              <w:right w:val="single" w:sz="8" w:space="0" w:color="CCCCCC"/>
            </w:tcBorders>
            <w:shd w:val="clear" w:color="auto" w:fill="auto"/>
            <w:vAlign w:val="bottom"/>
            <w:hideMark/>
          </w:tcPr>
          <w:p w14:paraId="3A130E32"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11,109</w:t>
            </w:r>
          </w:p>
        </w:tc>
      </w:tr>
      <w:tr w:rsidR="00F324D6" w:rsidRPr="00F324D6" w14:paraId="55C23D03"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10548A7D"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2018</w:t>
            </w:r>
          </w:p>
        </w:tc>
        <w:tc>
          <w:tcPr>
            <w:tcW w:w="2709" w:type="dxa"/>
            <w:tcBorders>
              <w:top w:val="nil"/>
              <w:left w:val="nil"/>
              <w:bottom w:val="single" w:sz="8" w:space="0" w:color="CCCCCC"/>
              <w:right w:val="single" w:sz="8" w:space="0" w:color="CCCCCC"/>
            </w:tcBorders>
            <w:shd w:val="clear" w:color="auto" w:fill="auto"/>
            <w:vAlign w:val="bottom"/>
            <w:hideMark/>
          </w:tcPr>
          <w:p w14:paraId="1651A8B7"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11,606</w:t>
            </w:r>
          </w:p>
        </w:tc>
      </w:tr>
      <w:tr w:rsidR="00F324D6" w:rsidRPr="00F324D6" w14:paraId="3BE2745D"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17AB6F57"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2019</w:t>
            </w:r>
          </w:p>
        </w:tc>
        <w:tc>
          <w:tcPr>
            <w:tcW w:w="2709" w:type="dxa"/>
            <w:tcBorders>
              <w:top w:val="nil"/>
              <w:left w:val="nil"/>
              <w:bottom w:val="single" w:sz="8" w:space="0" w:color="CCCCCC"/>
              <w:right w:val="single" w:sz="8" w:space="0" w:color="CCCCCC"/>
            </w:tcBorders>
            <w:shd w:val="clear" w:color="auto" w:fill="auto"/>
            <w:vAlign w:val="bottom"/>
            <w:hideMark/>
          </w:tcPr>
          <w:p w14:paraId="26DB0884"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12,490</w:t>
            </w:r>
          </w:p>
        </w:tc>
      </w:tr>
      <w:tr w:rsidR="00F324D6" w:rsidRPr="00F324D6" w14:paraId="644FEAA6"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7996E767"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2020</w:t>
            </w:r>
          </w:p>
        </w:tc>
        <w:tc>
          <w:tcPr>
            <w:tcW w:w="2709" w:type="dxa"/>
            <w:tcBorders>
              <w:top w:val="nil"/>
              <w:left w:val="nil"/>
              <w:bottom w:val="single" w:sz="8" w:space="0" w:color="CCCCCC"/>
              <w:right w:val="single" w:sz="8" w:space="0" w:color="CCCCCC"/>
            </w:tcBorders>
            <w:shd w:val="clear" w:color="auto" w:fill="auto"/>
            <w:vAlign w:val="bottom"/>
            <w:hideMark/>
          </w:tcPr>
          <w:p w14:paraId="2D384F88"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12,713</w:t>
            </w:r>
          </w:p>
        </w:tc>
      </w:tr>
      <w:tr w:rsidR="00F324D6" w:rsidRPr="00F324D6" w14:paraId="717C1118" w14:textId="77777777" w:rsidTr="0052302E">
        <w:trPr>
          <w:trHeight w:val="309"/>
          <w:jc w:val="center"/>
        </w:trPr>
        <w:tc>
          <w:tcPr>
            <w:tcW w:w="1383" w:type="dxa"/>
            <w:tcBorders>
              <w:top w:val="nil"/>
              <w:left w:val="single" w:sz="8" w:space="0" w:color="CCCCCC"/>
              <w:bottom w:val="single" w:sz="8" w:space="0" w:color="CCCCCC"/>
              <w:right w:val="single" w:sz="8" w:space="0" w:color="CCCCCC"/>
            </w:tcBorders>
            <w:shd w:val="clear" w:color="auto" w:fill="auto"/>
            <w:vAlign w:val="bottom"/>
            <w:hideMark/>
          </w:tcPr>
          <w:p w14:paraId="68E9BEC4"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2021</w:t>
            </w:r>
          </w:p>
        </w:tc>
        <w:tc>
          <w:tcPr>
            <w:tcW w:w="2709" w:type="dxa"/>
            <w:tcBorders>
              <w:top w:val="nil"/>
              <w:left w:val="nil"/>
              <w:bottom w:val="single" w:sz="8" w:space="0" w:color="CCCCCC"/>
              <w:right w:val="single" w:sz="8" w:space="0" w:color="CCCCCC"/>
            </w:tcBorders>
            <w:shd w:val="clear" w:color="auto" w:fill="auto"/>
            <w:vAlign w:val="bottom"/>
            <w:hideMark/>
          </w:tcPr>
          <w:p w14:paraId="6A484496" w14:textId="77777777" w:rsidR="00F324D6" w:rsidRPr="00F324D6" w:rsidRDefault="00F324D6" w:rsidP="00F324D6">
            <w:pPr>
              <w:spacing w:after="0" w:line="240" w:lineRule="auto"/>
              <w:jc w:val="right"/>
              <w:rPr>
                <w:rFonts w:ascii="Arial" w:eastAsia="Times New Roman" w:hAnsi="Arial" w:cs="Arial"/>
                <w:color w:val="000000"/>
                <w:kern w:val="0"/>
                <w:sz w:val="20"/>
                <w:szCs w:val="20"/>
                <w:lang w:eastAsia="en-IN"/>
                <w14:ligatures w14:val="none"/>
              </w:rPr>
            </w:pPr>
            <w:r w:rsidRPr="00F324D6">
              <w:rPr>
                <w:rFonts w:ascii="Arial" w:eastAsia="Times New Roman" w:hAnsi="Arial" w:cs="Arial"/>
                <w:color w:val="000000"/>
                <w:kern w:val="0"/>
                <w:sz w:val="20"/>
                <w:szCs w:val="20"/>
                <w:lang w:eastAsia="en-IN"/>
                <w14:ligatures w14:val="none"/>
              </w:rPr>
              <w:t>15,500</w:t>
            </w:r>
          </w:p>
        </w:tc>
      </w:tr>
    </w:tbl>
    <w:p w14:paraId="4B83CB69" w14:textId="5093836D" w:rsidR="00F324D6" w:rsidRPr="008D4B6C" w:rsidRDefault="0052302E">
      <w:pPr>
        <w:rPr>
          <w:lang w:val="en-US"/>
        </w:rPr>
      </w:pPr>
      <w:r>
        <w:rPr>
          <w:noProof/>
        </w:rPr>
        <w:drawing>
          <wp:anchor distT="0" distB="0" distL="114300" distR="114300" simplePos="0" relativeHeight="251660288" behindDoc="0" locked="0" layoutInCell="1" allowOverlap="1" wp14:anchorId="05B37E97" wp14:editId="4C4BE673">
            <wp:simplePos x="0" y="0"/>
            <wp:positionH relativeFrom="column">
              <wp:posOffset>543910</wp:posOffset>
            </wp:positionH>
            <wp:positionV relativeFrom="paragraph">
              <wp:posOffset>226366</wp:posOffset>
            </wp:positionV>
            <wp:extent cx="4572000" cy="2743200"/>
            <wp:effectExtent l="0" t="0" r="0" b="0"/>
            <wp:wrapSquare wrapText="bothSides"/>
            <wp:docPr id="1929641105" name="Chart 1">
              <a:extLst xmlns:a="http://schemas.openxmlformats.org/drawingml/2006/main">
                <a:ext uri="{FF2B5EF4-FFF2-40B4-BE49-F238E27FC236}">
                  <a16:creationId xmlns:a16="http://schemas.microsoft.com/office/drawing/2014/main" id="{6C1F2B85-AE58-8057-0A12-F2D0D92D5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sectPr w:rsidR="00F324D6" w:rsidRPr="008D4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7B03"/>
    <w:multiLevelType w:val="multilevel"/>
    <w:tmpl w:val="DA46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C51CB"/>
    <w:multiLevelType w:val="hybridMultilevel"/>
    <w:tmpl w:val="C81A4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7596705"/>
    <w:multiLevelType w:val="multilevel"/>
    <w:tmpl w:val="0CA8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6963407">
    <w:abstractNumId w:val="2"/>
  </w:num>
  <w:num w:numId="2" w16cid:durableId="1780562045">
    <w:abstractNumId w:val="1"/>
  </w:num>
  <w:num w:numId="3" w16cid:durableId="1492678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B6C"/>
    <w:rsid w:val="00001581"/>
    <w:rsid w:val="00157012"/>
    <w:rsid w:val="001B3F5B"/>
    <w:rsid w:val="0052302E"/>
    <w:rsid w:val="007B7A0A"/>
    <w:rsid w:val="008116DB"/>
    <w:rsid w:val="008D4B6C"/>
    <w:rsid w:val="00E15B97"/>
    <w:rsid w:val="00F32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7B66"/>
  <w15:chartTrackingRefBased/>
  <w15:docId w15:val="{D26550C1-95D7-4742-A496-10BF36A92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4B6C"/>
    <w:rPr>
      <w:b/>
      <w:bCs/>
    </w:rPr>
  </w:style>
  <w:style w:type="character" w:styleId="Hyperlink">
    <w:name w:val="Hyperlink"/>
    <w:basedOn w:val="DefaultParagraphFont"/>
    <w:uiPriority w:val="99"/>
    <w:semiHidden/>
    <w:unhideWhenUsed/>
    <w:rsid w:val="008D4B6C"/>
    <w:rPr>
      <w:color w:val="0000FF"/>
      <w:u w:val="single"/>
    </w:rPr>
  </w:style>
  <w:style w:type="paragraph" w:styleId="ListParagraph">
    <w:name w:val="List Paragraph"/>
    <w:basedOn w:val="Normal"/>
    <w:uiPriority w:val="34"/>
    <w:qFormat/>
    <w:rsid w:val="001B3F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6145">
      <w:bodyDiv w:val="1"/>
      <w:marLeft w:val="0"/>
      <w:marRight w:val="0"/>
      <w:marTop w:val="0"/>
      <w:marBottom w:val="0"/>
      <w:divBdr>
        <w:top w:val="none" w:sz="0" w:space="0" w:color="auto"/>
        <w:left w:val="none" w:sz="0" w:space="0" w:color="auto"/>
        <w:bottom w:val="none" w:sz="0" w:space="0" w:color="auto"/>
        <w:right w:val="none" w:sz="0" w:space="0" w:color="auto"/>
      </w:divBdr>
    </w:div>
    <w:div w:id="788738993">
      <w:bodyDiv w:val="1"/>
      <w:marLeft w:val="0"/>
      <w:marRight w:val="0"/>
      <w:marTop w:val="0"/>
      <w:marBottom w:val="0"/>
      <w:divBdr>
        <w:top w:val="none" w:sz="0" w:space="0" w:color="auto"/>
        <w:left w:val="none" w:sz="0" w:space="0" w:color="auto"/>
        <w:bottom w:val="none" w:sz="0" w:space="0" w:color="auto"/>
        <w:right w:val="none" w:sz="0" w:space="0" w:color="auto"/>
      </w:divBdr>
    </w:div>
    <w:div w:id="906258645">
      <w:bodyDiv w:val="1"/>
      <w:marLeft w:val="0"/>
      <w:marRight w:val="0"/>
      <w:marTop w:val="0"/>
      <w:marBottom w:val="0"/>
      <w:divBdr>
        <w:top w:val="none" w:sz="0" w:space="0" w:color="auto"/>
        <w:left w:val="none" w:sz="0" w:space="0" w:color="auto"/>
        <w:bottom w:val="none" w:sz="0" w:space="0" w:color="auto"/>
        <w:right w:val="none" w:sz="0" w:space="0" w:color="auto"/>
      </w:divBdr>
    </w:div>
    <w:div w:id="958990221">
      <w:bodyDiv w:val="1"/>
      <w:marLeft w:val="0"/>
      <w:marRight w:val="0"/>
      <w:marTop w:val="0"/>
      <w:marBottom w:val="0"/>
      <w:divBdr>
        <w:top w:val="none" w:sz="0" w:space="0" w:color="auto"/>
        <w:left w:val="none" w:sz="0" w:space="0" w:color="auto"/>
        <w:bottom w:val="none" w:sz="0" w:space="0" w:color="auto"/>
        <w:right w:val="none" w:sz="0" w:space="0" w:color="auto"/>
      </w:divBdr>
    </w:div>
    <w:div w:id="121720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q/qpam.asp" TargetMode="External"/><Relationship Id="rId13"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hyperlink" Target="https://www.investopedia.com/terms/r/ria.asp" TargetMode="External"/><Relationship Id="rId12" Type="http://schemas.openxmlformats.org/officeDocument/2006/relationships/hyperlink" Target="https://www.investopedia.com/terms/h/hnwi.as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rdorintelligence.com/industry-reports/usa-asset-management-industry" TargetMode="External"/><Relationship Id="rId11" Type="http://schemas.openxmlformats.org/officeDocument/2006/relationships/hyperlink" Target="https://www.investopedia.com/terms/p/publiccompany.asp" TargetMode="External"/><Relationship Id="rId5" Type="http://schemas.openxmlformats.org/officeDocument/2006/relationships/hyperlink" Target="https://www.bcg.com/industries/financial-institutions/asset-management" TargetMode="Externa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www.investopedia.com/ask/answers/041615/how-are-asset-management-firms-regulated.asp"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Industry</a:t>
            </a:r>
            <a:r>
              <a:rPr lang="en-US" sz="1200" baseline="0"/>
              <a:t> Revenue of Portfolio Management in Washington</a:t>
            </a:r>
            <a:endParaRPr lang="en-US" sz="1200"/>
          </a:p>
        </c:rich>
      </c:tx>
      <c:layout>
        <c:manualLayout>
          <c:xMode val="edge"/>
          <c:yMode val="edge"/>
          <c:x val="0.17195402298850573"/>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Sheet1!$B$69</c:f>
              <c:strCache>
                <c:ptCount val="1"/>
                <c:pt idx="0">
                  <c:v>Revenue (USD Million)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Sheet1!$A$70:$A$75</c:f>
              <c:numCache>
                <c:formatCode>General</c:formatCode>
                <c:ptCount val="6"/>
                <c:pt idx="0">
                  <c:v>2018</c:v>
                </c:pt>
                <c:pt idx="1">
                  <c:v>2019</c:v>
                </c:pt>
                <c:pt idx="2">
                  <c:v>2020</c:v>
                </c:pt>
                <c:pt idx="3">
                  <c:v>2021</c:v>
                </c:pt>
                <c:pt idx="4">
                  <c:v>2022</c:v>
                </c:pt>
                <c:pt idx="5">
                  <c:v>2023</c:v>
                </c:pt>
              </c:numCache>
            </c:numRef>
          </c:cat>
          <c:val>
            <c:numRef>
              <c:f>Sheet1!$B$70:$B$75</c:f>
              <c:numCache>
                <c:formatCode>General</c:formatCode>
                <c:ptCount val="6"/>
                <c:pt idx="0">
                  <c:v>2.79</c:v>
                </c:pt>
                <c:pt idx="1">
                  <c:v>2.93</c:v>
                </c:pt>
                <c:pt idx="2">
                  <c:v>2.94</c:v>
                </c:pt>
                <c:pt idx="3">
                  <c:v>3.08</c:v>
                </c:pt>
                <c:pt idx="4">
                  <c:v>3.23</c:v>
                </c:pt>
                <c:pt idx="5">
                  <c:v>3.39</c:v>
                </c:pt>
              </c:numCache>
            </c:numRef>
          </c:val>
          <c:extLst>
            <c:ext xmlns:c16="http://schemas.microsoft.com/office/drawing/2014/chart" uri="{C3380CC4-5D6E-409C-BE32-E72D297353CC}">
              <c16:uniqueId val="{00000000-4605-4679-93D5-EB3C8D85C470}"/>
            </c:ext>
          </c:extLst>
        </c:ser>
        <c:dLbls>
          <c:dLblPos val="outEnd"/>
          <c:showLegendKey val="0"/>
          <c:showVal val="1"/>
          <c:showCatName val="0"/>
          <c:showSerName val="0"/>
          <c:showPercent val="0"/>
          <c:showBubbleSize val="0"/>
        </c:dLbls>
        <c:gapWidth val="219"/>
        <c:overlap val="-27"/>
        <c:axId val="1121223167"/>
        <c:axId val="1121224607"/>
      </c:barChart>
      <c:catAx>
        <c:axId val="11212231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224607"/>
        <c:crosses val="autoZero"/>
        <c:auto val="1"/>
        <c:lblAlgn val="ctr"/>
        <c:lblOffset val="100"/>
        <c:noMultiLvlLbl val="0"/>
      </c:catAx>
      <c:valAx>
        <c:axId val="11212246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12231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Sheet1!$B$112</c:f>
              <c:strCache>
                <c:ptCount val="1"/>
                <c:pt idx="0">
                  <c:v>PE Fundraising (in billion $)</c:v>
                </c:pt>
              </c:strCache>
            </c:strRef>
          </c:tx>
          <c:spPr>
            <a:solidFill>
              <a:schemeClr val="accent1"/>
            </a:solidFill>
            <a:ln>
              <a:noFill/>
            </a:ln>
            <a:effectLst/>
          </c:spPr>
          <c:invertIfNegative val="0"/>
          <c:cat>
            <c:strRef>
              <c:f>Sheet1!$A$113:$A$122</c:f>
              <c:strCache>
                <c:ptCount val="10"/>
                <c:pt idx="0">
                  <c:v>Q1 21</c:v>
                </c:pt>
                <c:pt idx="1">
                  <c:v>Q2 21</c:v>
                </c:pt>
                <c:pt idx="2">
                  <c:v>Q3 21</c:v>
                </c:pt>
                <c:pt idx="3">
                  <c:v>Q4 21</c:v>
                </c:pt>
                <c:pt idx="4">
                  <c:v>Q1 22</c:v>
                </c:pt>
                <c:pt idx="5">
                  <c:v>Q2 22</c:v>
                </c:pt>
                <c:pt idx="6">
                  <c:v>Q3 22</c:v>
                </c:pt>
                <c:pt idx="7">
                  <c:v>Q4 22</c:v>
                </c:pt>
                <c:pt idx="8">
                  <c:v>Q1 23</c:v>
                </c:pt>
                <c:pt idx="9">
                  <c:v>Q2 23</c:v>
                </c:pt>
              </c:strCache>
            </c:strRef>
          </c:cat>
          <c:val>
            <c:numRef>
              <c:f>Sheet1!$B$113:$B$122</c:f>
              <c:numCache>
                <c:formatCode>General</c:formatCode>
                <c:ptCount val="10"/>
                <c:pt idx="0">
                  <c:v>155.51</c:v>
                </c:pt>
                <c:pt idx="1">
                  <c:v>180.01</c:v>
                </c:pt>
                <c:pt idx="2">
                  <c:v>133.66999999999999</c:v>
                </c:pt>
                <c:pt idx="3">
                  <c:v>160.85</c:v>
                </c:pt>
                <c:pt idx="4">
                  <c:v>128.11000000000001</c:v>
                </c:pt>
                <c:pt idx="5">
                  <c:v>155.46</c:v>
                </c:pt>
                <c:pt idx="6">
                  <c:v>108.75</c:v>
                </c:pt>
                <c:pt idx="7">
                  <c:v>143.56</c:v>
                </c:pt>
                <c:pt idx="8">
                  <c:v>105.09</c:v>
                </c:pt>
                <c:pt idx="9">
                  <c:v>104.18</c:v>
                </c:pt>
              </c:numCache>
            </c:numRef>
          </c:val>
          <c:extLst>
            <c:ext xmlns:c16="http://schemas.microsoft.com/office/drawing/2014/chart" uri="{C3380CC4-5D6E-409C-BE32-E72D297353CC}">
              <c16:uniqueId val="{00000000-8BED-4D4A-9C1A-0BBB20DCD764}"/>
            </c:ext>
          </c:extLst>
        </c:ser>
        <c:dLbls>
          <c:showLegendKey val="0"/>
          <c:showVal val="0"/>
          <c:showCatName val="0"/>
          <c:showSerName val="0"/>
          <c:showPercent val="0"/>
          <c:showBubbleSize val="0"/>
        </c:dLbls>
        <c:gapWidth val="219"/>
        <c:overlap val="-27"/>
        <c:axId val="1114145183"/>
        <c:axId val="1114132223"/>
      </c:barChart>
      <c:catAx>
        <c:axId val="1114145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132223"/>
        <c:crosses val="autoZero"/>
        <c:auto val="1"/>
        <c:lblAlgn val="ctr"/>
        <c:lblOffset val="100"/>
        <c:noMultiLvlLbl val="0"/>
      </c:catAx>
      <c:valAx>
        <c:axId val="11141322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41451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b="1" i="0">
                <a:effectLst/>
              </a:rPr>
              <a:t>Venture capital investment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Sheet1!$B$88</c:f>
              <c:strCache>
                <c:ptCount val="1"/>
                <c:pt idx="0">
                  <c:v>Deal count</c:v>
                </c:pt>
              </c:strCache>
            </c:strRef>
          </c:tx>
          <c:spPr>
            <a:solidFill>
              <a:schemeClr val="accent1"/>
            </a:solidFill>
            <a:ln>
              <a:noFill/>
            </a:ln>
            <a:effectLst/>
          </c:spPr>
          <c:invertIfNegative val="0"/>
          <c:cat>
            <c:numRef>
              <c:f>Sheet1!$A$89:$A$98</c:f>
              <c:numCache>
                <c:formatCode>General</c:formatCode>
                <c:ptCount val="10"/>
                <c:pt idx="0">
                  <c:v>2012</c:v>
                </c:pt>
                <c:pt idx="1">
                  <c:v>2013</c:v>
                </c:pt>
                <c:pt idx="2">
                  <c:v>2014</c:v>
                </c:pt>
                <c:pt idx="3">
                  <c:v>2015</c:v>
                </c:pt>
                <c:pt idx="4">
                  <c:v>2016</c:v>
                </c:pt>
                <c:pt idx="5">
                  <c:v>2017</c:v>
                </c:pt>
                <c:pt idx="6">
                  <c:v>2018</c:v>
                </c:pt>
                <c:pt idx="7">
                  <c:v>2019</c:v>
                </c:pt>
                <c:pt idx="8">
                  <c:v>2020</c:v>
                </c:pt>
                <c:pt idx="9">
                  <c:v>2021</c:v>
                </c:pt>
              </c:numCache>
            </c:numRef>
          </c:cat>
          <c:val>
            <c:numRef>
              <c:f>Sheet1!$B$89:$B$98</c:f>
              <c:numCache>
                <c:formatCode>#,##0</c:formatCode>
                <c:ptCount val="10"/>
                <c:pt idx="0">
                  <c:v>8026</c:v>
                </c:pt>
                <c:pt idx="1">
                  <c:v>9510</c:v>
                </c:pt>
                <c:pt idx="2">
                  <c:v>10713</c:v>
                </c:pt>
                <c:pt idx="3">
                  <c:v>11344</c:v>
                </c:pt>
                <c:pt idx="4">
                  <c:v>10215</c:v>
                </c:pt>
                <c:pt idx="5">
                  <c:v>11109</c:v>
                </c:pt>
                <c:pt idx="6">
                  <c:v>11606</c:v>
                </c:pt>
                <c:pt idx="7">
                  <c:v>12490</c:v>
                </c:pt>
                <c:pt idx="8">
                  <c:v>12713</c:v>
                </c:pt>
                <c:pt idx="9">
                  <c:v>15500</c:v>
                </c:pt>
              </c:numCache>
            </c:numRef>
          </c:val>
          <c:extLst>
            <c:ext xmlns:c16="http://schemas.microsoft.com/office/drawing/2014/chart" uri="{C3380CC4-5D6E-409C-BE32-E72D297353CC}">
              <c16:uniqueId val="{00000000-AC26-4944-991F-28761C55F34A}"/>
            </c:ext>
          </c:extLst>
        </c:ser>
        <c:dLbls>
          <c:showLegendKey val="0"/>
          <c:showVal val="0"/>
          <c:showCatName val="0"/>
          <c:showSerName val="0"/>
          <c:showPercent val="0"/>
          <c:showBubbleSize val="0"/>
        </c:dLbls>
        <c:gapWidth val="219"/>
        <c:overlap val="-27"/>
        <c:axId val="1041067567"/>
        <c:axId val="1041071887"/>
      </c:barChart>
      <c:catAx>
        <c:axId val="1041067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071887"/>
        <c:crosses val="autoZero"/>
        <c:auto val="1"/>
        <c:lblAlgn val="ctr"/>
        <c:lblOffset val="100"/>
        <c:noMultiLvlLbl val="0"/>
      </c:catAx>
      <c:valAx>
        <c:axId val="1041071887"/>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10675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2024-07-12T08:48:00Z</dcterms:created>
  <dcterms:modified xsi:type="dcterms:W3CDTF">2024-07-12T10:01:00Z</dcterms:modified>
</cp:coreProperties>
</file>