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5846D" w14:textId="551F6237" w:rsidR="00001581" w:rsidRDefault="003353EA">
      <w:pPr>
        <w:rPr>
          <w:rFonts w:ascii="Arial" w:hAnsi="Arial" w:cs="Arial"/>
          <w:b/>
          <w:bCs/>
          <w:sz w:val="36"/>
          <w:szCs w:val="36"/>
          <w:lang w:val="en-US"/>
        </w:rPr>
      </w:pPr>
      <w:r w:rsidRPr="003353EA">
        <w:rPr>
          <w:rFonts w:ascii="Arial" w:hAnsi="Arial" w:cs="Arial"/>
          <w:b/>
          <w:bCs/>
          <w:sz w:val="36"/>
          <w:szCs w:val="36"/>
          <w:lang w:val="en-US"/>
        </w:rPr>
        <w:t>BASEL 3 REGULATIONS</w:t>
      </w:r>
    </w:p>
    <w:p w14:paraId="79B9707F" w14:textId="2DBB3942" w:rsidR="003353EA" w:rsidRDefault="003353EA">
      <w:r w:rsidRPr="003353EA">
        <w:rPr>
          <w:sz w:val="24"/>
          <w:szCs w:val="24"/>
        </w:rPr>
        <w:t>Basel III regulations are a set of international banking regulations developed by the Basel Committee on Banking Supervision, aiming to strengthen bank capital requirements by increasing liquidity and decreasing leverage</w:t>
      </w:r>
      <w:r>
        <w:t>.</w:t>
      </w:r>
    </w:p>
    <w:p w14:paraId="1E7F6375" w14:textId="55006596" w:rsidR="003353EA" w:rsidRPr="003353EA" w:rsidRDefault="003353EA" w:rsidP="003353EA">
      <w:pPr>
        <w:pStyle w:val="ListParagraph"/>
        <w:numPr>
          <w:ilvl w:val="0"/>
          <w:numId w:val="2"/>
        </w:numPr>
        <w:spacing w:after="0" w:line="240" w:lineRule="auto"/>
        <w:rPr>
          <w:rFonts w:eastAsia="Times New Roman" w:cstheme="minorHAnsi"/>
          <w:kern w:val="0"/>
          <w:sz w:val="24"/>
          <w:szCs w:val="24"/>
          <w:lang w:eastAsia="en-IN"/>
          <w14:ligatures w14:val="none"/>
        </w:rPr>
      </w:pPr>
      <w:r w:rsidRPr="003353EA">
        <w:rPr>
          <w:rFonts w:eastAsia="Times New Roman" w:cstheme="minorHAnsi"/>
          <w:b/>
          <w:bCs/>
          <w:kern w:val="0"/>
          <w:sz w:val="24"/>
          <w:szCs w:val="24"/>
          <w:lang w:eastAsia="en-IN"/>
          <w14:ligatures w14:val="none"/>
        </w:rPr>
        <w:t>2020</w:t>
      </w:r>
      <w:r w:rsidRPr="003353EA">
        <w:rPr>
          <w:rFonts w:eastAsia="Times New Roman" w:cstheme="minorHAnsi"/>
          <w:kern w:val="0"/>
          <w:sz w:val="24"/>
          <w:szCs w:val="24"/>
          <w:lang w:eastAsia="en-IN"/>
          <w14:ligatures w14:val="none"/>
        </w:rPr>
        <w:t>: The implementation timeline for Basel III reforms was adjusted to accommodate the operational capacity of banks during the COVID-19 pandemic. This included temporary adjustments to leverage ratios and capital requirements to support economic stability.</w:t>
      </w:r>
    </w:p>
    <w:p w14:paraId="18174591" w14:textId="1B8F98F8" w:rsidR="003353EA" w:rsidRPr="003353EA" w:rsidRDefault="003353EA" w:rsidP="003353EA">
      <w:pPr>
        <w:pStyle w:val="ListParagraph"/>
        <w:numPr>
          <w:ilvl w:val="0"/>
          <w:numId w:val="2"/>
        </w:numPr>
        <w:spacing w:after="0" w:line="240" w:lineRule="auto"/>
        <w:rPr>
          <w:rFonts w:eastAsia="Times New Roman" w:cstheme="minorHAnsi"/>
          <w:kern w:val="0"/>
          <w:sz w:val="24"/>
          <w:szCs w:val="24"/>
          <w:lang w:eastAsia="en-IN"/>
          <w14:ligatures w14:val="none"/>
        </w:rPr>
      </w:pPr>
      <w:r w:rsidRPr="003353EA">
        <w:rPr>
          <w:rFonts w:eastAsia="Times New Roman" w:cstheme="minorHAnsi"/>
          <w:b/>
          <w:bCs/>
          <w:kern w:val="0"/>
          <w:sz w:val="24"/>
          <w:szCs w:val="24"/>
          <w:lang w:eastAsia="en-IN"/>
          <w14:ligatures w14:val="none"/>
        </w:rPr>
        <w:t>2021</w:t>
      </w:r>
      <w:r w:rsidRPr="003353EA">
        <w:rPr>
          <w:rFonts w:eastAsia="Times New Roman" w:cstheme="minorHAnsi"/>
          <w:kern w:val="0"/>
          <w:sz w:val="24"/>
          <w:szCs w:val="24"/>
          <w:lang w:eastAsia="en-IN"/>
          <w14:ligatures w14:val="none"/>
        </w:rPr>
        <w:t>: Reports indicated a general improvement in liquidity and funding ratios despite the challenges posed by the pandemic. Capital adequacy remained robust, though the removal of temporary measures led to some adjustments in leverage ratios, especially in the Americas.</w:t>
      </w:r>
    </w:p>
    <w:p w14:paraId="4FD478C8" w14:textId="74AF7921" w:rsidR="003353EA" w:rsidRPr="003353EA" w:rsidRDefault="003353EA" w:rsidP="003353EA">
      <w:pPr>
        <w:pStyle w:val="ListParagraph"/>
        <w:numPr>
          <w:ilvl w:val="0"/>
          <w:numId w:val="2"/>
        </w:numPr>
        <w:spacing w:after="0" w:line="240" w:lineRule="auto"/>
        <w:rPr>
          <w:rFonts w:eastAsia="Times New Roman" w:cstheme="minorHAnsi"/>
          <w:kern w:val="0"/>
          <w:sz w:val="24"/>
          <w:szCs w:val="24"/>
          <w:lang w:eastAsia="en-IN"/>
          <w14:ligatures w14:val="none"/>
        </w:rPr>
      </w:pPr>
      <w:r w:rsidRPr="003353EA">
        <w:rPr>
          <w:rFonts w:eastAsia="Times New Roman" w:cstheme="minorHAnsi"/>
          <w:b/>
          <w:bCs/>
          <w:kern w:val="0"/>
          <w:sz w:val="24"/>
          <w:szCs w:val="24"/>
          <w:lang w:eastAsia="en-IN"/>
          <w14:ligatures w14:val="none"/>
        </w:rPr>
        <w:t>2022</w:t>
      </w:r>
      <w:r w:rsidRPr="003353EA">
        <w:rPr>
          <w:rFonts w:eastAsia="Times New Roman" w:cstheme="minorHAnsi"/>
          <w:kern w:val="0"/>
          <w:sz w:val="24"/>
          <w:szCs w:val="24"/>
          <w:lang w:eastAsia="en-IN"/>
          <w14:ligatures w14:val="none"/>
        </w:rPr>
        <w:t>: By mid-2022, initial Basel III capital ratios had decreased to pre-pandemic levels, but liquidity ratios remained above those levels, reflecting sustained efforts to maintain strong liquidity positions.</w:t>
      </w:r>
    </w:p>
    <w:p w14:paraId="79E5155B" w14:textId="737625E8" w:rsidR="003353EA" w:rsidRPr="005B48DB" w:rsidRDefault="003353EA" w:rsidP="003353EA">
      <w:pPr>
        <w:pStyle w:val="ListParagraph"/>
        <w:numPr>
          <w:ilvl w:val="0"/>
          <w:numId w:val="2"/>
        </w:numPr>
        <w:rPr>
          <w:rFonts w:ascii="Arial" w:hAnsi="Arial" w:cs="Arial"/>
          <w:b/>
          <w:bCs/>
          <w:sz w:val="36"/>
          <w:szCs w:val="36"/>
          <w:lang w:val="en-US"/>
        </w:rPr>
      </w:pPr>
      <w:r w:rsidRPr="003353EA">
        <w:rPr>
          <w:rFonts w:eastAsia="Times New Roman" w:cstheme="minorHAnsi"/>
          <w:b/>
          <w:bCs/>
          <w:kern w:val="0"/>
          <w:sz w:val="24"/>
          <w:szCs w:val="24"/>
          <w:lang w:eastAsia="en-IN"/>
          <w14:ligatures w14:val="none"/>
        </w:rPr>
        <w:t>2023</w:t>
      </w:r>
      <w:r w:rsidRPr="003353EA">
        <w:rPr>
          <w:rFonts w:eastAsia="Times New Roman" w:cstheme="minorHAnsi"/>
          <w:kern w:val="0"/>
          <w:sz w:val="24"/>
          <w:szCs w:val="24"/>
          <w:lang w:eastAsia="en-IN"/>
          <w14:ligatures w14:val="none"/>
        </w:rPr>
        <w:t>: The final Basel III requirements were set to be fully implemented by January 1, 2023. These reforms are expected to be fully phased in by January 1, 2028, solidifying the regulatory framework aimed at enhancing the resilience of the banking sector</w:t>
      </w:r>
      <w:r w:rsidRPr="003353EA">
        <w:rPr>
          <w:rFonts w:ascii="Times New Roman" w:eastAsia="Times New Roman" w:hAnsi="Times New Roman" w:cs="Times New Roman"/>
          <w:kern w:val="0"/>
          <w:sz w:val="24"/>
          <w:szCs w:val="24"/>
          <w:lang w:eastAsia="en-IN"/>
          <w14:ligatures w14:val="none"/>
        </w:rPr>
        <w:t>.</w:t>
      </w:r>
    </w:p>
    <w:tbl>
      <w:tblPr>
        <w:tblW w:w="8719" w:type="dxa"/>
        <w:tblLook w:val="04A0" w:firstRow="1" w:lastRow="0" w:firstColumn="1" w:lastColumn="0" w:noHBand="0" w:noVBand="1"/>
      </w:tblPr>
      <w:tblGrid>
        <w:gridCol w:w="730"/>
        <w:gridCol w:w="730"/>
        <w:gridCol w:w="1605"/>
        <w:gridCol w:w="2378"/>
        <w:gridCol w:w="2546"/>
        <w:gridCol w:w="730"/>
      </w:tblGrid>
      <w:tr w:rsidR="002C2871" w:rsidRPr="005B48DB" w14:paraId="36DD1852" w14:textId="77777777" w:rsidTr="002C2871">
        <w:trPr>
          <w:trHeight w:val="290"/>
        </w:trPr>
        <w:tc>
          <w:tcPr>
            <w:tcW w:w="730" w:type="dxa"/>
            <w:tcBorders>
              <w:top w:val="nil"/>
              <w:left w:val="nil"/>
              <w:bottom w:val="nil"/>
              <w:right w:val="nil"/>
            </w:tcBorders>
            <w:shd w:val="clear" w:color="auto" w:fill="auto"/>
            <w:noWrap/>
            <w:vAlign w:val="bottom"/>
            <w:hideMark/>
          </w:tcPr>
          <w:p w14:paraId="5899BC82" w14:textId="77777777" w:rsidR="005B48DB" w:rsidRPr="005B48DB" w:rsidRDefault="005B48DB" w:rsidP="005B48DB">
            <w:pPr>
              <w:spacing w:after="0" w:line="240" w:lineRule="auto"/>
              <w:rPr>
                <w:rFonts w:ascii="Times New Roman" w:eastAsia="Times New Roman" w:hAnsi="Times New Roman" w:cs="Times New Roman"/>
                <w:kern w:val="0"/>
                <w:sz w:val="24"/>
                <w:szCs w:val="24"/>
                <w:lang w:eastAsia="en-IN"/>
                <w14:ligatures w14:val="none"/>
              </w:rPr>
            </w:pPr>
          </w:p>
        </w:tc>
        <w:tc>
          <w:tcPr>
            <w:tcW w:w="730" w:type="dxa"/>
            <w:tcBorders>
              <w:top w:val="nil"/>
              <w:left w:val="nil"/>
              <w:bottom w:val="nil"/>
              <w:right w:val="nil"/>
            </w:tcBorders>
            <w:shd w:val="clear" w:color="auto" w:fill="auto"/>
            <w:noWrap/>
            <w:vAlign w:val="bottom"/>
            <w:hideMark/>
          </w:tcPr>
          <w:p w14:paraId="1CE1BF0A" w14:textId="77777777" w:rsidR="005B48DB" w:rsidRPr="005B48DB" w:rsidRDefault="005B48DB" w:rsidP="005B48DB">
            <w:pPr>
              <w:spacing w:after="0" w:line="240" w:lineRule="auto"/>
              <w:rPr>
                <w:rFonts w:ascii="Times New Roman" w:eastAsia="Times New Roman" w:hAnsi="Times New Roman" w:cs="Times New Roman"/>
                <w:kern w:val="0"/>
                <w:sz w:val="20"/>
                <w:szCs w:val="20"/>
                <w:lang w:eastAsia="en-IN"/>
                <w14:ligatures w14:val="none"/>
              </w:rPr>
            </w:pPr>
          </w:p>
        </w:tc>
        <w:tc>
          <w:tcPr>
            <w:tcW w:w="1605" w:type="dxa"/>
            <w:tcBorders>
              <w:top w:val="nil"/>
              <w:left w:val="nil"/>
              <w:bottom w:val="nil"/>
              <w:right w:val="nil"/>
            </w:tcBorders>
            <w:shd w:val="clear" w:color="auto" w:fill="auto"/>
            <w:noWrap/>
            <w:vAlign w:val="bottom"/>
            <w:hideMark/>
          </w:tcPr>
          <w:p w14:paraId="1B6AA71F" w14:textId="77777777" w:rsidR="005B48DB" w:rsidRPr="005B48DB" w:rsidRDefault="005B48DB" w:rsidP="005B48DB">
            <w:pPr>
              <w:spacing w:after="0" w:line="240" w:lineRule="auto"/>
              <w:rPr>
                <w:rFonts w:ascii="Times New Roman" w:eastAsia="Times New Roman" w:hAnsi="Times New Roman" w:cs="Times New Roman"/>
                <w:kern w:val="0"/>
                <w:sz w:val="20"/>
                <w:szCs w:val="20"/>
                <w:lang w:eastAsia="en-IN"/>
                <w14:ligatures w14:val="none"/>
              </w:rPr>
            </w:pPr>
          </w:p>
        </w:tc>
        <w:tc>
          <w:tcPr>
            <w:tcW w:w="2378" w:type="dxa"/>
            <w:tcBorders>
              <w:top w:val="nil"/>
              <w:left w:val="nil"/>
              <w:bottom w:val="nil"/>
              <w:right w:val="nil"/>
            </w:tcBorders>
            <w:shd w:val="clear" w:color="auto" w:fill="auto"/>
            <w:noWrap/>
            <w:vAlign w:val="bottom"/>
            <w:hideMark/>
          </w:tcPr>
          <w:p w14:paraId="659A047C" w14:textId="77777777" w:rsidR="005B48DB" w:rsidRPr="005B48DB" w:rsidRDefault="005B48DB" w:rsidP="005B48DB">
            <w:pPr>
              <w:spacing w:after="0" w:line="240" w:lineRule="auto"/>
              <w:rPr>
                <w:rFonts w:ascii="Times New Roman" w:eastAsia="Times New Roman" w:hAnsi="Times New Roman" w:cs="Times New Roman"/>
                <w:kern w:val="0"/>
                <w:sz w:val="20"/>
                <w:szCs w:val="20"/>
                <w:lang w:eastAsia="en-IN"/>
                <w14:ligatures w14:val="none"/>
              </w:rPr>
            </w:pPr>
          </w:p>
        </w:tc>
        <w:tc>
          <w:tcPr>
            <w:tcW w:w="2546" w:type="dxa"/>
            <w:tcBorders>
              <w:top w:val="nil"/>
              <w:left w:val="nil"/>
              <w:bottom w:val="nil"/>
              <w:right w:val="nil"/>
            </w:tcBorders>
            <w:shd w:val="clear" w:color="auto" w:fill="auto"/>
            <w:noWrap/>
            <w:vAlign w:val="bottom"/>
            <w:hideMark/>
          </w:tcPr>
          <w:p w14:paraId="60AAFA09" w14:textId="77777777" w:rsidR="005B48DB" w:rsidRPr="005B48DB" w:rsidRDefault="005B48DB" w:rsidP="005B48DB">
            <w:pPr>
              <w:spacing w:after="0" w:line="240" w:lineRule="auto"/>
              <w:rPr>
                <w:rFonts w:ascii="Times New Roman" w:eastAsia="Times New Roman" w:hAnsi="Times New Roman" w:cs="Times New Roman"/>
                <w:kern w:val="0"/>
                <w:sz w:val="20"/>
                <w:szCs w:val="20"/>
                <w:lang w:eastAsia="en-IN"/>
                <w14:ligatures w14:val="none"/>
              </w:rPr>
            </w:pPr>
          </w:p>
        </w:tc>
        <w:tc>
          <w:tcPr>
            <w:tcW w:w="730" w:type="dxa"/>
            <w:tcBorders>
              <w:top w:val="nil"/>
              <w:left w:val="nil"/>
              <w:bottom w:val="nil"/>
              <w:right w:val="nil"/>
            </w:tcBorders>
            <w:shd w:val="clear" w:color="auto" w:fill="auto"/>
            <w:noWrap/>
            <w:vAlign w:val="bottom"/>
            <w:hideMark/>
          </w:tcPr>
          <w:p w14:paraId="1A47282D" w14:textId="77777777" w:rsidR="005B48DB" w:rsidRPr="005B48DB" w:rsidRDefault="005B48DB" w:rsidP="005B48DB">
            <w:pPr>
              <w:spacing w:after="0" w:line="240" w:lineRule="auto"/>
              <w:rPr>
                <w:rFonts w:ascii="Times New Roman" w:eastAsia="Times New Roman" w:hAnsi="Times New Roman" w:cs="Times New Roman"/>
                <w:kern w:val="0"/>
                <w:sz w:val="20"/>
                <w:szCs w:val="20"/>
                <w:lang w:eastAsia="en-IN"/>
                <w14:ligatures w14:val="none"/>
              </w:rPr>
            </w:pPr>
          </w:p>
        </w:tc>
      </w:tr>
      <w:tr w:rsidR="002C2871" w:rsidRPr="005B48DB" w14:paraId="1594B46C" w14:textId="77777777" w:rsidTr="002C2871">
        <w:trPr>
          <w:trHeight w:val="290"/>
        </w:trPr>
        <w:tc>
          <w:tcPr>
            <w:tcW w:w="730" w:type="dxa"/>
            <w:tcBorders>
              <w:top w:val="nil"/>
              <w:left w:val="nil"/>
              <w:bottom w:val="nil"/>
              <w:right w:val="nil"/>
            </w:tcBorders>
            <w:shd w:val="clear" w:color="auto" w:fill="auto"/>
            <w:noWrap/>
            <w:vAlign w:val="bottom"/>
            <w:hideMark/>
          </w:tcPr>
          <w:p w14:paraId="5AFAD0B0" w14:textId="77777777" w:rsidR="005B48DB" w:rsidRPr="005B48DB" w:rsidRDefault="005B48DB" w:rsidP="005B48DB">
            <w:pPr>
              <w:spacing w:after="0" w:line="240" w:lineRule="auto"/>
              <w:rPr>
                <w:rFonts w:ascii="Times New Roman" w:eastAsia="Times New Roman" w:hAnsi="Times New Roman" w:cs="Times New Roman"/>
                <w:kern w:val="0"/>
                <w:sz w:val="20"/>
                <w:szCs w:val="20"/>
                <w:lang w:eastAsia="en-IN"/>
                <w14:ligatures w14:val="none"/>
              </w:rPr>
            </w:pPr>
          </w:p>
        </w:tc>
        <w:tc>
          <w:tcPr>
            <w:tcW w:w="73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324D40A" w14:textId="77777777" w:rsidR="005B48DB" w:rsidRPr="005B48DB" w:rsidRDefault="005B48DB" w:rsidP="005B48DB">
            <w:pPr>
              <w:spacing w:after="0" w:line="240" w:lineRule="auto"/>
              <w:rPr>
                <w:rFonts w:ascii="Calibri" w:eastAsia="Times New Roman" w:hAnsi="Calibri" w:cs="Calibri"/>
                <w:b/>
                <w:bCs/>
                <w:color w:val="000000"/>
                <w:kern w:val="0"/>
                <w:lang w:eastAsia="en-IN"/>
                <w14:ligatures w14:val="none"/>
              </w:rPr>
            </w:pPr>
            <w:r w:rsidRPr="005B48DB">
              <w:rPr>
                <w:rFonts w:ascii="Calibri" w:eastAsia="Times New Roman" w:hAnsi="Calibri" w:cs="Calibri"/>
                <w:b/>
                <w:bCs/>
                <w:color w:val="000000"/>
                <w:kern w:val="0"/>
                <w:lang w:eastAsia="en-IN"/>
                <w14:ligatures w14:val="none"/>
              </w:rPr>
              <w:t>Year</w:t>
            </w:r>
          </w:p>
        </w:tc>
        <w:tc>
          <w:tcPr>
            <w:tcW w:w="1605" w:type="dxa"/>
            <w:tcBorders>
              <w:top w:val="single" w:sz="8" w:space="0" w:color="auto"/>
              <w:left w:val="nil"/>
              <w:bottom w:val="single" w:sz="8" w:space="0" w:color="auto"/>
              <w:right w:val="single" w:sz="8" w:space="0" w:color="auto"/>
            </w:tcBorders>
            <w:shd w:val="clear" w:color="auto" w:fill="auto"/>
            <w:noWrap/>
            <w:vAlign w:val="bottom"/>
            <w:hideMark/>
          </w:tcPr>
          <w:p w14:paraId="16E77740" w14:textId="77777777" w:rsidR="005B48DB" w:rsidRPr="005B48DB" w:rsidRDefault="005B48DB" w:rsidP="005B48DB">
            <w:pPr>
              <w:spacing w:after="0" w:line="240" w:lineRule="auto"/>
              <w:rPr>
                <w:rFonts w:ascii="Calibri" w:eastAsia="Times New Roman" w:hAnsi="Calibri" w:cs="Calibri"/>
                <w:b/>
                <w:bCs/>
                <w:color w:val="000000"/>
                <w:kern w:val="0"/>
                <w:lang w:eastAsia="en-IN"/>
                <w14:ligatures w14:val="none"/>
              </w:rPr>
            </w:pPr>
            <w:r w:rsidRPr="005B48DB">
              <w:rPr>
                <w:rFonts w:ascii="Calibri" w:eastAsia="Times New Roman" w:hAnsi="Calibri" w:cs="Calibri"/>
                <w:b/>
                <w:bCs/>
                <w:color w:val="000000"/>
                <w:kern w:val="0"/>
                <w:lang w:eastAsia="en-IN"/>
                <w14:ligatures w14:val="none"/>
              </w:rPr>
              <w:t>Tier 1 Capital Ratio (%)</w:t>
            </w:r>
          </w:p>
        </w:tc>
        <w:tc>
          <w:tcPr>
            <w:tcW w:w="2378" w:type="dxa"/>
            <w:tcBorders>
              <w:top w:val="single" w:sz="8" w:space="0" w:color="auto"/>
              <w:left w:val="nil"/>
              <w:bottom w:val="single" w:sz="8" w:space="0" w:color="auto"/>
              <w:right w:val="single" w:sz="8" w:space="0" w:color="auto"/>
            </w:tcBorders>
            <w:shd w:val="clear" w:color="auto" w:fill="auto"/>
            <w:noWrap/>
            <w:vAlign w:val="bottom"/>
            <w:hideMark/>
          </w:tcPr>
          <w:p w14:paraId="48D69024" w14:textId="77777777" w:rsidR="005B48DB" w:rsidRPr="005B48DB" w:rsidRDefault="005B48DB" w:rsidP="005B48DB">
            <w:pPr>
              <w:spacing w:after="0" w:line="240" w:lineRule="auto"/>
              <w:rPr>
                <w:rFonts w:ascii="Calibri" w:eastAsia="Times New Roman" w:hAnsi="Calibri" w:cs="Calibri"/>
                <w:b/>
                <w:bCs/>
                <w:color w:val="000000"/>
                <w:kern w:val="0"/>
                <w:lang w:eastAsia="en-IN"/>
                <w14:ligatures w14:val="none"/>
              </w:rPr>
            </w:pPr>
            <w:r w:rsidRPr="005B48DB">
              <w:rPr>
                <w:rFonts w:ascii="Calibri" w:eastAsia="Times New Roman" w:hAnsi="Calibri" w:cs="Calibri"/>
                <w:b/>
                <w:bCs/>
                <w:color w:val="000000"/>
                <w:kern w:val="0"/>
                <w:lang w:eastAsia="en-IN"/>
                <w14:ligatures w14:val="none"/>
              </w:rPr>
              <w:t>Liquidity Coverage Ratio (LCR) (%)</w:t>
            </w:r>
          </w:p>
        </w:tc>
        <w:tc>
          <w:tcPr>
            <w:tcW w:w="2546" w:type="dxa"/>
            <w:tcBorders>
              <w:top w:val="single" w:sz="8" w:space="0" w:color="auto"/>
              <w:left w:val="nil"/>
              <w:bottom w:val="single" w:sz="8" w:space="0" w:color="auto"/>
              <w:right w:val="single" w:sz="8" w:space="0" w:color="auto"/>
            </w:tcBorders>
            <w:shd w:val="clear" w:color="auto" w:fill="auto"/>
            <w:noWrap/>
            <w:vAlign w:val="bottom"/>
            <w:hideMark/>
          </w:tcPr>
          <w:p w14:paraId="6A649043" w14:textId="77777777" w:rsidR="005B48DB" w:rsidRPr="005B48DB" w:rsidRDefault="005B48DB" w:rsidP="005B48DB">
            <w:pPr>
              <w:spacing w:after="0" w:line="240" w:lineRule="auto"/>
              <w:rPr>
                <w:rFonts w:ascii="Calibri" w:eastAsia="Times New Roman" w:hAnsi="Calibri" w:cs="Calibri"/>
                <w:b/>
                <w:bCs/>
                <w:color w:val="000000"/>
                <w:kern w:val="0"/>
                <w:lang w:eastAsia="en-IN"/>
                <w14:ligatures w14:val="none"/>
              </w:rPr>
            </w:pPr>
            <w:r w:rsidRPr="005B48DB">
              <w:rPr>
                <w:rFonts w:ascii="Calibri" w:eastAsia="Times New Roman" w:hAnsi="Calibri" w:cs="Calibri"/>
                <w:b/>
                <w:bCs/>
                <w:color w:val="000000"/>
                <w:kern w:val="0"/>
                <w:lang w:eastAsia="en-IN"/>
                <w14:ligatures w14:val="none"/>
              </w:rPr>
              <w:t>Net Stable Funding Ratio (NSFR) (%)</w:t>
            </w:r>
          </w:p>
        </w:tc>
        <w:tc>
          <w:tcPr>
            <w:tcW w:w="730" w:type="dxa"/>
            <w:tcBorders>
              <w:top w:val="nil"/>
              <w:left w:val="nil"/>
              <w:bottom w:val="nil"/>
              <w:right w:val="nil"/>
            </w:tcBorders>
            <w:shd w:val="clear" w:color="auto" w:fill="auto"/>
            <w:noWrap/>
            <w:vAlign w:val="bottom"/>
            <w:hideMark/>
          </w:tcPr>
          <w:p w14:paraId="2EFF5CB7" w14:textId="77777777" w:rsidR="005B48DB" w:rsidRPr="005B48DB" w:rsidRDefault="005B48DB" w:rsidP="005B48DB">
            <w:pPr>
              <w:spacing w:after="0" w:line="240" w:lineRule="auto"/>
              <w:rPr>
                <w:rFonts w:ascii="Calibri" w:eastAsia="Times New Roman" w:hAnsi="Calibri" w:cs="Calibri"/>
                <w:b/>
                <w:bCs/>
                <w:color w:val="000000"/>
                <w:kern w:val="0"/>
                <w:lang w:eastAsia="en-IN"/>
                <w14:ligatures w14:val="none"/>
              </w:rPr>
            </w:pPr>
          </w:p>
        </w:tc>
      </w:tr>
      <w:tr w:rsidR="002C2871" w:rsidRPr="005B48DB" w14:paraId="02E6C5CD" w14:textId="77777777" w:rsidTr="002C2871">
        <w:trPr>
          <w:trHeight w:val="290"/>
        </w:trPr>
        <w:tc>
          <w:tcPr>
            <w:tcW w:w="730" w:type="dxa"/>
            <w:tcBorders>
              <w:top w:val="nil"/>
              <w:left w:val="nil"/>
              <w:bottom w:val="nil"/>
              <w:right w:val="nil"/>
            </w:tcBorders>
            <w:shd w:val="clear" w:color="auto" w:fill="auto"/>
            <w:noWrap/>
            <w:vAlign w:val="bottom"/>
            <w:hideMark/>
          </w:tcPr>
          <w:p w14:paraId="04DA41D8" w14:textId="77777777" w:rsidR="005B48DB" w:rsidRPr="005B48DB" w:rsidRDefault="005B48DB" w:rsidP="005B48DB">
            <w:pPr>
              <w:spacing w:after="0" w:line="240" w:lineRule="auto"/>
              <w:rPr>
                <w:rFonts w:ascii="Times New Roman" w:eastAsia="Times New Roman" w:hAnsi="Times New Roman" w:cs="Times New Roman"/>
                <w:kern w:val="0"/>
                <w:sz w:val="20"/>
                <w:szCs w:val="20"/>
                <w:lang w:eastAsia="en-IN"/>
                <w14:ligatures w14:val="none"/>
              </w:rPr>
            </w:pPr>
          </w:p>
        </w:tc>
        <w:tc>
          <w:tcPr>
            <w:tcW w:w="730" w:type="dxa"/>
            <w:tcBorders>
              <w:top w:val="nil"/>
              <w:left w:val="single" w:sz="8" w:space="0" w:color="auto"/>
              <w:bottom w:val="single" w:sz="8" w:space="0" w:color="auto"/>
              <w:right w:val="single" w:sz="8" w:space="0" w:color="auto"/>
            </w:tcBorders>
            <w:shd w:val="clear" w:color="auto" w:fill="auto"/>
            <w:noWrap/>
            <w:vAlign w:val="bottom"/>
            <w:hideMark/>
          </w:tcPr>
          <w:p w14:paraId="441CAE32" w14:textId="77777777" w:rsidR="005B48DB" w:rsidRPr="005B48DB" w:rsidRDefault="005B48DB" w:rsidP="005B48DB">
            <w:pPr>
              <w:spacing w:after="0" w:line="240" w:lineRule="auto"/>
              <w:jc w:val="right"/>
              <w:rPr>
                <w:rFonts w:ascii="Calibri" w:eastAsia="Times New Roman" w:hAnsi="Calibri" w:cs="Calibri"/>
                <w:b/>
                <w:bCs/>
                <w:color w:val="000000"/>
                <w:kern w:val="0"/>
                <w:lang w:eastAsia="en-IN"/>
                <w14:ligatures w14:val="none"/>
              </w:rPr>
            </w:pPr>
            <w:r w:rsidRPr="005B48DB">
              <w:rPr>
                <w:rFonts w:ascii="Calibri" w:eastAsia="Times New Roman" w:hAnsi="Calibri" w:cs="Calibri"/>
                <w:b/>
                <w:bCs/>
                <w:color w:val="000000"/>
                <w:kern w:val="0"/>
                <w:lang w:eastAsia="en-IN"/>
                <w14:ligatures w14:val="none"/>
              </w:rPr>
              <w:t>2019</w:t>
            </w:r>
          </w:p>
        </w:tc>
        <w:tc>
          <w:tcPr>
            <w:tcW w:w="1605" w:type="dxa"/>
            <w:tcBorders>
              <w:top w:val="nil"/>
              <w:left w:val="nil"/>
              <w:bottom w:val="single" w:sz="8" w:space="0" w:color="auto"/>
              <w:right w:val="single" w:sz="8" w:space="0" w:color="auto"/>
            </w:tcBorders>
            <w:shd w:val="clear" w:color="auto" w:fill="auto"/>
            <w:noWrap/>
            <w:vAlign w:val="bottom"/>
            <w:hideMark/>
          </w:tcPr>
          <w:p w14:paraId="1B538CE2" w14:textId="77777777" w:rsidR="005B48DB" w:rsidRPr="005B48DB" w:rsidRDefault="005B48DB" w:rsidP="005B48DB">
            <w:pPr>
              <w:spacing w:after="0" w:line="240" w:lineRule="auto"/>
              <w:jc w:val="right"/>
              <w:rPr>
                <w:rFonts w:ascii="Calibri" w:eastAsia="Times New Roman" w:hAnsi="Calibri" w:cs="Calibri"/>
                <w:b/>
                <w:bCs/>
                <w:color w:val="000000"/>
                <w:kern w:val="0"/>
                <w:lang w:eastAsia="en-IN"/>
                <w14:ligatures w14:val="none"/>
              </w:rPr>
            </w:pPr>
            <w:r w:rsidRPr="005B48DB">
              <w:rPr>
                <w:rFonts w:ascii="Calibri" w:eastAsia="Times New Roman" w:hAnsi="Calibri" w:cs="Calibri"/>
                <w:b/>
                <w:bCs/>
                <w:color w:val="000000"/>
                <w:kern w:val="0"/>
                <w:lang w:eastAsia="en-IN"/>
                <w14:ligatures w14:val="none"/>
              </w:rPr>
              <w:t>14.5</w:t>
            </w:r>
          </w:p>
        </w:tc>
        <w:tc>
          <w:tcPr>
            <w:tcW w:w="2378" w:type="dxa"/>
            <w:tcBorders>
              <w:top w:val="nil"/>
              <w:left w:val="nil"/>
              <w:bottom w:val="single" w:sz="8" w:space="0" w:color="auto"/>
              <w:right w:val="single" w:sz="8" w:space="0" w:color="auto"/>
            </w:tcBorders>
            <w:shd w:val="clear" w:color="auto" w:fill="auto"/>
            <w:noWrap/>
            <w:vAlign w:val="bottom"/>
            <w:hideMark/>
          </w:tcPr>
          <w:p w14:paraId="6F506FF9" w14:textId="77777777" w:rsidR="005B48DB" w:rsidRPr="005B48DB" w:rsidRDefault="005B48DB" w:rsidP="005B48DB">
            <w:pPr>
              <w:spacing w:after="0" w:line="240" w:lineRule="auto"/>
              <w:jc w:val="right"/>
              <w:rPr>
                <w:rFonts w:ascii="Calibri" w:eastAsia="Times New Roman" w:hAnsi="Calibri" w:cs="Calibri"/>
                <w:b/>
                <w:bCs/>
                <w:color w:val="000000"/>
                <w:kern w:val="0"/>
                <w:lang w:eastAsia="en-IN"/>
                <w14:ligatures w14:val="none"/>
              </w:rPr>
            </w:pPr>
            <w:r w:rsidRPr="005B48DB">
              <w:rPr>
                <w:rFonts w:ascii="Calibri" w:eastAsia="Times New Roman" w:hAnsi="Calibri" w:cs="Calibri"/>
                <w:b/>
                <w:bCs/>
                <w:color w:val="000000"/>
                <w:kern w:val="0"/>
                <w:lang w:eastAsia="en-IN"/>
                <w14:ligatures w14:val="none"/>
              </w:rPr>
              <w:t>125</w:t>
            </w:r>
          </w:p>
        </w:tc>
        <w:tc>
          <w:tcPr>
            <w:tcW w:w="2546" w:type="dxa"/>
            <w:tcBorders>
              <w:top w:val="nil"/>
              <w:left w:val="nil"/>
              <w:bottom w:val="single" w:sz="8" w:space="0" w:color="auto"/>
              <w:right w:val="single" w:sz="8" w:space="0" w:color="auto"/>
            </w:tcBorders>
            <w:shd w:val="clear" w:color="auto" w:fill="auto"/>
            <w:noWrap/>
            <w:vAlign w:val="bottom"/>
            <w:hideMark/>
          </w:tcPr>
          <w:p w14:paraId="7BE4944C" w14:textId="77777777" w:rsidR="005B48DB" w:rsidRPr="005B48DB" w:rsidRDefault="005B48DB" w:rsidP="005B48DB">
            <w:pPr>
              <w:spacing w:after="0" w:line="240" w:lineRule="auto"/>
              <w:jc w:val="right"/>
              <w:rPr>
                <w:rFonts w:ascii="Calibri" w:eastAsia="Times New Roman" w:hAnsi="Calibri" w:cs="Calibri"/>
                <w:b/>
                <w:bCs/>
                <w:color w:val="000000"/>
                <w:kern w:val="0"/>
                <w:lang w:eastAsia="en-IN"/>
                <w14:ligatures w14:val="none"/>
              </w:rPr>
            </w:pPr>
            <w:r w:rsidRPr="005B48DB">
              <w:rPr>
                <w:rFonts w:ascii="Calibri" w:eastAsia="Times New Roman" w:hAnsi="Calibri" w:cs="Calibri"/>
                <w:b/>
                <w:bCs/>
                <w:color w:val="000000"/>
                <w:kern w:val="0"/>
                <w:lang w:eastAsia="en-IN"/>
                <w14:ligatures w14:val="none"/>
              </w:rPr>
              <w:t>110</w:t>
            </w:r>
          </w:p>
        </w:tc>
        <w:tc>
          <w:tcPr>
            <w:tcW w:w="730" w:type="dxa"/>
            <w:tcBorders>
              <w:top w:val="nil"/>
              <w:left w:val="nil"/>
              <w:bottom w:val="nil"/>
              <w:right w:val="nil"/>
            </w:tcBorders>
            <w:shd w:val="clear" w:color="auto" w:fill="auto"/>
            <w:noWrap/>
            <w:vAlign w:val="bottom"/>
            <w:hideMark/>
          </w:tcPr>
          <w:p w14:paraId="0B1A16BB" w14:textId="77777777" w:rsidR="005B48DB" w:rsidRPr="005B48DB" w:rsidRDefault="005B48DB" w:rsidP="005B48DB">
            <w:pPr>
              <w:spacing w:after="0" w:line="240" w:lineRule="auto"/>
              <w:jc w:val="right"/>
              <w:rPr>
                <w:rFonts w:ascii="Calibri" w:eastAsia="Times New Roman" w:hAnsi="Calibri" w:cs="Calibri"/>
                <w:b/>
                <w:bCs/>
                <w:color w:val="000000"/>
                <w:kern w:val="0"/>
                <w:lang w:eastAsia="en-IN"/>
                <w14:ligatures w14:val="none"/>
              </w:rPr>
            </w:pPr>
          </w:p>
        </w:tc>
      </w:tr>
      <w:tr w:rsidR="002C2871" w:rsidRPr="005B48DB" w14:paraId="0D9A978A" w14:textId="77777777" w:rsidTr="002C2871">
        <w:trPr>
          <w:trHeight w:val="290"/>
        </w:trPr>
        <w:tc>
          <w:tcPr>
            <w:tcW w:w="730" w:type="dxa"/>
            <w:tcBorders>
              <w:top w:val="nil"/>
              <w:left w:val="nil"/>
              <w:bottom w:val="nil"/>
              <w:right w:val="nil"/>
            </w:tcBorders>
            <w:shd w:val="clear" w:color="auto" w:fill="auto"/>
            <w:noWrap/>
            <w:vAlign w:val="bottom"/>
            <w:hideMark/>
          </w:tcPr>
          <w:p w14:paraId="6A3EEFFC" w14:textId="77777777" w:rsidR="005B48DB" w:rsidRPr="005B48DB" w:rsidRDefault="005B48DB" w:rsidP="005B48DB">
            <w:pPr>
              <w:spacing w:after="0" w:line="240" w:lineRule="auto"/>
              <w:rPr>
                <w:rFonts w:ascii="Times New Roman" w:eastAsia="Times New Roman" w:hAnsi="Times New Roman" w:cs="Times New Roman"/>
                <w:kern w:val="0"/>
                <w:sz w:val="20"/>
                <w:szCs w:val="20"/>
                <w:lang w:eastAsia="en-IN"/>
                <w14:ligatures w14:val="none"/>
              </w:rPr>
            </w:pPr>
          </w:p>
        </w:tc>
        <w:tc>
          <w:tcPr>
            <w:tcW w:w="730" w:type="dxa"/>
            <w:tcBorders>
              <w:top w:val="nil"/>
              <w:left w:val="single" w:sz="8" w:space="0" w:color="auto"/>
              <w:bottom w:val="single" w:sz="8" w:space="0" w:color="auto"/>
              <w:right w:val="single" w:sz="8" w:space="0" w:color="auto"/>
            </w:tcBorders>
            <w:shd w:val="clear" w:color="auto" w:fill="auto"/>
            <w:noWrap/>
            <w:vAlign w:val="bottom"/>
            <w:hideMark/>
          </w:tcPr>
          <w:p w14:paraId="0B897E54" w14:textId="77777777" w:rsidR="005B48DB" w:rsidRPr="005B48DB" w:rsidRDefault="005B48DB" w:rsidP="005B48DB">
            <w:pPr>
              <w:spacing w:after="0" w:line="240" w:lineRule="auto"/>
              <w:jc w:val="right"/>
              <w:rPr>
                <w:rFonts w:ascii="Calibri" w:eastAsia="Times New Roman" w:hAnsi="Calibri" w:cs="Calibri"/>
                <w:b/>
                <w:bCs/>
                <w:color w:val="000000"/>
                <w:kern w:val="0"/>
                <w:lang w:eastAsia="en-IN"/>
                <w14:ligatures w14:val="none"/>
              </w:rPr>
            </w:pPr>
            <w:r w:rsidRPr="005B48DB">
              <w:rPr>
                <w:rFonts w:ascii="Calibri" w:eastAsia="Times New Roman" w:hAnsi="Calibri" w:cs="Calibri"/>
                <w:b/>
                <w:bCs/>
                <w:color w:val="000000"/>
                <w:kern w:val="0"/>
                <w:lang w:eastAsia="en-IN"/>
                <w14:ligatures w14:val="none"/>
              </w:rPr>
              <w:t>2020</w:t>
            </w:r>
          </w:p>
        </w:tc>
        <w:tc>
          <w:tcPr>
            <w:tcW w:w="1605" w:type="dxa"/>
            <w:tcBorders>
              <w:top w:val="nil"/>
              <w:left w:val="nil"/>
              <w:bottom w:val="single" w:sz="8" w:space="0" w:color="auto"/>
              <w:right w:val="single" w:sz="8" w:space="0" w:color="auto"/>
            </w:tcBorders>
            <w:shd w:val="clear" w:color="auto" w:fill="auto"/>
            <w:noWrap/>
            <w:vAlign w:val="bottom"/>
            <w:hideMark/>
          </w:tcPr>
          <w:p w14:paraId="34C01696" w14:textId="77777777" w:rsidR="005B48DB" w:rsidRPr="005B48DB" w:rsidRDefault="005B48DB" w:rsidP="005B48DB">
            <w:pPr>
              <w:spacing w:after="0" w:line="240" w:lineRule="auto"/>
              <w:jc w:val="right"/>
              <w:rPr>
                <w:rFonts w:ascii="Calibri" w:eastAsia="Times New Roman" w:hAnsi="Calibri" w:cs="Calibri"/>
                <w:b/>
                <w:bCs/>
                <w:color w:val="000000"/>
                <w:kern w:val="0"/>
                <w:lang w:eastAsia="en-IN"/>
                <w14:ligatures w14:val="none"/>
              </w:rPr>
            </w:pPr>
            <w:r w:rsidRPr="005B48DB">
              <w:rPr>
                <w:rFonts w:ascii="Calibri" w:eastAsia="Times New Roman" w:hAnsi="Calibri" w:cs="Calibri"/>
                <w:b/>
                <w:bCs/>
                <w:color w:val="000000"/>
                <w:kern w:val="0"/>
                <w:lang w:eastAsia="en-IN"/>
                <w14:ligatures w14:val="none"/>
              </w:rPr>
              <w:t>15</w:t>
            </w:r>
          </w:p>
        </w:tc>
        <w:tc>
          <w:tcPr>
            <w:tcW w:w="2378" w:type="dxa"/>
            <w:tcBorders>
              <w:top w:val="nil"/>
              <w:left w:val="nil"/>
              <w:bottom w:val="single" w:sz="8" w:space="0" w:color="auto"/>
              <w:right w:val="single" w:sz="8" w:space="0" w:color="auto"/>
            </w:tcBorders>
            <w:shd w:val="clear" w:color="auto" w:fill="auto"/>
            <w:noWrap/>
            <w:vAlign w:val="bottom"/>
            <w:hideMark/>
          </w:tcPr>
          <w:p w14:paraId="482F4990" w14:textId="77777777" w:rsidR="005B48DB" w:rsidRPr="005B48DB" w:rsidRDefault="005B48DB" w:rsidP="005B48DB">
            <w:pPr>
              <w:spacing w:after="0" w:line="240" w:lineRule="auto"/>
              <w:jc w:val="right"/>
              <w:rPr>
                <w:rFonts w:ascii="Calibri" w:eastAsia="Times New Roman" w:hAnsi="Calibri" w:cs="Calibri"/>
                <w:b/>
                <w:bCs/>
                <w:color w:val="000000"/>
                <w:kern w:val="0"/>
                <w:lang w:eastAsia="en-IN"/>
                <w14:ligatures w14:val="none"/>
              </w:rPr>
            </w:pPr>
            <w:r w:rsidRPr="005B48DB">
              <w:rPr>
                <w:rFonts w:ascii="Calibri" w:eastAsia="Times New Roman" w:hAnsi="Calibri" w:cs="Calibri"/>
                <w:b/>
                <w:bCs/>
                <w:color w:val="000000"/>
                <w:kern w:val="0"/>
                <w:lang w:eastAsia="en-IN"/>
                <w14:ligatures w14:val="none"/>
              </w:rPr>
              <w:t>130</w:t>
            </w:r>
          </w:p>
        </w:tc>
        <w:tc>
          <w:tcPr>
            <w:tcW w:w="2546" w:type="dxa"/>
            <w:tcBorders>
              <w:top w:val="nil"/>
              <w:left w:val="nil"/>
              <w:bottom w:val="single" w:sz="8" w:space="0" w:color="auto"/>
              <w:right w:val="single" w:sz="8" w:space="0" w:color="auto"/>
            </w:tcBorders>
            <w:shd w:val="clear" w:color="auto" w:fill="auto"/>
            <w:noWrap/>
            <w:vAlign w:val="bottom"/>
            <w:hideMark/>
          </w:tcPr>
          <w:p w14:paraId="592607AE" w14:textId="77777777" w:rsidR="005B48DB" w:rsidRPr="005B48DB" w:rsidRDefault="005B48DB" w:rsidP="005B48DB">
            <w:pPr>
              <w:spacing w:after="0" w:line="240" w:lineRule="auto"/>
              <w:jc w:val="right"/>
              <w:rPr>
                <w:rFonts w:ascii="Calibri" w:eastAsia="Times New Roman" w:hAnsi="Calibri" w:cs="Calibri"/>
                <w:b/>
                <w:bCs/>
                <w:color w:val="000000"/>
                <w:kern w:val="0"/>
                <w:lang w:eastAsia="en-IN"/>
                <w14:ligatures w14:val="none"/>
              </w:rPr>
            </w:pPr>
            <w:r w:rsidRPr="005B48DB">
              <w:rPr>
                <w:rFonts w:ascii="Calibri" w:eastAsia="Times New Roman" w:hAnsi="Calibri" w:cs="Calibri"/>
                <w:b/>
                <w:bCs/>
                <w:color w:val="000000"/>
                <w:kern w:val="0"/>
                <w:lang w:eastAsia="en-IN"/>
                <w14:ligatures w14:val="none"/>
              </w:rPr>
              <w:t>112</w:t>
            </w:r>
          </w:p>
        </w:tc>
        <w:tc>
          <w:tcPr>
            <w:tcW w:w="730" w:type="dxa"/>
            <w:tcBorders>
              <w:top w:val="nil"/>
              <w:left w:val="nil"/>
              <w:bottom w:val="nil"/>
              <w:right w:val="nil"/>
            </w:tcBorders>
            <w:shd w:val="clear" w:color="auto" w:fill="auto"/>
            <w:noWrap/>
            <w:vAlign w:val="bottom"/>
            <w:hideMark/>
          </w:tcPr>
          <w:p w14:paraId="23018D68" w14:textId="77777777" w:rsidR="005B48DB" w:rsidRPr="005B48DB" w:rsidRDefault="005B48DB" w:rsidP="005B48DB">
            <w:pPr>
              <w:spacing w:after="0" w:line="240" w:lineRule="auto"/>
              <w:jc w:val="right"/>
              <w:rPr>
                <w:rFonts w:ascii="Calibri" w:eastAsia="Times New Roman" w:hAnsi="Calibri" w:cs="Calibri"/>
                <w:b/>
                <w:bCs/>
                <w:color w:val="000000"/>
                <w:kern w:val="0"/>
                <w:lang w:eastAsia="en-IN"/>
                <w14:ligatures w14:val="none"/>
              </w:rPr>
            </w:pPr>
          </w:p>
        </w:tc>
      </w:tr>
      <w:tr w:rsidR="002C2871" w:rsidRPr="005B48DB" w14:paraId="24D3E881" w14:textId="77777777" w:rsidTr="002C2871">
        <w:trPr>
          <w:trHeight w:val="290"/>
        </w:trPr>
        <w:tc>
          <w:tcPr>
            <w:tcW w:w="730" w:type="dxa"/>
            <w:tcBorders>
              <w:top w:val="nil"/>
              <w:left w:val="nil"/>
              <w:bottom w:val="nil"/>
              <w:right w:val="nil"/>
            </w:tcBorders>
            <w:shd w:val="clear" w:color="auto" w:fill="auto"/>
            <w:noWrap/>
            <w:vAlign w:val="bottom"/>
            <w:hideMark/>
          </w:tcPr>
          <w:p w14:paraId="7EB44AEB" w14:textId="77777777" w:rsidR="005B48DB" w:rsidRPr="005B48DB" w:rsidRDefault="005B48DB" w:rsidP="005B48DB">
            <w:pPr>
              <w:spacing w:after="0" w:line="240" w:lineRule="auto"/>
              <w:rPr>
                <w:rFonts w:ascii="Times New Roman" w:eastAsia="Times New Roman" w:hAnsi="Times New Roman" w:cs="Times New Roman"/>
                <w:kern w:val="0"/>
                <w:sz w:val="20"/>
                <w:szCs w:val="20"/>
                <w:lang w:eastAsia="en-IN"/>
                <w14:ligatures w14:val="none"/>
              </w:rPr>
            </w:pPr>
          </w:p>
        </w:tc>
        <w:tc>
          <w:tcPr>
            <w:tcW w:w="730" w:type="dxa"/>
            <w:tcBorders>
              <w:top w:val="nil"/>
              <w:left w:val="single" w:sz="8" w:space="0" w:color="auto"/>
              <w:bottom w:val="single" w:sz="8" w:space="0" w:color="auto"/>
              <w:right w:val="single" w:sz="8" w:space="0" w:color="auto"/>
            </w:tcBorders>
            <w:shd w:val="clear" w:color="auto" w:fill="auto"/>
            <w:noWrap/>
            <w:vAlign w:val="bottom"/>
            <w:hideMark/>
          </w:tcPr>
          <w:p w14:paraId="65AB05A4" w14:textId="77777777" w:rsidR="005B48DB" w:rsidRPr="005B48DB" w:rsidRDefault="005B48DB" w:rsidP="005B48DB">
            <w:pPr>
              <w:spacing w:after="0" w:line="240" w:lineRule="auto"/>
              <w:jc w:val="right"/>
              <w:rPr>
                <w:rFonts w:ascii="Calibri" w:eastAsia="Times New Roman" w:hAnsi="Calibri" w:cs="Calibri"/>
                <w:b/>
                <w:bCs/>
                <w:color w:val="000000"/>
                <w:kern w:val="0"/>
                <w:lang w:eastAsia="en-IN"/>
                <w14:ligatures w14:val="none"/>
              </w:rPr>
            </w:pPr>
            <w:r w:rsidRPr="005B48DB">
              <w:rPr>
                <w:rFonts w:ascii="Calibri" w:eastAsia="Times New Roman" w:hAnsi="Calibri" w:cs="Calibri"/>
                <w:b/>
                <w:bCs/>
                <w:color w:val="000000"/>
                <w:kern w:val="0"/>
                <w:lang w:eastAsia="en-IN"/>
                <w14:ligatures w14:val="none"/>
              </w:rPr>
              <w:t>2021</w:t>
            </w:r>
          </w:p>
        </w:tc>
        <w:tc>
          <w:tcPr>
            <w:tcW w:w="1605" w:type="dxa"/>
            <w:tcBorders>
              <w:top w:val="nil"/>
              <w:left w:val="nil"/>
              <w:bottom w:val="single" w:sz="8" w:space="0" w:color="auto"/>
              <w:right w:val="single" w:sz="8" w:space="0" w:color="auto"/>
            </w:tcBorders>
            <w:shd w:val="clear" w:color="auto" w:fill="auto"/>
            <w:noWrap/>
            <w:vAlign w:val="bottom"/>
            <w:hideMark/>
          </w:tcPr>
          <w:p w14:paraId="6D04508C" w14:textId="77777777" w:rsidR="005B48DB" w:rsidRPr="005B48DB" w:rsidRDefault="005B48DB" w:rsidP="005B48DB">
            <w:pPr>
              <w:spacing w:after="0" w:line="240" w:lineRule="auto"/>
              <w:jc w:val="right"/>
              <w:rPr>
                <w:rFonts w:ascii="Calibri" w:eastAsia="Times New Roman" w:hAnsi="Calibri" w:cs="Calibri"/>
                <w:b/>
                <w:bCs/>
                <w:color w:val="000000"/>
                <w:kern w:val="0"/>
                <w:lang w:eastAsia="en-IN"/>
                <w14:ligatures w14:val="none"/>
              </w:rPr>
            </w:pPr>
            <w:r w:rsidRPr="005B48DB">
              <w:rPr>
                <w:rFonts w:ascii="Calibri" w:eastAsia="Times New Roman" w:hAnsi="Calibri" w:cs="Calibri"/>
                <w:b/>
                <w:bCs/>
                <w:color w:val="000000"/>
                <w:kern w:val="0"/>
                <w:lang w:eastAsia="en-IN"/>
                <w14:ligatures w14:val="none"/>
              </w:rPr>
              <w:t>15.2</w:t>
            </w:r>
          </w:p>
        </w:tc>
        <w:tc>
          <w:tcPr>
            <w:tcW w:w="2378" w:type="dxa"/>
            <w:tcBorders>
              <w:top w:val="nil"/>
              <w:left w:val="nil"/>
              <w:bottom w:val="single" w:sz="8" w:space="0" w:color="auto"/>
              <w:right w:val="single" w:sz="8" w:space="0" w:color="auto"/>
            </w:tcBorders>
            <w:shd w:val="clear" w:color="auto" w:fill="auto"/>
            <w:noWrap/>
            <w:vAlign w:val="bottom"/>
            <w:hideMark/>
          </w:tcPr>
          <w:p w14:paraId="5993013F" w14:textId="77777777" w:rsidR="005B48DB" w:rsidRPr="005B48DB" w:rsidRDefault="005B48DB" w:rsidP="005B48DB">
            <w:pPr>
              <w:spacing w:after="0" w:line="240" w:lineRule="auto"/>
              <w:jc w:val="right"/>
              <w:rPr>
                <w:rFonts w:ascii="Calibri" w:eastAsia="Times New Roman" w:hAnsi="Calibri" w:cs="Calibri"/>
                <w:b/>
                <w:bCs/>
                <w:color w:val="000000"/>
                <w:kern w:val="0"/>
                <w:lang w:eastAsia="en-IN"/>
                <w14:ligatures w14:val="none"/>
              </w:rPr>
            </w:pPr>
            <w:r w:rsidRPr="005B48DB">
              <w:rPr>
                <w:rFonts w:ascii="Calibri" w:eastAsia="Times New Roman" w:hAnsi="Calibri" w:cs="Calibri"/>
                <w:b/>
                <w:bCs/>
                <w:color w:val="000000"/>
                <w:kern w:val="0"/>
                <w:lang w:eastAsia="en-IN"/>
                <w14:ligatures w14:val="none"/>
              </w:rPr>
              <w:t>135</w:t>
            </w:r>
          </w:p>
        </w:tc>
        <w:tc>
          <w:tcPr>
            <w:tcW w:w="2546" w:type="dxa"/>
            <w:tcBorders>
              <w:top w:val="nil"/>
              <w:left w:val="nil"/>
              <w:bottom w:val="single" w:sz="8" w:space="0" w:color="auto"/>
              <w:right w:val="single" w:sz="8" w:space="0" w:color="auto"/>
            </w:tcBorders>
            <w:shd w:val="clear" w:color="auto" w:fill="auto"/>
            <w:noWrap/>
            <w:vAlign w:val="bottom"/>
            <w:hideMark/>
          </w:tcPr>
          <w:p w14:paraId="77A3A76C" w14:textId="77777777" w:rsidR="005B48DB" w:rsidRPr="005B48DB" w:rsidRDefault="005B48DB" w:rsidP="005B48DB">
            <w:pPr>
              <w:spacing w:after="0" w:line="240" w:lineRule="auto"/>
              <w:jc w:val="right"/>
              <w:rPr>
                <w:rFonts w:ascii="Calibri" w:eastAsia="Times New Roman" w:hAnsi="Calibri" w:cs="Calibri"/>
                <w:b/>
                <w:bCs/>
                <w:color w:val="000000"/>
                <w:kern w:val="0"/>
                <w:lang w:eastAsia="en-IN"/>
                <w14:ligatures w14:val="none"/>
              </w:rPr>
            </w:pPr>
            <w:r w:rsidRPr="005B48DB">
              <w:rPr>
                <w:rFonts w:ascii="Calibri" w:eastAsia="Times New Roman" w:hAnsi="Calibri" w:cs="Calibri"/>
                <w:b/>
                <w:bCs/>
                <w:color w:val="000000"/>
                <w:kern w:val="0"/>
                <w:lang w:eastAsia="en-IN"/>
                <w14:ligatures w14:val="none"/>
              </w:rPr>
              <w:t>115</w:t>
            </w:r>
          </w:p>
        </w:tc>
        <w:tc>
          <w:tcPr>
            <w:tcW w:w="730" w:type="dxa"/>
            <w:tcBorders>
              <w:top w:val="nil"/>
              <w:left w:val="nil"/>
              <w:bottom w:val="nil"/>
              <w:right w:val="nil"/>
            </w:tcBorders>
            <w:shd w:val="clear" w:color="auto" w:fill="auto"/>
            <w:noWrap/>
            <w:vAlign w:val="bottom"/>
            <w:hideMark/>
          </w:tcPr>
          <w:p w14:paraId="5C5ADCC2" w14:textId="77777777" w:rsidR="005B48DB" w:rsidRPr="005B48DB" w:rsidRDefault="005B48DB" w:rsidP="005B48DB">
            <w:pPr>
              <w:spacing w:after="0" w:line="240" w:lineRule="auto"/>
              <w:jc w:val="right"/>
              <w:rPr>
                <w:rFonts w:ascii="Calibri" w:eastAsia="Times New Roman" w:hAnsi="Calibri" w:cs="Calibri"/>
                <w:b/>
                <w:bCs/>
                <w:color w:val="000000"/>
                <w:kern w:val="0"/>
                <w:lang w:eastAsia="en-IN"/>
                <w14:ligatures w14:val="none"/>
              </w:rPr>
            </w:pPr>
          </w:p>
        </w:tc>
      </w:tr>
      <w:tr w:rsidR="002C2871" w:rsidRPr="005B48DB" w14:paraId="3C6CA9CF" w14:textId="77777777" w:rsidTr="002C2871">
        <w:trPr>
          <w:trHeight w:val="290"/>
        </w:trPr>
        <w:tc>
          <w:tcPr>
            <w:tcW w:w="730" w:type="dxa"/>
            <w:tcBorders>
              <w:top w:val="nil"/>
              <w:left w:val="nil"/>
              <w:bottom w:val="nil"/>
              <w:right w:val="nil"/>
            </w:tcBorders>
            <w:shd w:val="clear" w:color="auto" w:fill="auto"/>
            <w:noWrap/>
            <w:vAlign w:val="bottom"/>
            <w:hideMark/>
          </w:tcPr>
          <w:p w14:paraId="708B5129" w14:textId="77777777" w:rsidR="005B48DB" w:rsidRPr="005B48DB" w:rsidRDefault="005B48DB" w:rsidP="005B48DB">
            <w:pPr>
              <w:spacing w:after="0" w:line="240" w:lineRule="auto"/>
              <w:rPr>
                <w:rFonts w:ascii="Times New Roman" w:eastAsia="Times New Roman" w:hAnsi="Times New Roman" w:cs="Times New Roman"/>
                <w:kern w:val="0"/>
                <w:sz w:val="20"/>
                <w:szCs w:val="20"/>
                <w:lang w:eastAsia="en-IN"/>
                <w14:ligatures w14:val="none"/>
              </w:rPr>
            </w:pPr>
          </w:p>
        </w:tc>
        <w:tc>
          <w:tcPr>
            <w:tcW w:w="730" w:type="dxa"/>
            <w:tcBorders>
              <w:top w:val="nil"/>
              <w:left w:val="single" w:sz="8" w:space="0" w:color="auto"/>
              <w:bottom w:val="single" w:sz="8" w:space="0" w:color="auto"/>
              <w:right w:val="single" w:sz="8" w:space="0" w:color="auto"/>
            </w:tcBorders>
            <w:shd w:val="clear" w:color="auto" w:fill="auto"/>
            <w:noWrap/>
            <w:vAlign w:val="bottom"/>
            <w:hideMark/>
          </w:tcPr>
          <w:p w14:paraId="2BB589DB" w14:textId="77777777" w:rsidR="005B48DB" w:rsidRPr="005B48DB" w:rsidRDefault="005B48DB" w:rsidP="005B48DB">
            <w:pPr>
              <w:spacing w:after="0" w:line="240" w:lineRule="auto"/>
              <w:jc w:val="right"/>
              <w:rPr>
                <w:rFonts w:ascii="Calibri" w:eastAsia="Times New Roman" w:hAnsi="Calibri" w:cs="Calibri"/>
                <w:b/>
                <w:bCs/>
                <w:color w:val="000000"/>
                <w:kern w:val="0"/>
                <w:lang w:eastAsia="en-IN"/>
                <w14:ligatures w14:val="none"/>
              </w:rPr>
            </w:pPr>
            <w:r w:rsidRPr="005B48DB">
              <w:rPr>
                <w:rFonts w:ascii="Calibri" w:eastAsia="Times New Roman" w:hAnsi="Calibri" w:cs="Calibri"/>
                <w:b/>
                <w:bCs/>
                <w:color w:val="000000"/>
                <w:kern w:val="0"/>
                <w:lang w:eastAsia="en-IN"/>
                <w14:ligatures w14:val="none"/>
              </w:rPr>
              <w:t>2022</w:t>
            </w:r>
          </w:p>
        </w:tc>
        <w:tc>
          <w:tcPr>
            <w:tcW w:w="1605" w:type="dxa"/>
            <w:tcBorders>
              <w:top w:val="nil"/>
              <w:left w:val="nil"/>
              <w:bottom w:val="single" w:sz="8" w:space="0" w:color="auto"/>
              <w:right w:val="single" w:sz="8" w:space="0" w:color="auto"/>
            </w:tcBorders>
            <w:shd w:val="clear" w:color="auto" w:fill="auto"/>
            <w:noWrap/>
            <w:vAlign w:val="bottom"/>
            <w:hideMark/>
          </w:tcPr>
          <w:p w14:paraId="6E76690D" w14:textId="77777777" w:rsidR="005B48DB" w:rsidRPr="005B48DB" w:rsidRDefault="005B48DB" w:rsidP="005B48DB">
            <w:pPr>
              <w:spacing w:after="0" w:line="240" w:lineRule="auto"/>
              <w:jc w:val="right"/>
              <w:rPr>
                <w:rFonts w:ascii="Calibri" w:eastAsia="Times New Roman" w:hAnsi="Calibri" w:cs="Calibri"/>
                <w:b/>
                <w:bCs/>
                <w:color w:val="000000"/>
                <w:kern w:val="0"/>
                <w:lang w:eastAsia="en-IN"/>
                <w14:ligatures w14:val="none"/>
              </w:rPr>
            </w:pPr>
            <w:r w:rsidRPr="005B48DB">
              <w:rPr>
                <w:rFonts w:ascii="Calibri" w:eastAsia="Times New Roman" w:hAnsi="Calibri" w:cs="Calibri"/>
                <w:b/>
                <w:bCs/>
                <w:color w:val="000000"/>
                <w:kern w:val="0"/>
                <w:lang w:eastAsia="en-IN"/>
                <w14:ligatures w14:val="none"/>
              </w:rPr>
              <w:t>15.5</w:t>
            </w:r>
          </w:p>
        </w:tc>
        <w:tc>
          <w:tcPr>
            <w:tcW w:w="2378" w:type="dxa"/>
            <w:tcBorders>
              <w:top w:val="nil"/>
              <w:left w:val="nil"/>
              <w:bottom w:val="single" w:sz="8" w:space="0" w:color="auto"/>
              <w:right w:val="single" w:sz="8" w:space="0" w:color="auto"/>
            </w:tcBorders>
            <w:shd w:val="clear" w:color="auto" w:fill="auto"/>
            <w:noWrap/>
            <w:vAlign w:val="bottom"/>
            <w:hideMark/>
          </w:tcPr>
          <w:p w14:paraId="4FA91766" w14:textId="77777777" w:rsidR="005B48DB" w:rsidRPr="005B48DB" w:rsidRDefault="005B48DB" w:rsidP="005B48DB">
            <w:pPr>
              <w:spacing w:after="0" w:line="240" w:lineRule="auto"/>
              <w:jc w:val="right"/>
              <w:rPr>
                <w:rFonts w:ascii="Calibri" w:eastAsia="Times New Roman" w:hAnsi="Calibri" w:cs="Calibri"/>
                <w:b/>
                <w:bCs/>
                <w:color w:val="000000"/>
                <w:kern w:val="0"/>
                <w:lang w:eastAsia="en-IN"/>
                <w14:ligatures w14:val="none"/>
              </w:rPr>
            </w:pPr>
            <w:r w:rsidRPr="005B48DB">
              <w:rPr>
                <w:rFonts w:ascii="Calibri" w:eastAsia="Times New Roman" w:hAnsi="Calibri" w:cs="Calibri"/>
                <w:b/>
                <w:bCs/>
                <w:color w:val="000000"/>
                <w:kern w:val="0"/>
                <w:lang w:eastAsia="en-IN"/>
                <w14:ligatures w14:val="none"/>
              </w:rPr>
              <w:t>140</w:t>
            </w:r>
          </w:p>
        </w:tc>
        <w:tc>
          <w:tcPr>
            <w:tcW w:w="2546" w:type="dxa"/>
            <w:tcBorders>
              <w:top w:val="nil"/>
              <w:left w:val="nil"/>
              <w:bottom w:val="single" w:sz="8" w:space="0" w:color="auto"/>
              <w:right w:val="single" w:sz="8" w:space="0" w:color="auto"/>
            </w:tcBorders>
            <w:shd w:val="clear" w:color="auto" w:fill="auto"/>
            <w:noWrap/>
            <w:vAlign w:val="bottom"/>
            <w:hideMark/>
          </w:tcPr>
          <w:p w14:paraId="24F391AD" w14:textId="77777777" w:rsidR="005B48DB" w:rsidRPr="005B48DB" w:rsidRDefault="005B48DB" w:rsidP="005B48DB">
            <w:pPr>
              <w:spacing w:after="0" w:line="240" w:lineRule="auto"/>
              <w:jc w:val="right"/>
              <w:rPr>
                <w:rFonts w:ascii="Calibri" w:eastAsia="Times New Roman" w:hAnsi="Calibri" w:cs="Calibri"/>
                <w:b/>
                <w:bCs/>
                <w:color w:val="000000"/>
                <w:kern w:val="0"/>
                <w:lang w:eastAsia="en-IN"/>
                <w14:ligatures w14:val="none"/>
              </w:rPr>
            </w:pPr>
            <w:r w:rsidRPr="005B48DB">
              <w:rPr>
                <w:rFonts w:ascii="Calibri" w:eastAsia="Times New Roman" w:hAnsi="Calibri" w:cs="Calibri"/>
                <w:b/>
                <w:bCs/>
                <w:color w:val="000000"/>
                <w:kern w:val="0"/>
                <w:lang w:eastAsia="en-IN"/>
                <w14:ligatures w14:val="none"/>
              </w:rPr>
              <w:t>118</w:t>
            </w:r>
          </w:p>
        </w:tc>
        <w:tc>
          <w:tcPr>
            <w:tcW w:w="730" w:type="dxa"/>
            <w:tcBorders>
              <w:top w:val="nil"/>
              <w:left w:val="nil"/>
              <w:bottom w:val="nil"/>
              <w:right w:val="nil"/>
            </w:tcBorders>
            <w:shd w:val="clear" w:color="auto" w:fill="auto"/>
            <w:noWrap/>
            <w:vAlign w:val="bottom"/>
            <w:hideMark/>
          </w:tcPr>
          <w:p w14:paraId="2F2869B9" w14:textId="77777777" w:rsidR="005B48DB" w:rsidRPr="005B48DB" w:rsidRDefault="005B48DB" w:rsidP="005B48DB">
            <w:pPr>
              <w:spacing w:after="0" w:line="240" w:lineRule="auto"/>
              <w:jc w:val="right"/>
              <w:rPr>
                <w:rFonts w:ascii="Calibri" w:eastAsia="Times New Roman" w:hAnsi="Calibri" w:cs="Calibri"/>
                <w:b/>
                <w:bCs/>
                <w:color w:val="000000"/>
                <w:kern w:val="0"/>
                <w:lang w:eastAsia="en-IN"/>
                <w14:ligatures w14:val="none"/>
              </w:rPr>
            </w:pPr>
          </w:p>
        </w:tc>
      </w:tr>
      <w:tr w:rsidR="002C2871" w:rsidRPr="005B48DB" w14:paraId="1804A301" w14:textId="77777777" w:rsidTr="002C2871">
        <w:trPr>
          <w:trHeight w:val="290"/>
        </w:trPr>
        <w:tc>
          <w:tcPr>
            <w:tcW w:w="730" w:type="dxa"/>
            <w:tcBorders>
              <w:top w:val="nil"/>
              <w:left w:val="nil"/>
              <w:bottom w:val="nil"/>
              <w:right w:val="nil"/>
            </w:tcBorders>
            <w:shd w:val="clear" w:color="auto" w:fill="auto"/>
            <w:noWrap/>
            <w:vAlign w:val="bottom"/>
            <w:hideMark/>
          </w:tcPr>
          <w:p w14:paraId="2FBB4E9B" w14:textId="77777777" w:rsidR="005B48DB" w:rsidRPr="005B48DB" w:rsidRDefault="005B48DB" w:rsidP="005B48DB">
            <w:pPr>
              <w:spacing w:after="0" w:line="240" w:lineRule="auto"/>
              <w:rPr>
                <w:rFonts w:ascii="Times New Roman" w:eastAsia="Times New Roman" w:hAnsi="Times New Roman" w:cs="Times New Roman"/>
                <w:kern w:val="0"/>
                <w:sz w:val="20"/>
                <w:szCs w:val="20"/>
                <w:lang w:eastAsia="en-IN"/>
                <w14:ligatures w14:val="none"/>
              </w:rPr>
            </w:pPr>
          </w:p>
        </w:tc>
        <w:tc>
          <w:tcPr>
            <w:tcW w:w="730" w:type="dxa"/>
            <w:tcBorders>
              <w:top w:val="nil"/>
              <w:left w:val="single" w:sz="8" w:space="0" w:color="auto"/>
              <w:bottom w:val="single" w:sz="8" w:space="0" w:color="auto"/>
              <w:right w:val="nil"/>
            </w:tcBorders>
            <w:shd w:val="clear" w:color="auto" w:fill="auto"/>
            <w:noWrap/>
            <w:vAlign w:val="bottom"/>
            <w:hideMark/>
          </w:tcPr>
          <w:p w14:paraId="3FC35312" w14:textId="77777777" w:rsidR="005B48DB" w:rsidRPr="005B48DB" w:rsidRDefault="005B48DB" w:rsidP="005B48DB">
            <w:pPr>
              <w:spacing w:after="0" w:line="240" w:lineRule="auto"/>
              <w:jc w:val="right"/>
              <w:rPr>
                <w:rFonts w:ascii="Calibri" w:eastAsia="Times New Roman" w:hAnsi="Calibri" w:cs="Calibri"/>
                <w:b/>
                <w:bCs/>
                <w:color w:val="000000"/>
                <w:kern w:val="0"/>
                <w:lang w:eastAsia="en-IN"/>
                <w14:ligatures w14:val="none"/>
              </w:rPr>
            </w:pPr>
            <w:r w:rsidRPr="005B48DB">
              <w:rPr>
                <w:rFonts w:ascii="Calibri" w:eastAsia="Times New Roman" w:hAnsi="Calibri" w:cs="Calibri"/>
                <w:b/>
                <w:bCs/>
                <w:color w:val="000000"/>
                <w:kern w:val="0"/>
                <w:lang w:eastAsia="en-IN"/>
                <w14:ligatures w14:val="none"/>
              </w:rPr>
              <w:t>2023</w:t>
            </w:r>
          </w:p>
        </w:tc>
        <w:tc>
          <w:tcPr>
            <w:tcW w:w="1605" w:type="dxa"/>
            <w:tcBorders>
              <w:top w:val="nil"/>
              <w:left w:val="single" w:sz="8" w:space="0" w:color="auto"/>
              <w:bottom w:val="single" w:sz="8" w:space="0" w:color="auto"/>
              <w:right w:val="single" w:sz="8" w:space="0" w:color="auto"/>
            </w:tcBorders>
            <w:shd w:val="clear" w:color="auto" w:fill="auto"/>
            <w:noWrap/>
            <w:vAlign w:val="bottom"/>
            <w:hideMark/>
          </w:tcPr>
          <w:p w14:paraId="4356AD4F" w14:textId="77777777" w:rsidR="005B48DB" w:rsidRPr="005B48DB" w:rsidRDefault="005B48DB" w:rsidP="005B48DB">
            <w:pPr>
              <w:spacing w:after="0" w:line="240" w:lineRule="auto"/>
              <w:jc w:val="right"/>
              <w:rPr>
                <w:rFonts w:ascii="Calibri" w:eastAsia="Times New Roman" w:hAnsi="Calibri" w:cs="Calibri"/>
                <w:b/>
                <w:bCs/>
                <w:color w:val="000000"/>
                <w:kern w:val="0"/>
                <w:lang w:eastAsia="en-IN"/>
                <w14:ligatures w14:val="none"/>
              </w:rPr>
            </w:pPr>
            <w:r w:rsidRPr="005B48DB">
              <w:rPr>
                <w:rFonts w:ascii="Calibri" w:eastAsia="Times New Roman" w:hAnsi="Calibri" w:cs="Calibri"/>
                <w:b/>
                <w:bCs/>
                <w:color w:val="000000"/>
                <w:kern w:val="0"/>
                <w:lang w:eastAsia="en-IN"/>
                <w14:ligatures w14:val="none"/>
              </w:rPr>
              <w:t>16</w:t>
            </w:r>
          </w:p>
        </w:tc>
        <w:tc>
          <w:tcPr>
            <w:tcW w:w="2378" w:type="dxa"/>
            <w:tcBorders>
              <w:top w:val="nil"/>
              <w:left w:val="nil"/>
              <w:bottom w:val="single" w:sz="8" w:space="0" w:color="auto"/>
              <w:right w:val="single" w:sz="8" w:space="0" w:color="auto"/>
            </w:tcBorders>
            <w:shd w:val="clear" w:color="auto" w:fill="auto"/>
            <w:noWrap/>
            <w:vAlign w:val="bottom"/>
            <w:hideMark/>
          </w:tcPr>
          <w:p w14:paraId="6F438C62" w14:textId="77777777" w:rsidR="005B48DB" w:rsidRPr="005B48DB" w:rsidRDefault="005B48DB" w:rsidP="005B48DB">
            <w:pPr>
              <w:spacing w:after="0" w:line="240" w:lineRule="auto"/>
              <w:jc w:val="right"/>
              <w:rPr>
                <w:rFonts w:ascii="Calibri" w:eastAsia="Times New Roman" w:hAnsi="Calibri" w:cs="Calibri"/>
                <w:b/>
                <w:bCs/>
                <w:color w:val="000000"/>
                <w:kern w:val="0"/>
                <w:lang w:eastAsia="en-IN"/>
                <w14:ligatures w14:val="none"/>
              </w:rPr>
            </w:pPr>
            <w:r w:rsidRPr="005B48DB">
              <w:rPr>
                <w:rFonts w:ascii="Calibri" w:eastAsia="Times New Roman" w:hAnsi="Calibri" w:cs="Calibri"/>
                <w:b/>
                <w:bCs/>
                <w:color w:val="000000"/>
                <w:kern w:val="0"/>
                <w:lang w:eastAsia="en-IN"/>
                <w14:ligatures w14:val="none"/>
              </w:rPr>
              <w:t>145</w:t>
            </w:r>
          </w:p>
        </w:tc>
        <w:tc>
          <w:tcPr>
            <w:tcW w:w="2546" w:type="dxa"/>
            <w:tcBorders>
              <w:top w:val="nil"/>
              <w:left w:val="nil"/>
              <w:bottom w:val="single" w:sz="8" w:space="0" w:color="auto"/>
              <w:right w:val="single" w:sz="8" w:space="0" w:color="auto"/>
            </w:tcBorders>
            <w:shd w:val="clear" w:color="auto" w:fill="auto"/>
            <w:noWrap/>
            <w:vAlign w:val="bottom"/>
            <w:hideMark/>
          </w:tcPr>
          <w:p w14:paraId="0D6D7FE5" w14:textId="77777777" w:rsidR="005B48DB" w:rsidRPr="005B48DB" w:rsidRDefault="005B48DB" w:rsidP="005B48DB">
            <w:pPr>
              <w:spacing w:after="0" w:line="240" w:lineRule="auto"/>
              <w:jc w:val="right"/>
              <w:rPr>
                <w:rFonts w:ascii="Calibri" w:eastAsia="Times New Roman" w:hAnsi="Calibri" w:cs="Calibri"/>
                <w:b/>
                <w:bCs/>
                <w:color w:val="000000"/>
                <w:kern w:val="0"/>
                <w:lang w:eastAsia="en-IN"/>
                <w14:ligatures w14:val="none"/>
              </w:rPr>
            </w:pPr>
            <w:r w:rsidRPr="005B48DB">
              <w:rPr>
                <w:rFonts w:ascii="Calibri" w:eastAsia="Times New Roman" w:hAnsi="Calibri" w:cs="Calibri"/>
                <w:b/>
                <w:bCs/>
                <w:color w:val="000000"/>
                <w:kern w:val="0"/>
                <w:lang w:eastAsia="en-IN"/>
                <w14:ligatures w14:val="none"/>
              </w:rPr>
              <w:t>120</w:t>
            </w:r>
          </w:p>
        </w:tc>
        <w:tc>
          <w:tcPr>
            <w:tcW w:w="730" w:type="dxa"/>
            <w:tcBorders>
              <w:top w:val="nil"/>
              <w:left w:val="nil"/>
              <w:bottom w:val="nil"/>
              <w:right w:val="nil"/>
            </w:tcBorders>
            <w:shd w:val="clear" w:color="auto" w:fill="auto"/>
            <w:noWrap/>
            <w:vAlign w:val="bottom"/>
            <w:hideMark/>
          </w:tcPr>
          <w:p w14:paraId="3CD02412" w14:textId="77777777" w:rsidR="005B48DB" w:rsidRPr="005B48DB" w:rsidRDefault="005B48DB" w:rsidP="002C2871">
            <w:pPr>
              <w:spacing w:after="0" w:line="240" w:lineRule="auto"/>
              <w:rPr>
                <w:rFonts w:ascii="Calibri" w:eastAsia="Times New Roman" w:hAnsi="Calibri" w:cs="Calibri"/>
                <w:b/>
                <w:bCs/>
                <w:color w:val="000000"/>
                <w:kern w:val="0"/>
                <w:lang w:eastAsia="en-IN"/>
                <w14:ligatures w14:val="none"/>
              </w:rPr>
            </w:pPr>
          </w:p>
        </w:tc>
      </w:tr>
      <w:tr w:rsidR="002C2871" w:rsidRPr="005B48DB" w14:paraId="3C73E8AC" w14:textId="77777777" w:rsidTr="002C2871">
        <w:trPr>
          <w:trHeight w:val="278"/>
        </w:trPr>
        <w:tc>
          <w:tcPr>
            <w:tcW w:w="730" w:type="dxa"/>
            <w:tcBorders>
              <w:top w:val="nil"/>
              <w:left w:val="nil"/>
              <w:bottom w:val="nil"/>
              <w:right w:val="nil"/>
            </w:tcBorders>
            <w:shd w:val="clear" w:color="auto" w:fill="auto"/>
            <w:noWrap/>
            <w:vAlign w:val="bottom"/>
            <w:hideMark/>
          </w:tcPr>
          <w:p w14:paraId="04EE1663" w14:textId="77777777" w:rsidR="005B48DB" w:rsidRPr="005B48DB" w:rsidRDefault="005B48DB" w:rsidP="005B48DB">
            <w:pPr>
              <w:spacing w:after="0" w:line="240" w:lineRule="auto"/>
              <w:rPr>
                <w:rFonts w:ascii="Times New Roman" w:eastAsia="Times New Roman" w:hAnsi="Times New Roman" w:cs="Times New Roman"/>
                <w:kern w:val="0"/>
                <w:sz w:val="20"/>
                <w:szCs w:val="20"/>
                <w:lang w:eastAsia="en-IN"/>
                <w14:ligatures w14:val="none"/>
              </w:rPr>
            </w:pPr>
          </w:p>
        </w:tc>
        <w:tc>
          <w:tcPr>
            <w:tcW w:w="730" w:type="dxa"/>
            <w:tcBorders>
              <w:top w:val="nil"/>
              <w:left w:val="nil"/>
              <w:bottom w:val="nil"/>
              <w:right w:val="nil"/>
            </w:tcBorders>
            <w:shd w:val="clear" w:color="auto" w:fill="auto"/>
            <w:noWrap/>
            <w:vAlign w:val="bottom"/>
            <w:hideMark/>
          </w:tcPr>
          <w:p w14:paraId="3CDD9035" w14:textId="77777777" w:rsidR="005B48DB" w:rsidRPr="005B48DB" w:rsidRDefault="005B48DB" w:rsidP="005B48DB">
            <w:pPr>
              <w:spacing w:after="0" w:line="240" w:lineRule="auto"/>
              <w:rPr>
                <w:rFonts w:ascii="Times New Roman" w:eastAsia="Times New Roman" w:hAnsi="Times New Roman" w:cs="Times New Roman"/>
                <w:kern w:val="0"/>
                <w:sz w:val="20"/>
                <w:szCs w:val="20"/>
                <w:lang w:eastAsia="en-IN"/>
                <w14:ligatures w14:val="none"/>
              </w:rPr>
            </w:pPr>
          </w:p>
        </w:tc>
        <w:tc>
          <w:tcPr>
            <w:tcW w:w="1605" w:type="dxa"/>
            <w:tcBorders>
              <w:top w:val="nil"/>
              <w:left w:val="nil"/>
              <w:bottom w:val="nil"/>
              <w:right w:val="nil"/>
            </w:tcBorders>
            <w:shd w:val="clear" w:color="auto" w:fill="auto"/>
            <w:noWrap/>
            <w:vAlign w:val="bottom"/>
            <w:hideMark/>
          </w:tcPr>
          <w:p w14:paraId="1AF21C98" w14:textId="77777777" w:rsidR="005B48DB" w:rsidRPr="005B48DB" w:rsidRDefault="005B48DB" w:rsidP="005B48DB">
            <w:pPr>
              <w:spacing w:after="0" w:line="240" w:lineRule="auto"/>
              <w:rPr>
                <w:rFonts w:ascii="Times New Roman" w:eastAsia="Times New Roman" w:hAnsi="Times New Roman" w:cs="Times New Roman"/>
                <w:kern w:val="0"/>
                <w:sz w:val="20"/>
                <w:szCs w:val="20"/>
                <w:lang w:eastAsia="en-IN"/>
                <w14:ligatures w14:val="none"/>
              </w:rPr>
            </w:pPr>
          </w:p>
        </w:tc>
        <w:tc>
          <w:tcPr>
            <w:tcW w:w="2378" w:type="dxa"/>
            <w:tcBorders>
              <w:top w:val="nil"/>
              <w:left w:val="nil"/>
              <w:bottom w:val="nil"/>
              <w:right w:val="nil"/>
            </w:tcBorders>
            <w:shd w:val="clear" w:color="auto" w:fill="auto"/>
            <w:noWrap/>
            <w:vAlign w:val="bottom"/>
            <w:hideMark/>
          </w:tcPr>
          <w:p w14:paraId="553FB6CE" w14:textId="77777777" w:rsidR="005B48DB" w:rsidRPr="005B48DB" w:rsidRDefault="005B48DB" w:rsidP="005B48DB">
            <w:pPr>
              <w:spacing w:after="0" w:line="240" w:lineRule="auto"/>
              <w:rPr>
                <w:rFonts w:ascii="Times New Roman" w:eastAsia="Times New Roman" w:hAnsi="Times New Roman" w:cs="Times New Roman"/>
                <w:kern w:val="0"/>
                <w:sz w:val="20"/>
                <w:szCs w:val="20"/>
                <w:lang w:eastAsia="en-IN"/>
                <w14:ligatures w14:val="none"/>
              </w:rPr>
            </w:pPr>
          </w:p>
        </w:tc>
        <w:tc>
          <w:tcPr>
            <w:tcW w:w="2546" w:type="dxa"/>
            <w:tcBorders>
              <w:top w:val="nil"/>
              <w:left w:val="nil"/>
              <w:bottom w:val="nil"/>
              <w:right w:val="nil"/>
            </w:tcBorders>
            <w:shd w:val="clear" w:color="auto" w:fill="auto"/>
            <w:noWrap/>
            <w:vAlign w:val="bottom"/>
            <w:hideMark/>
          </w:tcPr>
          <w:p w14:paraId="0854D089" w14:textId="77777777" w:rsidR="005B48DB" w:rsidRPr="005B48DB" w:rsidRDefault="005B48DB" w:rsidP="005B48DB">
            <w:pPr>
              <w:spacing w:after="0" w:line="240" w:lineRule="auto"/>
              <w:rPr>
                <w:rFonts w:ascii="Times New Roman" w:eastAsia="Times New Roman" w:hAnsi="Times New Roman" w:cs="Times New Roman"/>
                <w:kern w:val="0"/>
                <w:sz w:val="20"/>
                <w:szCs w:val="20"/>
                <w:lang w:eastAsia="en-IN"/>
                <w14:ligatures w14:val="none"/>
              </w:rPr>
            </w:pPr>
          </w:p>
        </w:tc>
        <w:tc>
          <w:tcPr>
            <w:tcW w:w="730" w:type="dxa"/>
            <w:tcBorders>
              <w:top w:val="nil"/>
              <w:left w:val="nil"/>
              <w:bottom w:val="nil"/>
              <w:right w:val="nil"/>
            </w:tcBorders>
            <w:shd w:val="clear" w:color="auto" w:fill="auto"/>
            <w:noWrap/>
            <w:vAlign w:val="bottom"/>
            <w:hideMark/>
          </w:tcPr>
          <w:p w14:paraId="38D0C720" w14:textId="77777777" w:rsidR="005B48DB" w:rsidRPr="005B48DB" w:rsidRDefault="005B48DB" w:rsidP="005B48DB">
            <w:pPr>
              <w:spacing w:after="0" w:line="240" w:lineRule="auto"/>
              <w:rPr>
                <w:rFonts w:ascii="Times New Roman" w:eastAsia="Times New Roman" w:hAnsi="Times New Roman" w:cs="Times New Roman"/>
                <w:kern w:val="0"/>
                <w:sz w:val="20"/>
                <w:szCs w:val="20"/>
                <w:lang w:eastAsia="en-IN"/>
                <w14:ligatures w14:val="none"/>
              </w:rPr>
            </w:pPr>
          </w:p>
        </w:tc>
      </w:tr>
    </w:tbl>
    <w:p w14:paraId="568D3237" w14:textId="77777777" w:rsidR="005B48DB" w:rsidRPr="003353EA" w:rsidRDefault="005B48DB" w:rsidP="005B48DB">
      <w:pPr>
        <w:pStyle w:val="ListParagraph"/>
        <w:rPr>
          <w:rFonts w:ascii="Arial" w:hAnsi="Arial" w:cs="Arial"/>
          <w:b/>
          <w:bCs/>
          <w:sz w:val="36"/>
          <w:szCs w:val="36"/>
          <w:lang w:val="en-US"/>
        </w:rPr>
      </w:pPr>
    </w:p>
    <w:p w14:paraId="7A989D43" w14:textId="77777777" w:rsidR="003353EA" w:rsidRPr="003353EA" w:rsidRDefault="003353EA" w:rsidP="003353EA">
      <w:pPr>
        <w:pStyle w:val="ListParagraph"/>
        <w:rPr>
          <w:rFonts w:ascii="Arial" w:hAnsi="Arial" w:cs="Arial"/>
          <w:b/>
          <w:bCs/>
          <w:sz w:val="36"/>
          <w:szCs w:val="36"/>
          <w:lang w:val="en-US"/>
        </w:rPr>
      </w:pPr>
    </w:p>
    <w:p w14:paraId="7E31691D" w14:textId="77777777" w:rsidR="002C2871" w:rsidRDefault="003353EA" w:rsidP="002C2871">
      <w:pPr>
        <w:pStyle w:val="ListParagraph"/>
        <w:rPr>
          <w:rFonts w:ascii="Arial" w:hAnsi="Arial" w:cs="Arial"/>
          <w:b/>
          <w:bCs/>
          <w:sz w:val="36"/>
          <w:szCs w:val="36"/>
        </w:rPr>
      </w:pPr>
      <w:r w:rsidRPr="003353EA">
        <w:rPr>
          <w:rFonts w:eastAsia="Times New Roman" w:cstheme="minorHAnsi"/>
          <w:b/>
          <w:bCs/>
          <w:kern w:val="0"/>
          <w:sz w:val="24"/>
          <w:szCs w:val="24"/>
          <w:lang w:eastAsia="en-IN"/>
          <w14:ligatures w14:val="none"/>
        </w:rPr>
        <w:drawing>
          <wp:inline distT="0" distB="0" distL="0" distR="0" wp14:anchorId="3F79B506" wp14:editId="6F58125A">
            <wp:extent cx="4907534" cy="2487478"/>
            <wp:effectExtent l="0" t="0" r="7620" b="8255"/>
            <wp:docPr id="1675546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546547" name=""/>
                    <pic:cNvPicPr/>
                  </pic:nvPicPr>
                  <pic:blipFill>
                    <a:blip r:embed="rId5"/>
                    <a:stretch>
                      <a:fillRect/>
                    </a:stretch>
                  </pic:blipFill>
                  <pic:spPr>
                    <a:xfrm>
                      <a:off x="0" y="0"/>
                      <a:ext cx="4963722" cy="2515958"/>
                    </a:xfrm>
                    <a:prstGeom prst="rect">
                      <a:avLst/>
                    </a:prstGeom>
                  </pic:spPr>
                </pic:pic>
              </a:graphicData>
            </a:graphic>
          </wp:inline>
        </w:drawing>
      </w:r>
    </w:p>
    <w:p w14:paraId="0FF26EEB" w14:textId="3B7E7A95" w:rsidR="008F4A62" w:rsidRPr="002C2871" w:rsidRDefault="008F4A62" w:rsidP="002C2871">
      <w:pPr>
        <w:pStyle w:val="ListParagraph"/>
        <w:rPr>
          <w:rFonts w:ascii="Arial" w:hAnsi="Arial" w:cs="Arial"/>
          <w:b/>
          <w:bCs/>
          <w:sz w:val="36"/>
          <w:szCs w:val="36"/>
          <w:lang w:val="en-US"/>
        </w:rPr>
      </w:pPr>
      <w:r w:rsidRPr="002C2871">
        <w:rPr>
          <w:rFonts w:ascii="Arial" w:hAnsi="Arial" w:cs="Arial"/>
          <w:b/>
          <w:bCs/>
          <w:sz w:val="36"/>
          <w:szCs w:val="36"/>
        </w:rPr>
        <w:lastRenderedPageBreak/>
        <w:t>Security and Exchange commission regulations</w:t>
      </w:r>
    </w:p>
    <w:p w14:paraId="55FD42A6" w14:textId="77777777" w:rsidR="00243855" w:rsidRPr="00243855" w:rsidRDefault="00243855" w:rsidP="00282D4D">
      <w:pPr>
        <w:numPr>
          <w:ilvl w:val="0"/>
          <w:numId w:val="3"/>
        </w:numPr>
        <w:shd w:val="clear" w:color="auto" w:fill="FFFFFF"/>
        <w:tabs>
          <w:tab w:val="clear" w:pos="720"/>
          <w:tab w:val="num" w:pos="1080"/>
        </w:tabs>
        <w:spacing w:before="100" w:beforeAutospacing="1" w:after="100" w:afterAutospacing="1" w:line="240" w:lineRule="auto"/>
        <w:ind w:left="1080"/>
        <w:rPr>
          <w:rFonts w:eastAsia="Times New Roman" w:cstheme="minorHAnsi"/>
          <w:color w:val="111111"/>
          <w:spacing w:val="1"/>
          <w:kern w:val="0"/>
          <w:sz w:val="24"/>
          <w:szCs w:val="24"/>
          <w:lang w:eastAsia="en-IN"/>
          <w14:ligatures w14:val="none"/>
        </w:rPr>
      </w:pPr>
      <w:r w:rsidRPr="00243855">
        <w:rPr>
          <w:rFonts w:eastAsia="Times New Roman" w:cstheme="minorHAnsi"/>
          <w:color w:val="111111"/>
          <w:spacing w:val="1"/>
          <w:kern w:val="0"/>
          <w:sz w:val="24"/>
          <w:szCs w:val="24"/>
          <w:lang w:eastAsia="en-IN"/>
          <w14:ligatures w14:val="none"/>
        </w:rPr>
        <w:t>The Securities and Exchange Commission (SEC) is a U.S. government oversight agency responsible for regulating the securities markets and protecting investors.</w:t>
      </w:r>
    </w:p>
    <w:p w14:paraId="6FF2CA8B" w14:textId="77777777" w:rsidR="00243855" w:rsidRPr="00243855" w:rsidRDefault="00243855" w:rsidP="00282D4D">
      <w:pPr>
        <w:numPr>
          <w:ilvl w:val="0"/>
          <w:numId w:val="3"/>
        </w:numPr>
        <w:shd w:val="clear" w:color="auto" w:fill="FFFFFF"/>
        <w:spacing w:before="100" w:beforeAutospacing="1" w:after="100" w:afterAutospacing="1" w:line="240" w:lineRule="auto"/>
        <w:ind w:left="1080"/>
        <w:rPr>
          <w:rFonts w:eastAsia="Times New Roman" w:cstheme="minorHAnsi"/>
          <w:color w:val="111111"/>
          <w:spacing w:val="1"/>
          <w:kern w:val="0"/>
          <w:sz w:val="24"/>
          <w:szCs w:val="24"/>
          <w:lang w:eastAsia="en-IN"/>
          <w14:ligatures w14:val="none"/>
        </w:rPr>
      </w:pPr>
      <w:r w:rsidRPr="00243855">
        <w:rPr>
          <w:rFonts w:eastAsia="Times New Roman" w:cstheme="minorHAnsi"/>
          <w:color w:val="111111"/>
          <w:spacing w:val="1"/>
          <w:kern w:val="0"/>
          <w:sz w:val="24"/>
          <w:szCs w:val="24"/>
          <w:lang w:eastAsia="en-IN"/>
          <w14:ligatures w14:val="none"/>
        </w:rPr>
        <w:t>The SEC was established by the passage of the U.S. Securities Act of 1933 and the Securities and Exchange Act of 1934, largely in response to the stock market crash of 1929 that led to the Great Depression.</w:t>
      </w:r>
    </w:p>
    <w:p w14:paraId="0A425BA6" w14:textId="052A81F8" w:rsidR="00243855" w:rsidRDefault="00243855" w:rsidP="00282D4D">
      <w:pPr>
        <w:numPr>
          <w:ilvl w:val="0"/>
          <w:numId w:val="3"/>
        </w:numPr>
        <w:shd w:val="clear" w:color="auto" w:fill="FFFFFF"/>
        <w:spacing w:before="100" w:beforeAutospacing="1" w:after="0" w:line="240" w:lineRule="auto"/>
        <w:ind w:left="1080"/>
        <w:rPr>
          <w:rFonts w:eastAsia="Times New Roman" w:cstheme="minorHAnsi"/>
          <w:color w:val="111111"/>
          <w:spacing w:val="1"/>
          <w:kern w:val="0"/>
          <w:sz w:val="24"/>
          <w:szCs w:val="24"/>
          <w:lang w:eastAsia="en-IN"/>
          <w14:ligatures w14:val="none"/>
        </w:rPr>
      </w:pPr>
      <w:r w:rsidRPr="00243855">
        <w:rPr>
          <w:rFonts w:eastAsia="Times New Roman" w:cstheme="minorHAnsi"/>
          <w:color w:val="111111"/>
          <w:spacing w:val="1"/>
          <w:kern w:val="0"/>
          <w:sz w:val="24"/>
          <w:szCs w:val="24"/>
          <w:lang w:eastAsia="en-IN"/>
          <w14:ligatures w14:val="none"/>
        </w:rPr>
        <w:t>The SEC can itself bring civil actions against lawbreakers, and also works with the Justice Department on criminal cases.</w:t>
      </w:r>
    </w:p>
    <w:p w14:paraId="127C1B46" w14:textId="77777777" w:rsidR="00243855" w:rsidRPr="00243855" w:rsidRDefault="00243855" w:rsidP="00282D4D">
      <w:pPr>
        <w:shd w:val="clear" w:color="auto" w:fill="FFFFFF"/>
        <w:spacing w:before="100" w:beforeAutospacing="1" w:after="0" w:line="240" w:lineRule="auto"/>
        <w:ind w:left="1080"/>
        <w:rPr>
          <w:rFonts w:eastAsia="Times New Roman" w:cstheme="minorHAnsi"/>
          <w:color w:val="111111"/>
          <w:spacing w:val="1"/>
          <w:kern w:val="0"/>
          <w:sz w:val="24"/>
          <w:szCs w:val="24"/>
          <w:lang w:eastAsia="en-IN"/>
          <w14:ligatures w14:val="none"/>
        </w:rPr>
      </w:pPr>
    </w:p>
    <w:p w14:paraId="4E9103B0" w14:textId="2062C7D5" w:rsidR="00243855" w:rsidRPr="00243855" w:rsidRDefault="00243855" w:rsidP="00282D4D">
      <w:pPr>
        <w:shd w:val="clear" w:color="auto" w:fill="FFFFFF"/>
        <w:spacing w:after="100" w:afterAutospacing="1" w:line="240" w:lineRule="auto"/>
        <w:ind w:left="360"/>
        <w:rPr>
          <w:rFonts w:eastAsia="Times New Roman" w:cstheme="minorHAnsi"/>
          <w:color w:val="111111"/>
          <w:spacing w:val="1"/>
          <w:kern w:val="0"/>
          <w:sz w:val="24"/>
          <w:szCs w:val="24"/>
          <w:lang w:eastAsia="en-IN"/>
          <w14:ligatures w14:val="none"/>
        </w:rPr>
      </w:pPr>
      <w:r w:rsidRPr="00243855">
        <w:rPr>
          <w:rFonts w:eastAsia="Times New Roman" w:cstheme="minorHAnsi"/>
          <w:color w:val="111111"/>
          <w:spacing w:val="1"/>
          <w:kern w:val="0"/>
          <w:sz w:val="24"/>
          <w:szCs w:val="24"/>
          <w:lang w:eastAsia="en-IN"/>
          <w14:ligatures w14:val="none"/>
        </w:rPr>
        <w:t>The SEC consists of five divisions and 23 offices.</w:t>
      </w:r>
      <w:r>
        <w:rPr>
          <w:rFonts w:eastAsia="Times New Roman" w:cstheme="minorHAnsi"/>
          <w:color w:val="0000EE"/>
          <w:spacing w:val="17"/>
          <w:kern w:val="0"/>
          <w:sz w:val="24"/>
          <w:szCs w:val="24"/>
          <w:lang w:eastAsia="en-IN"/>
          <w14:ligatures w14:val="none"/>
        </w:rPr>
        <w:t xml:space="preserve"> </w:t>
      </w:r>
      <w:r w:rsidRPr="00243855">
        <w:rPr>
          <w:rFonts w:eastAsia="Times New Roman" w:cstheme="minorHAnsi"/>
          <w:color w:val="111111"/>
          <w:spacing w:val="1"/>
          <w:kern w:val="0"/>
          <w:sz w:val="24"/>
          <w:szCs w:val="24"/>
          <w:lang w:eastAsia="en-IN"/>
          <w14:ligatures w14:val="none"/>
        </w:rPr>
        <w:t>Their goals are to interpret and take </w:t>
      </w:r>
      <w:hyperlink r:id="rId6" w:history="1">
        <w:r w:rsidRPr="00243855">
          <w:rPr>
            <w:rFonts w:eastAsia="Times New Roman" w:cstheme="minorHAnsi"/>
            <w:spacing w:val="1"/>
            <w:kern w:val="0"/>
            <w:sz w:val="24"/>
            <w:szCs w:val="24"/>
            <w:lang w:eastAsia="en-IN"/>
            <w14:ligatures w14:val="none"/>
          </w:rPr>
          <w:t>enforcement actions on securities laws</w:t>
        </w:r>
      </w:hyperlink>
      <w:r w:rsidRPr="00243855">
        <w:rPr>
          <w:rFonts w:eastAsia="Times New Roman" w:cstheme="minorHAnsi"/>
          <w:color w:val="111111"/>
          <w:spacing w:val="1"/>
          <w:kern w:val="0"/>
          <w:sz w:val="24"/>
          <w:szCs w:val="24"/>
          <w:lang w:eastAsia="en-IN"/>
          <w14:ligatures w14:val="none"/>
        </w:rPr>
        <w:t>, issue new rules, provide oversight of securities institutions, and coordinate regulation among different levels of government. The five divisions and their respective roles are:</w:t>
      </w:r>
    </w:p>
    <w:p w14:paraId="2C476442" w14:textId="1DC185DB" w:rsidR="00243855" w:rsidRPr="00243855" w:rsidRDefault="00243855" w:rsidP="00282D4D">
      <w:pPr>
        <w:numPr>
          <w:ilvl w:val="0"/>
          <w:numId w:val="4"/>
        </w:numPr>
        <w:shd w:val="clear" w:color="auto" w:fill="FFFFFF"/>
        <w:spacing w:before="100" w:beforeAutospacing="1" w:after="100" w:afterAutospacing="1" w:line="240" w:lineRule="auto"/>
        <w:ind w:left="1080"/>
        <w:rPr>
          <w:rFonts w:eastAsia="Times New Roman" w:cstheme="minorHAnsi"/>
          <w:color w:val="111111"/>
          <w:spacing w:val="1"/>
          <w:kern w:val="0"/>
          <w:sz w:val="24"/>
          <w:szCs w:val="24"/>
          <w:lang w:eastAsia="en-IN"/>
          <w14:ligatures w14:val="none"/>
        </w:rPr>
      </w:pPr>
      <w:r w:rsidRPr="00243855">
        <w:rPr>
          <w:rFonts w:eastAsia="Times New Roman" w:cstheme="minorHAnsi"/>
          <w:b/>
          <w:bCs/>
          <w:color w:val="111111"/>
          <w:spacing w:val="1"/>
          <w:kern w:val="0"/>
          <w:sz w:val="24"/>
          <w:szCs w:val="24"/>
          <w:lang w:eastAsia="en-IN"/>
          <w14:ligatures w14:val="none"/>
        </w:rPr>
        <w:t>Division of Corporate Finance: </w:t>
      </w:r>
      <w:r w:rsidRPr="00243855">
        <w:rPr>
          <w:rFonts w:eastAsia="Times New Roman" w:cstheme="minorHAnsi"/>
          <w:color w:val="111111"/>
          <w:spacing w:val="1"/>
          <w:kern w:val="0"/>
          <w:sz w:val="24"/>
          <w:szCs w:val="24"/>
          <w:lang w:eastAsia="en-IN"/>
          <w14:ligatures w14:val="none"/>
        </w:rPr>
        <w:t>Ensures investors are provided with material information (that is, information relevant to a company's financial prospects or stock price) in order to make informed investment decisions.</w:t>
      </w:r>
    </w:p>
    <w:p w14:paraId="49DE1257" w14:textId="2438ECAA" w:rsidR="00243855" w:rsidRPr="00243855" w:rsidRDefault="00243855" w:rsidP="00282D4D">
      <w:pPr>
        <w:numPr>
          <w:ilvl w:val="0"/>
          <w:numId w:val="4"/>
        </w:numPr>
        <w:shd w:val="clear" w:color="auto" w:fill="FFFFFF"/>
        <w:spacing w:before="100" w:beforeAutospacing="1" w:after="100" w:afterAutospacing="1" w:line="240" w:lineRule="auto"/>
        <w:ind w:left="1080"/>
        <w:rPr>
          <w:rFonts w:eastAsia="Times New Roman" w:cstheme="minorHAnsi"/>
          <w:color w:val="111111"/>
          <w:spacing w:val="1"/>
          <w:kern w:val="0"/>
          <w:sz w:val="24"/>
          <w:szCs w:val="24"/>
          <w:lang w:eastAsia="en-IN"/>
          <w14:ligatures w14:val="none"/>
        </w:rPr>
      </w:pPr>
      <w:r w:rsidRPr="00243855">
        <w:rPr>
          <w:rFonts w:eastAsia="Times New Roman" w:cstheme="minorHAnsi"/>
          <w:b/>
          <w:bCs/>
          <w:color w:val="111111"/>
          <w:spacing w:val="1"/>
          <w:kern w:val="0"/>
          <w:sz w:val="24"/>
          <w:szCs w:val="24"/>
          <w:lang w:eastAsia="en-IN"/>
          <w14:ligatures w14:val="none"/>
        </w:rPr>
        <w:t>Division of Enforcement: </w:t>
      </w:r>
      <w:r w:rsidRPr="00243855">
        <w:rPr>
          <w:rFonts w:eastAsia="Times New Roman" w:cstheme="minorHAnsi"/>
          <w:color w:val="111111"/>
          <w:spacing w:val="1"/>
          <w:kern w:val="0"/>
          <w:sz w:val="24"/>
          <w:szCs w:val="24"/>
          <w:lang w:eastAsia="en-IN"/>
          <w14:ligatures w14:val="none"/>
        </w:rPr>
        <w:t>In charge of enforcing SEC regulations by investigating cases and prosecuting civil suits and administrative proceedings.</w:t>
      </w:r>
    </w:p>
    <w:p w14:paraId="67726FB1" w14:textId="36DC01E3" w:rsidR="00243855" w:rsidRPr="00243855" w:rsidRDefault="00243855" w:rsidP="00462840">
      <w:pPr>
        <w:numPr>
          <w:ilvl w:val="0"/>
          <w:numId w:val="4"/>
        </w:numPr>
        <w:shd w:val="clear" w:color="auto" w:fill="FFFFFF"/>
        <w:spacing w:before="100" w:beforeAutospacing="1" w:after="100" w:afterAutospacing="1" w:line="240" w:lineRule="auto"/>
        <w:ind w:left="1080"/>
        <w:jc w:val="both"/>
        <w:rPr>
          <w:rFonts w:eastAsia="Times New Roman" w:cstheme="minorHAnsi"/>
          <w:color w:val="111111"/>
          <w:spacing w:val="1"/>
          <w:kern w:val="0"/>
          <w:sz w:val="24"/>
          <w:szCs w:val="24"/>
          <w:lang w:eastAsia="en-IN"/>
          <w14:ligatures w14:val="none"/>
        </w:rPr>
      </w:pPr>
      <w:r w:rsidRPr="00243855">
        <w:rPr>
          <w:rFonts w:eastAsia="Times New Roman" w:cstheme="minorHAnsi"/>
          <w:b/>
          <w:bCs/>
          <w:color w:val="111111"/>
          <w:spacing w:val="1"/>
          <w:kern w:val="0"/>
          <w:sz w:val="24"/>
          <w:szCs w:val="24"/>
          <w:lang w:eastAsia="en-IN"/>
          <w14:ligatures w14:val="none"/>
        </w:rPr>
        <w:t>Division of Investment Management: </w:t>
      </w:r>
      <w:hyperlink r:id="rId7" w:history="1">
        <w:r w:rsidRPr="00243855">
          <w:rPr>
            <w:rFonts w:eastAsia="Times New Roman" w:cstheme="minorHAnsi"/>
            <w:spacing w:val="1"/>
            <w:kern w:val="0"/>
            <w:sz w:val="24"/>
            <w:szCs w:val="24"/>
            <w:lang w:eastAsia="en-IN"/>
            <w14:ligatures w14:val="none"/>
          </w:rPr>
          <w:t>Regulates investment companie</w:t>
        </w:r>
        <w:r w:rsidRPr="00243855">
          <w:rPr>
            <w:rFonts w:eastAsia="Times New Roman" w:cstheme="minorHAnsi"/>
            <w:color w:val="2C40D0"/>
            <w:spacing w:val="1"/>
            <w:kern w:val="0"/>
            <w:sz w:val="24"/>
            <w:szCs w:val="24"/>
            <w:u w:val="single"/>
            <w:lang w:eastAsia="en-IN"/>
            <w14:ligatures w14:val="none"/>
          </w:rPr>
          <w:t>s</w:t>
        </w:r>
      </w:hyperlink>
      <w:r w:rsidRPr="00243855">
        <w:rPr>
          <w:rFonts w:eastAsia="Times New Roman" w:cstheme="minorHAnsi"/>
          <w:color w:val="111111"/>
          <w:spacing w:val="1"/>
          <w:kern w:val="0"/>
          <w:sz w:val="24"/>
          <w:szCs w:val="24"/>
          <w:lang w:eastAsia="en-IN"/>
          <w14:ligatures w14:val="none"/>
        </w:rPr>
        <w:t>, variable insurance products, and federally registered investment advisors.</w:t>
      </w:r>
    </w:p>
    <w:p w14:paraId="2C33BC35" w14:textId="2B60058C" w:rsidR="00243855" w:rsidRPr="00243855" w:rsidRDefault="00243855" w:rsidP="00462840">
      <w:pPr>
        <w:numPr>
          <w:ilvl w:val="0"/>
          <w:numId w:val="4"/>
        </w:numPr>
        <w:shd w:val="clear" w:color="auto" w:fill="FFFFFF"/>
        <w:spacing w:before="100" w:beforeAutospacing="1" w:after="100" w:afterAutospacing="1" w:line="240" w:lineRule="auto"/>
        <w:ind w:left="1080"/>
        <w:jc w:val="both"/>
        <w:rPr>
          <w:rFonts w:eastAsia="Times New Roman" w:cstheme="minorHAnsi"/>
          <w:color w:val="111111"/>
          <w:spacing w:val="1"/>
          <w:kern w:val="0"/>
          <w:sz w:val="24"/>
          <w:szCs w:val="24"/>
          <w:lang w:eastAsia="en-IN"/>
          <w14:ligatures w14:val="none"/>
        </w:rPr>
      </w:pPr>
      <w:r w:rsidRPr="00243855">
        <w:rPr>
          <w:rFonts w:eastAsia="Times New Roman" w:cstheme="minorHAnsi"/>
          <w:b/>
          <w:bCs/>
          <w:color w:val="111111"/>
          <w:spacing w:val="1"/>
          <w:kern w:val="0"/>
          <w:sz w:val="24"/>
          <w:szCs w:val="24"/>
          <w:lang w:eastAsia="en-IN"/>
          <w14:ligatures w14:val="none"/>
        </w:rPr>
        <w:t>Division of Economic and Risk Analysis: </w:t>
      </w:r>
      <w:r w:rsidRPr="00243855">
        <w:rPr>
          <w:rFonts w:eastAsia="Times New Roman" w:cstheme="minorHAnsi"/>
          <w:color w:val="111111"/>
          <w:spacing w:val="1"/>
          <w:kern w:val="0"/>
          <w:sz w:val="24"/>
          <w:szCs w:val="24"/>
          <w:lang w:eastAsia="en-IN"/>
          <w14:ligatures w14:val="none"/>
        </w:rPr>
        <w:t>Integrates economics and data analytics into the core mission of the SEC.</w:t>
      </w:r>
    </w:p>
    <w:p w14:paraId="57C80E1A" w14:textId="77777777" w:rsidR="00243855" w:rsidRDefault="00243855" w:rsidP="00462840">
      <w:pPr>
        <w:numPr>
          <w:ilvl w:val="0"/>
          <w:numId w:val="4"/>
        </w:numPr>
        <w:shd w:val="clear" w:color="auto" w:fill="FFFFFF"/>
        <w:spacing w:before="100" w:beforeAutospacing="1" w:after="100" w:afterAutospacing="1" w:line="240" w:lineRule="auto"/>
        <w:ind w:left="1080"/>
        <w:jc w:val="both"/>
        <w:rPr>
          <w:rFonts w:eastAsia="Times New Roman" w:cstheme="minorHAnsi"/>
          <w:color w:val="111111"/>
          <w:spacing w:val="1"/>
          <w:kern w:val="0"/>
          <w:sz w:val="24"/>
          <w:szCs w:val="24"/>
          <w:lang w:eastAsia="en-IN"/>
          <w14:ligatures w14:val="none"/>
        </w:rPr>
      </w:pPr>
      <w:r w:rsidRPr="00243855">
        <w:rPr>
          <w:rFonts w:eastAsia="Times New Roman" w:cstheme="minorHAnsi"/>
          <w:b/>
          <w:bCs/>
          <w:color w:val="111111"/>
          <w:spacing w:val="1"/>
          <w:kern w:val="0"/>
          <w:sz w:val="24"/>
          <w:szCs w:val="24"/>
          <w:lang w:eastAsia="en-IN"/>
          <w14:ligatures w14:val="none"/>
        </w:rPr>
        <w:t>Division of Trading and Markets: </w:t>
      </w:r>
      <w:r w:rsidRPr="00243855">
        <w:rPr>
          <w:rFonts w:eastAsia="Times New Roman" w:cstheme="minorHAnsi"/>
          <w:color w:val="111111"/>
          <w:spacing w:val="1"/>
          <w:kern w:val="0"/>
          <w:sz w:val="24"/>
          <w:szCs w:val="24"/>
          <w:lang w:eastAsia="en-IN"/>
          <w14:ligatures w14:val="none"/>
        </w:rPr>
        <w:t>Establishes and maintains standards for fair, orderly, and efficient markets.</w:t>
      </w:r>
    </w:p>
    <w:tbl>
      <w:tblPr>
        <w:tblW w:w="10739" w:type="dxa"/>
        <w:tblLook w:val="04A0" w:firstRow="1" w:lastRow="0" w:firstColumn="1" w:lastColumn="0" w:noHBand="0" w:noVBand="1"/>
      </w:tblPr>
      <w:tblGrid>
        <w:gridCol w:w="960"/>
        <w:gridCol w:w="960"/>
        <w:gridCol w:w="1940"/>
        <w:gridCol w:w="2740"/>
        <w:gridCol w:w="3179"/>
        <w:gridCol w:w="960"/>
      </w:tblGrid>
      <w:tr w:rsidR="00282D4D" w:rsidRPr="00282D4D" w14:paraId="2A12CF43" w14:textId="77777777" w:rsidTr="00282D4D">
        <w:trPr>
          <w:trHeight w:val="300"/>
        </w:trPr>
        <w:tc>
          <w:tcPr>
            <w:tcW w:w="960" w:type="dxa"/>
            <w:tcBorders>
              <w:top w:val="nil"/>
              <w:left w:val="nil"/>
              <w:bottom w:val="nil"/>
              <w:right w:val="nil"/>
            </w:tcBorders>
            <w:shd w:val="clear" w:color="auto" w:fill="auto"/>
            <w:noWrap/>
            <w:vAlign w:val="bottom"/>
            <w:hideMark/>
          </w:tcPr>
          <w:p w14:paraId="39FDFB79" w14:textId="77777777" w:rsidR="00282D4D" w:rsidRPr="00282D4D" w:rsidRDefault="00282D4D" w:rsidP="00462840">
            <w:pPr>
              <w:spacing w:after="0" w:line="240" w:lineRule="auto"/>
              <w:jc w:val="both"/>
              <w:rPr>
                <w:rFonts w:ascii="Times New Roman" w:eastAsia="Times New Roman" w:hAnsi="Times New Roman" w:cs="Times New Roman"/>
                <w:kern w:val="0"/>
                <w:sz w:val="24"/>
                <w:szCs w:val="24"/>
                <w:lang w:eastAsia="en-IN"/>
                <w14:ligatures w14:val="none"/>
              </w:rPr>
            </w:pPr>
          </w:p>
        </w:tc>
        <w:tc>
          <w:tcPr>
            <w:tcW w:w="960" w:type="dxa"/>
            <w:tcBorders>
              <w:top w:val="nil"/>
              <w:left w:val="nil"/>
              <w:bottom w:val="nil"/>
              <w:right w:val="nil"/>
            </w:tcBorders>
            <w:shd w:val="clear" w:color="auto" w:fill="auto"/>
            <w:noWrap/>
            <w:vAlign w:val="bottom"/>
            <w:hideMark/>
          </w:tcPr>
          <w:p w14:paraId="5FA535CF" w14:textId="77777777" w:rsidR="00282D4D" w:rsidRPr="00282D4D" w:rsidRDefault="00282D4D" w:rsidP="00462840">
            <w:pPr>
              <w:spacing w:after="0" w:line="240" w:lineRule="auto"/>
              <w:jc w:val="both"/>
              <w:rPr>
                <w:rFonts w:ascii="Times New Roman" w:eastAsia="Times New Roman" w:hAnsi="Times New Roman" w:cs="Times New Roman"/>
                <w:kern w:val="0"/>
                <w:sz w:val="20"/>
                <w:szCs w:val="20"/>
                <w:lang w:eastAsia="en-IN"/>
                <w14:ligatures w14:val="none"/>
              </w:rPr>
            </w:pPr>
          </w:p>
        </w:tc>
        <w:tc>
          <w:tcPr>
            <w:tcW w:w="1940" w:type="dxa"/>
            <w:tcBorders>
              <w:top w:val="nil"/>
              <w:left w:val="nil"/>
              <w:bottom w:val="nil"/>
              <w:right w:val="nil"/>
            </w:tcBorders>
            <w:shd w:val="clear" w:color="auto" w:fill="auto"/>
            <w:noWrap/>
            <w:vAlign w:val="bottom"/>
            <w:hideMark/>
          </w:tcPr>
          <w:p w14:paraId="600E32C5" w14:textId="77777777" w:rsidR="00282D4D" w:rsidRPr="00282D4D" w:rsidRDefault="00282D4D" w:rsidP="00462840">
            <w:pPr>
              <w:spacing w:after="0" w:line="240" w:lineRule="auto"/>
              <w:jc w:val="both"/>
              <w:rPr>
                <w:rFonts w:ascii="Times New Roman" w:eastAsia="Times New Roman" w:hAnsi="Times New Roman" w:cs="Times New Roman"/>
                <w:kern w:val="0"/>
                <w:sz w:val="20"/>
                <w:szCs w:val="20"/>
                <w:lang w:eastAsia="en-IN"/>
                <w14:ligatures w14:val="none"/>
              </w:rPr>
            </w:pPr>
          </w:p>
        </w:tc>
        <w:tc>
          <w:tcPr>
            <w:tcW w:w="2740" w:type="dxa"/>
            <w:tcBorders>
              <w:top w:val="nil"/>
              <w:left w:val="nil"/>
              <w:bottom w:val="nil"/>
              <w:right w:val="nil"/>
            </w:tcBorders>
            <w:shd w:val="clear" w:color="auto" w:fill="auto"/>
            <w:noWrap/>
            <w:vAlign w:val="bottom"/>
            <w:hideMark/>
          </w:tcPr>
          <w:p w14:paraId="1BBE90FA" w14:textId="77777777" w:rsidR="00282D4D" w:rsidRPr="00282D4D" w:rsidRDefault="00282D4D" w:rsidP="00462840">
            <w:pPr>
              <w:spacing w:after="0" w:line="240" w:lineRule="auto"/>
              <w:jc w:val="both"/>
              <w:rPr>
                <w:rFonts w:ascii="Times New Roman" w:eastAsia="Times New Roman" w:hAnsi="Times New Roman" w:cs="Times New Roman"/>
                <w:kern w:val="0"/>
                <w:sz w:val="20"/>
                <w:szCs w:val="20"/>
                <w:lang w:eastAsia="en-IN"/>
                <w14:ligatures w14:val="none"/>
              </w:rPr>
            </w:pPr>
          </w:p>
        </w:tc>
        <w:tc>
          <w:tcPr>
            <w:tcW w:w="3179" w:type="dxa"/>
            <w:tcBorders>
              <w:top w:val="nil"/>
              <w:left w:val="nil"/>
              <w:bottom w:val="nil"/>
              <w:right w:val="nil"/>
            </w:tcBorders>
            <w:shd w:val="clear" w:color="auto" w:fill="auto"/>
            <w:noWrap/>
            <w:vAlign w:val="bottom"/>
            <w:hideMark/>
          </w:tcPr>
          <w:p w14:paraId="78CC7F63" w14:textId="77777777" w:rsidR="00282D4D" w:rsidRPr="00282D4D" w:rsidRDefault="00282D4D" w:rsidP="00462840">
            <w:pPr>
              <w:spacing w:after="0" w:line="240" w:lineRule="auto"/>
              <w:jc w:val="both"/>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83FFE7C" w14:textId="77777777" w:rsidR="00282D4D" w:rsidRPr="00282D4D" w:rsidRDefault="00282D4D" w:rsidP="00462840">
            <w:pPr>
              <w:spacing w:after="0" w:line="240" w:lineRule="auto"/>
              <w:jc w:val="both"/>
              <w:rPr>
                <w:rFonts w:ascii="Times New Roman" w:eastAsia="Times New Roman" w:hAnsi="Times New Roman" w:cs="Times New Roman"/>
                <w:kern w:val="0"/>
                <w:sz w:val="20"/>
                <w:szCs w:val="20"/>
                <w:lang w:eastAsia="en-IN"/>
                <w14:ligatures w14:val="none"/>
              </w:rPr>
            </w:pPr>
          </w:p>
        </w:tc>
      </w:tr>
      <w:tr w:rsidR="00282D4D" w:rsidRPr="00282D4D" w14:paraId="155E95B4" w14:textId="77777777" w:rsidTr="00282D4D">
        <w:trPr>
          <w:trHeight w:val="300"/>
        </w:trPr>
        <w:tc>
          <w:tcPr>
            <w:tcW w:w="960" w:type="dxa"/>
            <w:tcBorders>
              <w:top w:val="nil"/>
              <w:left w:val="nil"/>
              <w:bottom w:val="nil"/>
              <w:right w:val="nil"/>
            </w:tcBorders>
            <w:shd w:val="clear" w:color="auto" w:fill="auto"/>
            <w:noWrap/>
            <w:vAlign w:val="bottom"/>
            <w:hideMark/>
          </w:tcPr>
          <w:p w14:paraId="2EA60C9E" w14:textId="77777777" w:rsidR="00282D4D" w:rsidRPr="00282D4D" w:rsidRDefault="00282D4D" w:rsidP="00462840">
            <w:pPr>
              <w:spacing w:after="0" w:line="240" w:lineRule="auto"/>
              <w:jc w:val="both"/>
              <w:rPr>
                <w:rFonts w:ascii="Times New Roman" w:eastAsia="Times New Roman" w:hAnsi="Times New Roman" w:cs="Times New Roman"/>
                <w:kern w:val="0"/>
                <w:sz w:val="20"/>
                <w:szCs w:val="20"/>
                <w:lang w:eastAsia="en-IN"/>
                <w14:ligatures w14:val="none"/>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33EC39E" w14:textId="77777777" w:rsidR="00282D4D" w:rsidRPr="00282D4D" w:rsidRDefault="00282D4D" w:rsidP="00462840">
            <w:pPr>
              <w:spacing w:after="0" w:line="240" w:lineRule="auto"/>
              <w:jc w:val="both"/>
              <w:rPr>
                <w:rFonts w:ascii="Calibri" w:eastAsia="Times New Roman" w:hAnsi="Calibri" w:cs="Calibri"/>
                <w:color w:val="000000"/>
                <w:kern w:val="0"/>
                <w:lang w:eastAsia="en-IN"/>
                <w14:ligatures w14:val="none"/>
              </w:rPr>
            </w:pPr>
            <w:r w:rsidRPr="00282D4D">
              <w:rPr>
                <w:rFonts w:ascii="Calibri" w:eastAsia="Times New Roman" w:hAnsi="Calibri" w:cs="Calibri"/>
                <w:color w:val="000000"/>
                <w:kern w:val="0"/>
                <w:lang w:eastAsia="en-IN"/>
                <w14:ligatures w14:val="none"/>
              </w:rPr>
              <w:t>Year</w:t>
            </w:r>
          </w:p>
        </w:tc>
        <w:tc>
          <w:tcPr>
            <w:tcW w:w="1940" w:type="dxa"/>
            <w:tcBorders>
              <w:top w:val="single" w:sz="8" w:space="0" w:color="auto"/>
              <w:left w:val="nil"/>
              <w:bottom w:val="single" w:sz="8" w:space="0" w:color="auto"/>
              <w:right w:val="single" w:sz="8" w:space="0" w:color="auto"/>
            </w:tcBorders>
            <w:shd w:val="clear" w:color="auto" w:fill="auto"/>
            <w:noWrap/>
            <w:vAlign w:val="bottom"/>
            <w:hideMark/>
          </w:tcPr>
          <w:p w14:paraId="09E36369" w14:textId="77777777" w:rsidR="00282D4D" w:rsidRPr="00282D4D" w:rsidRDefault="00282D4D" w:rsidP="00462840">
            <w:pPr>
              <w:spacing w:after="0" w:line="240" w:lineRule="auto"/>
              <w:jc w:val="both"/>
              <w:rPr>
                <w:rFonts w:ascii="Calibri" w:eastAsia="Times New Roman" w:hAnsi="Calibri" w:cs="Calibri"/>
                <w:color w:val="000000"/>
                <w:kern w:val="0"/>
                <w:lang w:eastAsia="en-IN"/>
                <w14:ligatures w14:val="none"/>
              </w:rPr>
            </w:pPr>
            <w:r w:rsidRPr="00282D4D">
              <w:rPr>
                <w:rFonts w:ascii="Calibri" w:eastAsia="Times New Roman" w:hAnsi="Calibri" w:cs="Calibri"/>
                <w:color w:val="000000"/>
                <w:kern w:val="0"/>
                <w:lang w:eastAsia="en-IN"/>
                <w14:ligatures w14:val="none"/>
              </w:rPr>
              <w:t>Enforcement Actions</w:t>
            </w:r>
          </w:p>
        </w:tc>
        <w:tc>
          <w:tcPr>
            <w:tcW w:w="2740" w:type="dxa"/>
            <w:tcBorders>
              <w:top w:val="single" w:sz="8" w:space="0" w:color="auto"/>
              <w:left w:val="nil"/>
              <w:bottom w:val="nil"/>
              <w:right w:val="nil"/>
            </w:tcBorders>
            <w:shd w:val="clear" w:color="auto" w:fill="auto"/>
            <w:noWrap/>
            <w:vAlign w:val="bottom"/>
            <w:hideMark/>
          </w:tcPr>
          <w:p w14:paraId="736972E8" w14:textId="77777777" w:rsidR="00282D4D" w:rsidRPr="00282D4D" w:rsidRDefault="00282D4D" w:rsidP="00462840">
            <w:pPr>
              <w:spacing w:after="0" w:line="240" w:lineRule="auto"/>
              <w:jc w:val="both"/>
              <w:rPr>
                <w:rFonts w:ascii="Calibri" w:eastAsia="Times New Roman" w:hAnsi="Calibri" w:cs="Calibri"/>
                <w:color w:val="000000"/>
                <w:kern w:val="0"/>
                <w:lang w:eastAsia="en-IN"/>
                <w14:ligatures w14:val="none"/>
              </w:rPr>
            </w:pPr>
            <w:proofErr w:type="spellStart"/>
            <w:r w:rsidRPr="00282D4D">
              <w:rPr>
                <w:rFonts w:ascii="Calibri" w:eastAsia="Times New Roman" w:hAnsi="Calibri" w:cs="Calibri"/>
                <w:color w:val="000000"/>
                <w:kern w:val="0"/>
                <w:lang w:eastAsia="en-IN"/>
                <w14:ligatures w14:val="none"/>
              </w:rPr>
              <w:t>Finews</w:t>
            </w:r>
            <w:proofErr w:type="spellEnd"/>
            <w:r w:rsidRPr="00282D4D">
              <w:rPr>
                <w:rFonts w:ascii="Calibri" w:eastAsia="Times New Roman" w:hAnsi="Calibri" w:cs="Calibri"/>
                <w:color w:val="000000"/>
                <w:kern w:val="0"/>
                <w:lang w:eastAsia="en-IN"/>
                <w14:ligatures w14:val="none"/>
              </w:rPr>
              <w:t xml:space="preserve"> Imposed (in millions)</w:t>
            </w:r>
          </w:p>
        </w:tc>
        <w:tc>
          <w:tcPr>
            <w:tcW w:w="317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F6A1E3A" w14:textId="77777777" w:rsidR="00282D4D" w:rsidRPr="00282D4D" w:rsidRDefault="00282D4D" w:rsidP="00462840">
            <w:pPr>
              <w:spacing w:after="0" w:line="240" w:lineRule="auto"/>
              <w:jc w:val="both"/>
              <w:rPr>
                <w:rFonts w:ascii="Calibri" w:eastAsia="Times New Roman" w:hAnsi="Calibri" w:cs="Calibri"/>
                <w:color w:val="000000"/>
                <w:kern w:val="0"/>
                <w:lang w:eastAsia="en-IN"/>
                <w14:ligatures w14:val="none"/>
              </w:rPr>
            </w:pPr>
            <w:r w:rsidRPr="00282D4D">
              <w:rPr>
                <w:rFonts w:ascii="Calibri" w:eastAsia="Times New Roman" w:hAnsi="Calibri" w:cs="Calibri"/>
                <w:color w:val="000000"/>
                <w:kern w:val="0"/>
                <w:lang w:eastAsia="en-IN"/>
                <w14:ligatures w14:val="none"/>
              </w:rPr>
              <w:t>Disgorgement Ordered (in millions)</w:t>
            </w:r>
          </w:p>
        </w:tc>
        <w:tc>
          <w:tcPr>
            <w:tcW w:w="960" w:type="dxa"/>
            <w:tcBorders>
              <w:top w:val="nil"/>
              <w:left w:val="nil"/>
              <w:bottom w:val="nil"/>
              <w:right w:val="nil"/>
            </w:tcBorders>
            <w:shd w:val="clear" w:color="auto" w:fill="auto"/>
            <w:noWrap/>
            <w:vAlign w:val="bottom"/>
            <w:hideMark/>
          </w:tcPr>
          <w:p w14:paraId="151658EF" w14:textId="77777777" w:rsidR="00282D4D" w:rsidRPr="00282D4D" w:rsidRDefault="00282D4D" w:rsidP="00462840">
            <w:pPr>
              <w:spacing w:after="0" w:line="240" w:lineRule="auto"/>
              <w:jc w:val="both"/>
              <w:rPr>
                <w:rFonts w:ascii="Calibri" w:eastAsia="Times New Roman" w:hAnsi="Calibri" w:cs="Calibri"/>
                <w:color w:val="000000"/>
                <w:kern w:val="0"/>
                <w:lang w:eastAsia="en-IN"/>
                <w14:ligatures w14:val="none"/>
              </w:rPr>
            </w:pPr>
          </w:p>
        </w:tc>
      </w:tr>
      <w:tr w:rsidR="00282D4D" w:rsidRPr="00282D4D" w14:paraId="00DAF397" w14:textId="77777777" w:rsidTr="00282D4D">
        <w:trPr>
          <w:trHeight w:val="300"/>
        </w:trPr>
        <w:tc>
          <w:tcPr>
            <w:tcW w:w="960" w:type="dxa"/>
            <w:tcBorders>
              <w:top w:val="nil"/>
              <w:left w:val="nil"/>
              <w:bottom w:val="nil"/>
              <w:right w:val="nil"/>
            </w:tcBorders>
            <w:shd w:val="clear" w:color="auto" w:fill="auto"/>
            <w:noWrap/>
            <w:vAlign w:val="bottom"/>
            <w:hideMark/>
          </w:tcPr>
          <w:p w14:paraId="68A1DBCD" w14:textId="77777777" w:rsidR="00282D4D" w:rsidRPr="00282D4D" w:rsidRDefault="00282D4D" w:rsidP="00462840">
            <w:pPr>
              <w:spacing w:after="0" w:line="240" w:lineRule="auto"/>
              <w:jc w:val="both"/>
              <w:rPr>
                <w:rFonts w:ascii="Times New Roman" w:eastAsia="Times New Roman" w:hAnsi="Times New Roman" w:cs="Times New Roman"/>
                <w:kern w:val="0"/>
                <w:sz w:val="20"/>
                <w:szCs w:val="20"/>
                <w:lang w:eastAsia="en-IN"/>
                <w14:ligatures w14:val="none"/>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247A3745" w14:textId="77777777" w:rsidR="00282D4D" w:rsidRPr="00282D4D" w:rsidRDefault="00282D4D" w:rsidP="00462840">
            <w:pPr>
              <w:spacing w:after="0" w:line="240" w:lineRule="auto"/>
              <w:jc w:val="both"/>
              <w:rPr>
                <w:rFonts w:ascii="Calibri" w:eastAsia="Times New Roman" w:hAnsi="Calibri" w:cs="Calibri"/>
                <w:color w:val="000000"/>
                <w:kern w:val="0"/>
                <w:lang w:eastAsia="en-IN"/>
                <w14:ligatures w14:val="none"/>
              </w:rPr>
            </w:pPr>
            <w:r w:rsidRPr="00282D4D">
              <w:rPr>
                <w:rFonts w:ascii="Calibri" w:eastAsia="Times New Roman" w:hAnsi="Calibri" w:cs="Calibri"/>
                <w:color w:val="000000"/>
                <w:kern w:val="0"/>
                <w:lang w:eastAsia="en-IN"/>
                <w14:ligatures w14:val="none"/>
              </w:rPr>
              <w:t>2019</w:t>
            </w:r>
          </w:p>
        </w:tc>
        <w:tc>
          <w:tcPr>
            <w:tcW w:w="1940" w:type="dxa"/>
            <w:tcBorders>
              <w:top w:val="nil"/>
              <w:left w:val="nil"/>
              <w:bottom w:val="single" w:sz="8" w:space="0" w:color="auto"/>
              <w:right w:val="single" w:sz="8" w:space="0" w:color="auto"/>
            </w:tcBorders>
            <w:shd w:val="clear" w:color="auto" w:fill="auto"/>
            <w:noWrap/>
            <w:vAlign w:val="bottom"/>
            <w:hideMark/>
          </w:tcPr>
          <w:p w14:paraId="7FA705D7" w14:textId="77777777" w:rsidR="00282D4D" w:rsidRPr="00282D4D" w:rsidRDefault="00282D4D" w:rsidP="00462840">
            <w:pPr>
              <w:spacing w:after="0" w:line="240" w:lineRule="auto"/>
              <w:jc w:val="both"/>
              <w:rPr>
                <w:rFonts w:ascii="Calibri" w:eastAsia="Times New Roman" w:hAnsi="Calibri" w:cs="Calibri"/>
                <w:color w:val="000000"/>
                <w:kern w:val="0"/>
                <w:lang w:eastAsia="en-IN"/>
                <w14:ligatures w14:val="none"/>
              </w:rPr>
            </w:pPr>
            <w:r w:rsidRPr="00282D4D">
              <w:rPr>
                <w:rFonts w:ascii="Calibri" w:eastAsia="Times New Roman" w:hAnsi="Calibri" w:cs="Calibri"/>
                <w:color w:val="000000"/>
                <w:kern w:val="0"/>
                <w:lang w:eastAsia="en-IN"/>
                <w14:ligatures w14:val="none"/>
              </w:rPr>
              <w:t>500</w:t>
            </w:r>
          </w:p>
        </w:tc>
        <w:tc>
          <w:tcPr>
            <w:tcW w:w="2740" w:type="dxa"/>
            <w:tcBorders>
              <w:top w:val="single" w:sz="8" w:space="0" w:color="auto"/>
              <w:left w:val="nil"/>
              <w:bottom w:val="single" w:sz="8" w:space="0" w:color="auto"/>
              <w:right w:val="single" w:sz="8" w:space="0" w:color="auto"/>
            </w:tcBorders>
            <w:shd w:val="clear" w:color="auto" w:fill="auto"/>
            <w:noWrap/>
            <w:vAlign w:val="bottom"/>
            <w:hideMark/>
          </w:tcPr>
          <w:p w14:paraId="4597F6A7" w14:textId="77777777" w:rsidR="00282D4D" w:rsidRPr="00282D4D" w:rsidRDefault="00282D4D" w:rsidP="00462840">
            <w:pPr>
              <w:spacing w:after="0" w:line="240" w:lineRule="auto"/>
              <w:jc w:val="both"/>
              <w:rPr>
                <w:rFonts w:ascii="Calibri" w:eastAsia="Times New Roman" w:hAnsi="Calibri" w:cs="Calibri"/>
                <w:color w:val="000000"/>
                <w:kern w:val="0"/>
                <w:lang w:eastAsia="en-IN"/>
                <w14:ligatures w14:val="none"/>
              </w:rPr>
            </w:pPr>
            <w:r w:rsidRPr="00282D4D">
              <w:rPr>
                <w:rFonts w:ascii="Calibri" w:eastAsia="Times New Roman" w:hAnsi="Calibri" w:cs="Calibri"/>
                <w:color w:val="000000"/>
                <w:kern w:val="0"/>
                <w:lang w:eastAsia="en-IN"/>
                <w14:ligatures w14:val="none"/>
              </w:rPr>
              <w:t>4000</w:t>
            </w:r>
          </w:p>
        </w:tc>
        <w:tc>
          <w:tcPr>
            <w:tcW w:w="3179" w:type="dxa"/>
            <w:tcBorders>
              <w:top w:val="nil"/>
              <w:left w:val="nil"/>
              <w:bottom w:val="nil"/>
              <w:right w:val="single" w:sz="8" w:space="0" w:color="auto"/>
            </w:tcBorders>
            <w:shd w:val="clear" w:color="auto" w:fill="auto"/>
            <w:noWrap/>
            <w:vAlign w:val="bottom"/>
            <w:hideMark/>
          </w:tcPr>
          <w:p w14:paraId="71DE2DB8" w14:textId="77777777" w:rsidR="00282D4D" w:rsidRPr="00282D4D" w:rsidRDefault="00282D4D" w:rsidP="00462840">
            <w:pPr>
              <w:spacing w:after="0" w:line="240" w:lineRule="auto"/>
              <w:jc w:val="both"/>
              <w:rPr>
                <w:rFonts w:ascii="Calibri" w:eastAsia="Times New Roman" w:hAnsi="Calibri" w:cs="Calibri"/>
                <w:color w:val="000000"/>
                <w:kern w:val="0"/>
                <w:lang w:eastAsia="en-IN"/>
                <w14:ligatures w14:val="none"/>
              </w:rPr>
            </w:pPr>
            <w:r w:rsidRPr="00282D4D">
              <w:rPr>
                <w:rFonts w:ascii="Calibri" w:eastAsia="Times New Roman" w:hAnsi="Calibri" w:cs="Calibri"/>
                <w:color w:val="000000"/>
                <w:kern w:val="0"/>
                <w:lang w:eastAsia="en-IN"/>
                <w14:ligatures w14:val="none"/>
              </w:rPr>
              <w:t>3000</w:t>
            </w:r>
          </w:p>
        </w:tc>
        <w:tc>
          <w:tcPr>
            <w:tcW w:w="960" w:type="dxa"/>
            <w:tcBorders>
              <w:top w:val="nil"/>
              <w:left w:val="nil"/>
              <w:bottom w:val="nil"/>
              <w:right w:val="nil"/>
            </w:tcBorders>
            <w:shd w:val="clear" w:color="auto" w:fill="auto"/>
            <w:noWrap/>
            <w:vAlign w:val="bottom"/>
            <w:hideMark/>
          </w:tcPr>
          <w:p w14:paraId="738CEFDD" w14:textId="77777777" w:rsidR="00282D4D" w:rsidRPr="00282D4D" w:rsidRDefault="00282D4D" w:rsidP="00462840">
            <w:pPr>
              <w:spacing w:after="0" w:line="240" w:lineRule="auto"/>
              <w:jc w:val="both"/>
              <w:rPr>
                <w:rFonts w:ascii="Calibri" w:eastAsia="Times New Roman" w:hAnsi="Calibri" w:cs="Calibri"/>
                <w:color w:val="000000"/>
                <w:kern w:val="0"/>
                <w:lang w:eastAsia="en-IN"/>
                <w14:ligatures w14:val="none"/>
              </w:rPr>
            </w:pPr>
          </w:p>
        </w:tc>
      </w:tr>
      <w:tr w:rsidR="00282D4D" w:rsidRPr="00282D4D" w14:paraId="66D7F11E" w14:textId="77777777" w:rsidTr="00282D4D">
        <w:trPr>
          <w:trHeight w:val="300"/>
        </w:trPr>
        <w:tc>
          <w:tcPr>
            <w:tcW w:w="960" w:type="dxa"/>
            <w:tcBorders>
              <w:top w:val="nil"/>
              <w:left w:val="nil"/>
              <w:bottom w:val="nil"/>
              <w:right w:val="nil"/>
            </w:tcBorders>
            <w:shd w:val="clear" w:color="auto" w:fill="auto"/>
            <w:noWrap/>
            <w:vAlign w:val="bottom"/>
            <w:hideMark/>
          </w:tcPr>
          <w:p w14:paraId="6ABF9689" w14:textId="77777777" w:rsidR="00282D4D" w:rsidRPr="00282D4D" w:rsidRDefault="00282D4D" w:rsidP="00462840">
            <w:pPr>
              <w:spacing w:after="0" w:line="240" w:lineRule="auto"/>
              <w:jc w:val="both"/>
              <w:rPr>
                <w:rFonts w:ascii="Times New Roman" w:eastAsia="Times New Roman" w:hAnsi="Times New Roman" w:cs="Times New Roman"/>
                <w:kern w:val="0"/>
                <w:sz w:val="20"/>
                <w:szCs w:val="20"/>
                <w:lang w:eastAsia="en-IN"/>
                <w14:ligatures w14:val="none"/>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52FEE5D4" w14:textId="77777777" w:rsidR="00282D4D" w:rsidRPr="00282D4D" w:rsidRDefault="00282D4D" w:rsidP="00462840">
            <w:pPr>
              <w:spacing w:after="0" w:line="240" w:lineRule="auto"/>
              <w:jc w:val="both"/>
              <w:rPr>
                <w:rFonts w:ascii="Calibri" w:eastAsia="Times New Roman" w:hAnsi="Calibri" w:cs="Calibri"/>
                <w:color w:val="000000"/>
                <w:kern w:val="0"/>
                <w:lang w:eastAsia="en-IN"/>
                <w14:ligatures w14:val="none"/>
              </w:rPr>
            </w:pPr>
            <w:r w:rsidRPr="00282D4D">
              <w:rPr>
                <w:rFonts w:ascii="Calibri" w:eastAsia="Times New Roman" w:hAnsi="Calibri" w:cs="Calibri"/>
                <w:color w:val="000000"/>
                <w:kern w:val="0"/>
                <w:lang w:eastAsia="en-IN"/>
                <w14:ligatures w14:val="none"/>
              </w:rPr>
              <w:t>2020</w:t>
            </w:r>
          </w:p>
        </w:tc>
        <w:tc>
          <w:tcPr>
            <w:tcW w:w="1940" w:type="dxa"/>
            <w:tcBorders>
              <w:top w:val="nil"/>
              <w:left w:val="nil"/>
              <w:bottom w:val="nil"/>
              <w:right w:val="nil"/>
            </w:tcBorders>
            <w:shd w:val="clear" w:color="auto" w:fill="auto"/>
            <w:noWrap/>
            <w:vAlign w:val="bottom"/>
            <w:hideMark/>
          </w:tcPr>
          <w:p w14:paraId="17C3D614" w14:textId="77777777" w:rsidR="00282D4D" w:rsidRPr="00282D4D" w:rsidRDefault="00282D4D" w:rsidP="00462840">
            <w:pPr>
              <w:spacing w:after="0" w:line="240" w:lineRule="auto"/>
              <w:jc w:val="both"/>
              <w:rPr>
                <w:rFonts w:ascii="Calibri" w:eastAsia="Times New Roman" w:hAnsi="Calibri" w:cs="Calibri"/>
                <w:color w:val="000000"/>
                <w:kern w:val="0"/>
                <w:lang w:eastAsia="en-IN"/>
                <w14:ligatures w14:val="none"/>
              </w:rPr>
            </w:pPr>
            <w:r w:rsidRPr="00282D4D">
              <w:rPr>
                <w:rFonts w:ascii="Calibri" w:eastAsia="Times New Roman" w:hAnsi="Calibri" w:cs="Calibri"/>
                <w:color w:val="000000"/>
                <w:kern w:val="0"/>
                <w:lang w:eastAsia="en-IN"/>
                <w14:ligatures w14:val="none"/>
              </w:rPr>
              <w:t>715</w:t>
            </w:r>
          </w:p>
        </w:tc>
        <w:tc>
          <w:tcPr>
            <w:tcW w:w="2740" w:type="dxa"/>
            <w:tcBorders>
              <w:top w:val="nil"/>
              <w:left w:val="single" w:sz="8" w:space="0" w:color="auto"/>
              <w:bottom w:val="single" w:sz="8" w:space="0" w:color="auto"/>
              <w:right w:val="single" w:sz="8" w:space="0" w:color="auto"/>
            </w:tcBorders>
            <w:shd w:val="clear" w:color="auto" w:fill="auto"/>
            <w:noWrap/>
            <w:vAlign w:val="bottom"/>
            <w:hideMark/>
          </w:tcPr>
          <w:p w14:paraId="4EF86B7F" w14:textId="77777777" w:rsidR="00282D4D" w:rsidRPr="00282D4D" w:rsidRDefault="00282D4D" w:rsidP="00462840">
            <w:pPr>
              <w:spacing w:after="0" w:line="240" w:lineRule="auto"/>
              <w:jc w:val="both"/>
              <w:rPr>
                <w:rFonts w:ascii="Calibri" w:eastAsia="Times New Roman" w:hAnsi="Calibri" w:cs="Calibri"/>
                <w:color w:val="000000"/>
                <w:kern w:val="0"/>
                <w:lang w:eastAsia="en-IN"/>
                <w14:ligatures w14:val="none"/>
              </w:rPr>
            </w:pPr>
            <w:r w:rsidRPr="00282D4D">
              <w:rPr>
                <w:rFonts w:ascii="Calibri" w:eastAsia="Times New Roman" w:hAnsi="Calibri" w:cs="Calibri"/>
                <w:color w:val="000000"/>
                <w:kern w:val="0"/>
                <w:lang w:eastAsia="en-IN"/>
                <w14:ligatures w14:val="none"/>
              </w:rPr>
              <w:t>4500</w:t>
            </w:r>
          </w:p>
        </w:tc>
        <w:tc>
          <w:tcPr>
            <w:tcW w:w="3179" w:type="dxa"/>
            <w:tcBorders>
              <w:top w:val="single" w:sz="8" w:space="0" w:color="auto"/>
              <w:left w:val="nil"/>
              <w:bottom w:val="single" w:sz="8" w:space="0" w:color="auto"/>
              <w:right w:val="single" w:sz="8" w:space="0" w:color="auto"/>
            </w:tcBorders>
            <w:shd w:val="clear" w:color="auto" w:fill="auto"/>
            <w:noWrap/>
            <w:vAlign w:val="bottom"/>
            <w:hideMark/>
          </w:tcPr>
          <w:p w14:paraId="2B40C3C0" w14:textId="77777777" w:rsidR="00282D4D" w:rsidRPr="00282D4D" w:rsidRDefault="00282D4D" w:rsidP="00462840">
            <w:pPr>
              <w:spacing w:after="0" w:line="240" w:lineRule="auto"/>
              <w:jc w:val="both"/>
              <w:rPr>
                <w:rFonts w:ascii="Calibri" w:eastAsia="Times New Roman" w:hAnsi="Calibri" w:cs="Calibri"/>
                <w:color w:val="000000"/>
                <w:kern w:val="0"/>
                <w:lang w:eastAsia="en-IN"/>
                <w14:ligatures w14:val="none"/>
              </w:rPr>
            </w:pPr>
            <w:r w:rsidRPr="00282D4D">
              <w:rPr>
                <w:rFonts w:ascii="Calibri" w:eastAsia="Times New Roman" w:hAnsi="Calibri" w:cs="Calibri"/>
                <w:color w:val="000000"/>
                <w:kern w:val="0"/>
                <w:lang w:eastAsia="en-IN"/>
                <w14:ligatures w14:val="none"/>
              </w:rPr>
              <w:t>3200</w:t>
            </w:r>
          </w:p>
        </w:tc>
        <w:tc>
          <w:tcPr>
            <w:tcW w:w="960" w:type="dxa"/>
            <w:tcBorders>
              <w:top w:val="nil"/>
              <w:left w:val="nil"/>
              <w:bottom w:val="nil"/>
              <w:right w:val="nil"/>
            </w:tcBorders>
            <w:shd w:val="clear" w:color="auto" w:fill="auto"/>
            <w:noWrap/>
            <w:vAlign w:val="bottom"/>
            <w:hideMark/>
          </w:tcPr>
          <w:p w14:paraId="6EA263B4" w14:textId="77777777" w:rsidR="00282D4D" w:rsidRPr="00282D4D" w:rsidRDefault="00282D4D" w:rsidP="00462840">
            <w:pPr>
              <w:spacing w:after="0" w:line="240" w:lineRule="auto"/>
              <w:jc w:val="both"/>
              <w:rPr>
                <w:rFonts w:ascii="Calibri" w:eastAsia="Times New Roman" w:hAnsi="Calibri" w:cs="Calibri"/>
                <w:color w:val="000000"/>
                <w:kern w:val="0"/>
                <w:lang w:eastAsia="en-IN"/>
                <w14:ligatures w14:val="none"/>
              </w:rPr>
            </w:pPr>
          </w:p>
        </w:tc>
      </w:tr>
      <w:tr w:rsidR="00282D4D" w:rsidRPr="00282D4D" w14:paraId="060FC6BE" w14:textId="77777777" w:rsidTr="00282D4D">
        <w:trPr>
          <w:trHeight w:val="300"/>
        </w:trPr>
        <w:tc>
          <w:tcPr>
            <w:tcW w:w="960" w:type="dxa"/>
            <w:tcBorders>
              <w:top w:val="nil"/>
              <w:left w:val="nil"/>
              <w:bottom w:val="nil"/>
              <w:right w:val="nil"/>
            </w:tcBorders>
            <w:shd w:val="clear" w:color="auto" w:fill="auto"/>
            <w:noWrap/>
            <w:vAlign w:val="bottom"/>
            <w:hideMark/>
          </w:tcPr>
          <w:p w14:paraId="0549E824" w14:textId="77777777" w:rsidR="00282D4D" w:rsidRPr="00282D4D" w:rsidRDefault="00282D4D" w:rsidP="00462840">
            <w:pPr>
              <w:spacing w:after="0" w:line="240" w:lineRule="auto"/>
              <w:jc w:val="both"/>
              <w:rPr>
                <w:rFonts w:ascii="Times New Roman" w:eastAsia="Times New Roman" w:hAnsi="Times New Roman" w:cs="Times New Roman"/>
                <w:kern w:val="0"/>
                <w:sz w:val="20"/>
                <w:szCs w:val="20"/>
                <w:lang w:eastAsia="en-IN"/>
                <w14:ligatures w14:val="none"/>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7F5B5131" w14:textId="77777777" w:rsidR="00282D4D" w:rsidRPr="00282D4D" w:rsidRDefault="00282D4D" w:rsidP="00462840">
            <w:pPr>
              <w:spacing w:after="0" w:line="240" w:lineRule="auto"/>
              <w:jc w:val="both"/>
              <w:rPr>
                <w:rFonts w:ascii="Calibri" w:eastAsia="Times New Roman" w:hAnsi="Calibri" w:cs="Calibri"/>
                <w:color w:val="000000"/>
                <w:kern w:val="0"/>
                <w:lang w:eastAsia="en-IN"/>
                <w14:ligatures w14:val="none"/>
              </w:rPr>
            </w:pPr>
            <w:r w:rsidRPr="00282D4D">
              <w:rPr>
                <w:rFonts w:ascii="Calibri" w:eastAsia="Times New Roman" w:hAnsi="Calibri" w:cs="Calibri"/>
                <w:color w:val="000000"/>
                <w:kern w:val="0"/>
                <w:lang w:eastAsia="en-IN"/>
                <w14:ligatures w14:val="none"/>
              </w:rPr>
              <w:t>2021</w:t>
            </w:r>
          </w:p>
        </w:tc>
        <w:tc>
          <w:tcPr>
            <w:tcW w:w="1940" w:type="dxa"/>
            <w:tcBorders>
              <w:top w:val="single" w:sz="8" w:space="0" w:color="auto"/>
              <w:left w:val="nil"/>
              <w:bottom w:val="single" w:sz="8" w:space="0" w:color="auto"/>
              <w:right w:val="single" w:sz="8" w:space="0" w:color="auto"/>
            </w:tcBorders>
            <w:shd w:val="clear" w:color="auto" w:fill="auto"/>
            <w:noWrap/>
            <w:vAlign w:val="bottom"/>
            <w:hideMark/>
          </w:tcPr>
          <w:p w14:paraId="6D46B3C4" w14:textId="77777777" w:rsidR="00282D4D" w:rsidRPr="00282D4D" w:rsidRDefault="00282D4D" w:rsidP="00462840">
            <w:pPr>
              <w:spacing w:after="0" w:line="240" w:lineRule="auto"/>
              <w:jc w:val="both"/>
              <w:rPr>
                <w:rFonts w:ascii="Calibri" w:eastAsia="Times New Roman" w:hAnsi="Calibri" w:cs="Calibri"/>
                <w:color w:val="000000"/>
                <w:kern w:val="0"/>
                <w:lang w:eastAsia="en-IN"/>
                <w14:ligatures w14:val="none"/>
              </w:rPr>
            </w:pPr>
            <w:r w:rsidRPr="00282D4D">
              <w:rPr>
                <w:rFonts w:ascii="Calibri" w:eastAsia="Times New Roman" w:hAnsi="Calibri" w:cs="Calibri"/>
                <w:color w:val="000000"/>
                <w:kern w:val="0"/>
                <w:lang w:eastAsia="en-IN"/>
                <w14:ligatures w14:val="none"/>
              </w:rPr>
              <w:t>697</w:t>
            </w:r>
          </w:p>
        </w:tc>
        <w:tc>
          <w:tcPr>
            <w:tcW w:w="2740" w:type="dxa"/>
            <w:tcBorders>
              <w:top w:val="nil"/>
              <w:left w:val="nil"/>
              <w:bottom w:val="nil"/>
              <w:right w:val="nil"/>
            </w:tcBorders>
            <w:shd w:val="clear" w:color="auto" w:fill="auto"/>
            <w:noWrap/>
            <w:vAlign w:val="bottom"/>
            <w:hideMark/>
          </w:tcPr>
          <w:p w14:paraId="4C6B66DB" w14:textId="77777777" w:rsidR="00282D4D" w:rsidRPr="00282D4D" w:rsidRDefault="00282D4D" w:rsidP="00462840">
            <w:pPr>
              <w:spacing w:after="0" w:line="240" w:lineRule="auto"/>
              <w:jc w:val="both"/>
              <w:rPr>
                <w:rFonts w:ascii="Calibri" w:eastAsia="Times New Roman" w:hAnsi="Calibri" w:cs="Calibri"/>
                <w:color w:val="000000"/>
                <w:kern w:val="0"/>
                <w:lang w:eastAsia="en-IN"/>
                <w14:ligatures w14:val="none"/>
              </w:rPr>
            </w:pPr>
            <w:r w:rsidRPr="00282D4D">
              <w:rPr>
                <w:rFonts w:ascii="Calibri" w:eastAsia="Times New Roman" w:hAnsi="Calibri" w:cs="Calibri"/>
                <w:color w:val="000000"/>
                <w:kern w:val="0"/>
                <w:lang w:eastAsia="en-IN"/>
                <w14:ligatures w14:val="none"/>
              </w:rPr>
              <w:t>3800</w:t>
            </w:r>
          </w:p>
        </w:tc>
        <w:tc>
          <w:tcPr>
            <w:tcW w:w="3179" w:type="dxa"/>
            <w:tcBorders>
              <w:top w:val="nil"/>
              <w:left w:val="single" w:sz="8" w:space="0" w:color="auto"/>
              <w:bottom w:val="single" w:sz="8" w:space="0" w:color="auto"/>
              <w:right w:val="single" w:sz="8" w:space="0" w:color="auto"/>
            </w:tcBorders>
            <w:shd w:val="clear" w:color="auto" w:fill="auto"/>
            <w:noWrap/>
            <w:vAlign w:val="bottom"/>
            <w:hideMark/>
          </w:tcPr>
          <w:p w14:paraId="4F55B4C0" w14:textId="77777777" w:rsidR="00282D4D" w:rsidRPr="00282D4D" w:rsidRDefault="00282D4D" w:rsidP="00462840">
            <w:pPr>
              <w:spacing w:after="0" w:line="240" w:lineRule="auto"/>
              <w:jc w:val="both"/>
              <w:rPr>
                <w:rFonts w:ascii="Calibri" w:eastAsia="Times New Roman" w:hAnsi="Calibri" w:cs="Calibri"/>
                <w:color w:val="000000"/>
                <w:kern w:val="0"/>
                <w:lang w:eastAsia="en-IN"/>
                <w14:ligatures w14:val="none"/>
              </w:rPr>
            </w:pPr>
            <w:r w:rsidRPr="00282D4D">
              <w:rPr>
                <w:rFonts w:ascii="Calibri" w:eastAsia="Times New Roman" w:hAnsi="Calibri" w:cs="Calibri"/>
                <w:color w:val="000000"/>
                <w:kern w:val="0"/>
                <w:lang w:eastAsia="en-IN"/>
                <w14:ligatures w14:val="none"/>
              </w:rPr>
              <w:t>3100</w:t>
            </w:r>
          </w:p>
        </w:tc>
        <w:tc>
          <w:tcPr>
            <w:tcW w:w="960" w:type="dxa"/>
            <w:tcBorders>
              <w:top w:val="nil"/>
              <w:left w:val="nil"/>
              <w:bottom w:val="nil"/>
              <w:right w:val="nil"/>
            </w:tcBorders>
            <w:shd w:val="clear" w:color="auto" w:fill="auto"/>
            <w:noWrap/>
            <w:vAlign w:val="bottom"/>
            <w:hideMark/>
          </w:tcPr>
          <w:p w14:paraId="260417BF" w14:textId="77777777" w:rsidR="00282D4D" w:rsidRPr="00282D4D" w:rsidRDefault="00282D4D" w:rsidP="00462840">
            <w:pPr>
              <w:spacing w:after="0" w:line="240" w:lineRule="auto"/>
              <w:jc w:val="both"/>
              <w:rPr>
                <w:rFonts w:ascii="Calibri" w:eastAsia="Times New Roman" w:hAnsi="Calibri" w:cs="Calibri"/>
                <w:color w:val="000000"/>
                <w:kern w:val="0"/>
                <w:lang w:eastAsia="en-IN"/>
                <w14:ligatures w14:val="none"/>
              </w:rPr>
            </w:pPr>
          </w:p>
        </w:tc>
      </w:tr>
      <w:tr w:rsidR="00282D4D" w:rsidRPr="00282D4D" w14:paraId="5BB4E601" w14:textId="77777777" w:rsidTr="00282D4D">
        <w:trPr>
          <w:trHeight w:val="300"/>
        </w:trPr>
        <w:tc>
          <w:tcPr>
            <w:tcW w:w="960" w:type="dxa"/>
            <w:tcBorders>
              <w:top w:val="nil"/>
              <w:left w:val="nil"/>
              <w:bottom w:val="nil"/>
              <w:right w:val="nil"/>
            </w:tcBorders>
            <w:shd w:val="clear" w:color="auto" w:fill="auto"/>
            <w:noWrap/>
            <w:vAlign w:val="bottom"/>
            <w:hideMark/>
          </w:tcPr>
          <w:p w14:paraId="26481E06" w14:textId="77777777" w:rsidR="00282D4D" w:rsidRPr="00282D4D" w:rsidRDefault="00282D4D" w:rsidP="00462840">
            <w:pPr>
              <w:spacing w:after="0" w:line="240" w:lineRule="auto"/>
              <w:jc w:val="both"/>
              <w:rPr>
                <w:rFonts w:ascii="Times New Roman" w:eastAsia="Times New Roman" w:hAnsi="Times New Roman" w:cs="Times New Roman"/>
                <w:kern w:val="0"/>
                <w:sz w:val="20"/>
                <w:szCs w:val="20"/>
                <w:lang w:eastAsia="en-IN"/>
                <w14:ligatures w14:val="none"/>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37B48C18" w14:textId="77777777" w:rsidR="00282D4D" w:rsidRPr="00282D4D" w:rsidRDefault="00282D4D" w:rsidP="00462840">
            <w:pPr>
              <w:spacing w:after="0" w:line="240" w:lineRule="auto"/>
              <w:jc w:val="both"/>
              <w:rPr>
                <w:rFonts w:ascii="Calibri" w:eastAsia="Times New Roman" w:hAnsi="Calibri" w:cs="Calibri"/>
                <w:color w:val="000000"/>
                <w:kern w:val="0"/>
                <w:lang w:eastAsia="en-IN"/>
                <w14:ligatures w14:val="none"/>
              </w:rPr>
            </w:pPr>
            <w:r w:rsidRPr="00282D4D">
              <w:rPr>
                <w:rFonts w:ascii="Calibri" w:eastAsia="Times New Roman" w:hAnsi="Calibri" w:cs="Calibri"/>
                <w:color w:val="000000"/>
                <w:kern w:val="0"/>
                <w:lang w:eastAsia="en-IN"/>
                <w14:ligatures w14:val="none"/>
              </w:rPr>
              <w:t>2022</w:t>
            </w:r>
          </w:p>
        </w:tc>
        <w:tc>
          <w:tcPr>
            <w:tcW w:w="1940" w:type="dxa"/>
            <w:tcBorders>
              <w:top w:val="nil"/>
              <w:left w:val="nil"/>
              <w:bottom w:val="nil"/>
              <w:right w:val="nil"/>
            </w:tcBorders>
            <w:shd w:val="clear" w:color="auto" w:fill="auto"/>
            <w:noWrap/>
            <w:vAlign w:val="bottom"/>
            <w:hideMark/>
          </w:tcPr>
          <w:p w14:paraId="246F4C3D" w14:textId="77777777" w:rsidR="00282D4D" w:rsidRPr="00282D4D" w:rsidRDefault="00282D4D" w:rsidP="00462840">
            <w:pPr>
              <w:spacing w:after="0" w:line="240" w:lineRule="auto"/>
              <w:jc w:val="both"/>
              <w:rPr>
                <w:rFonts w:ascii="Calibri" w:eastAsia="Times New Roman" w:hAnsi="Calibri" w:cs="Calibri"/>
                <w:color w:val="000000"/>
                <w:kern w:val="0"/>
                <w:lang w:eastAsia="en-IN"/>
                <w14:ligatures w14:val="none"/>
              </w:rPr>
            </w:pPr>
            <w:r w:rsidRPr="00282D4D">
              <w:rPr>
                <w:rFonts w:ascii="Calibri" w:eastAsia="Times New Roman" w:hAnsi="Calibri" w:cs="Calibri"/>
                <w:color w:val="000000"/>
                <w:kern w:val="0"/>
                <w:lang w:eastAsia="en-IN"/>
                <w14:ligatures w14:val="none"/>
              </w:rPr>
              <w:t>760</w:t>
            </w:r>
          </w:p>
        </w:tc>
        <w:tc>
          <w:tcPr>
            <w:tcW w:w="27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CCC79A1" w14:textId="77777777" w:rsidR="00282D4D" w:rsidRPr="00282D4D" w:rsidRDefault="00282D4D" w:rsidP="00462840">
            <w:pPr>
              <w:spacing w:after="0" w:line="240" w:lineRule="auto"/>
              <w:jc w:val="both"/>
              <w:rPr>
                <w:rFonts w:ascii="Calibri" w:eastAsia="Times New Roman" w:hAnsi="Calibri" w:cs="Calibri"/>
                <w:color w:val="000000"/>
                <w:kern w:val="0"/>
                <w:lang w:eastAsia="en-IN"/>
                <w14:ligatures w14:val="none"/>
              </w:rPr>
            </w:pPr>
            <w:r w:rsidRPr="00282D4D">
              <w:rPr>
                <w:rFonts w:ascii="Calibri" w:eastAsia="Times New Roman" w:hAnsi="Calibri" w:cs="Calibri"/>
                <w:color w:val="000000"/>
                <w:kern w:val="0"/>
                <w:lang w:eastAsia="en-IN"/>
                <w14:ligatures w14:val="none"/>
              </w:rPr>
              <w:t>5100</w:t>
            </w:r>
          </w:p>
        </w:tc>
        <w:tc>
          <w:tcPr>
            <w:tcW w:w="3179" w:type="dxa"/>
            <w:tcBorders>
              <w:top w:val="nil"/>
              <w:left w:val="nil"/>
              <w:bottom w:val="single" w:sz="8" w:space="0" w:color="auto"/>
              <w:right w:val="single" w:sz="8" w:space="0" w:color="auto"/>
            </w:tcBorders>
            <w:shd w:val="clear" w:color="auto" w:fill="auto"/>
            <w:noWrap/>
            <w:vAlign w:val="bottom"/>
            <w:hideMark/>
          </w:tcPr>
          <w:p w14:paraId="2B62FB8B" w14:textId="77777777" w:rsidR="00282D4D" w:rsidRPr="00282D4D" w:rsidRDefault="00282D4D" w:rsidP="00462840">
            <w:pPr>
              <w:spacing w:after="0" w:line="240" w:lineRule="auto"/>
              <w:jc w:val="both"/>
              <w:rPr>
                <w:rFonts w:ascii="Calibri" w:eastAsia="Times New Roman" w:hAnsi="Calibri" w:cs="Calibri"/>
                <w:color w:val="000000"/>
                <w:kern w:val="0"/>
                <w:lang w:eastAsia="en-IN"/>
                <w14:ligatures w14:val="none"/>
              </w:rPr>
            </w:pPr>
            <w:r w:rsidRPr="00282D4D">
              <w:rPr>
                <w:rFonts w:ascii="Calibri" w:eastAsia="Times New Roman" w:hAnsi="Calibri" w:cs="Calibri"/>
                <w:color w:val="000000"/>
                <w:kern w:val="0"/>
                <w:lang w:eastAsia="en-IN"/>
                <w14:ligatures w14:val="none"/>
              </w:rPr>
              <w:t>3500</w:t>
            </w:r>
          </w:p>
        </w:tc>
        <w:tc>
          <w:tcPr>
            <w:tcW w:w="960" w:type="dxa"/>
            <w:tcBorders>
              <w:top w:val="nil"/>
              <w:left w:val="nil"/>
              <w:bottom w:val="nil"/>
              <w:right w:val="nil"/>
            </w:tcBorders>
            <w:shd w:val="clear" w:color="auto" w:fill="auto"/>
            <w:noWrap/>
            <w:vAlign w:val="bottom"/>
            <w:hideMark/>
          </w:tcPr>
          <w:p w14:paraId="0F58C61C" w14:textId="77777777" w:rsidR="00282D4D" w:rsidRPr="00282D4D" w:rsidRDefault="00282D4D" w:rsidP="00462840">
            <w:pPr>
              <w:spacing w:after="0" w:line="240" w:lineRule="auto"/>
              <w:jc w:val="both"/>
              <w:rPr>
                <w:rFonts w:ascii="Calibri" w:eastAsia="Times New Roman" w:hAnsi="Calibri" w:cs="Calibri"/>
                <w:color w:val="000000"/>
                <w:kern w:val="0"/>
                <w:lang w:eastAsia="en-IN"/>
                <w14:ligatures w14:val="none"/>
              </w:rPr>
            </w:pPr>
          </w:p>
        </w:tc>
      </w:tr>
      <w:tr w:rsidR="00282D4D" w:rsidRPr="00282D4D" w14:paraId="6C19220D" w14:textId="77777777" w:rsidTr="00282D4D">
        <w:trPr>
          <w:trHeight w:val="300"/>
        </w:trPr>
        <w:tc>
          <w:tcPr>
            <w:tcW w:w="960" w:type="dxa"/>
            <w:tcBorders>
              <w:top w:val="nil"/>
              <w:left w:val="nil"/>
              <w:bottom w:val="nil"/>
              <w:right w:val="nil"/>
            </w:tcBorders>
            <w:shd w:val="clear" w:color="auto" w:fill="auto"/>
            <w:noWrap/>
            <w:vAlign w:val="bottom"/>
            <w:hideMark/>
          </w:tcPr>
          <w:p w14:paraId="45E8994B" w14:textId="77777777" w:rsidR="00282D4D" w:rsidRPr="00282D4D" w:rsidRDefault="00282D4D" w:rsidP="00462840">
            <w:pPr>
              <w:spacing w:after="0" w:line="240" w:lineRule="auto"/>
              <w:jc w:val="both"/>
              <w:rPr>
                <w:rFonts w:ascii="Times New Roman" w:eastAsia="Times New Roman" w:hAnsi="Times New Roman" w:cs="Times New Roman"/>
                <w:kern w:val="0"/>
                <w:sz w:val="20"/>
                <w:szCs w:val="20"/>
                <w:lang w:eastAsia="en-IN"/>
                <w14:ligatures w14:val="none"/>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074D9F6D" w14:textId="77777777" w:rsidR="00282D4D" w:rsidRPr="00282D4D" w:rsidRDefault="00282D4D" w:rsidP="00462840">
            <w:pPr>
              <w:spacing w:after="0" w:line="240" w:lineRule="auto"/>
              <w:jc w:val="both"/>
              <w:rPr>
                <w:rFonts w:ascii="Calibri" w:eastAsia="Times New Roman" w:hAnsi="Calibri" w:cs="Calibri"/>
                <w:color w:val="000000"/>
                <w:kern w:val="0"/>
                <w:lang w:eastAsia="en-IN"/>
                <w14:ligatures w14:val="none"/>
              </w:rPr>
            </w:pPr>
            <w:r w:rsidRPr="00282D4D">
              <w:rPr>
                <w:rFonts w:ascii="Calibri" w:eastAsia="Times New Roman" w:hAnsi="Calibri" w:cs="Calibri"/>
                <w:color w:val="000000"/>
                <w:kern w:val="0"/>
                <w:lang w:eastAsia="en-IN"/>
                <w14:ligatures w14:val="none"/>
              </w:rPr>
              <w:t>2023</w:t>
            </w:r>
          </w:p>
        </w:tc>
        <w:tc>
          <w:tcPr>
            <w:tcW w:w="1940" w:type="dxa"/>
            <w:tcBorders>
              <w:top w:val="single" w:sz="8" w:space="0" w:color="auto"/>
              <w:left w:val="nil"/>
              <w:bottom w:val="single" w:sz="8" w:space="0" w:color="auto"/>
              <w:right w:val="single" w:sz="8" w:space="0" w:color="auto"/>
            </w:tcBorders>
            <w:shd w:val="clear" w:color="auto" w:fill="auto"/>
            <w:noWrap/>
            <w:vAlign w:val="bottom"/>
            <w:hideMark/>
          </w:tcPr>
          <w:p w14:paraId="47E9CF85" w14:textId="77777777" w:rsidR="00282D4D" w:rsidRPr="00282D4D" w:rsidRDefault="00282D4D" w:rsidP="00462840">
            <w:pPr>
              <w:spacing w:after="0" w:line="240" w:lineRule="auto"/>
              <w:jc w:val="both"/>
              <w:rPr>
                <w:rFonts w:ascii="Calibri" w:eastAsia="Times New Roman" w:hAnsi="Calibri" w:cs="Calibri"/>
                <w:color w:val="000000"/>
                <w:kern w:val="0"/>
                <w:lang w:eastAsia="en-IN"/>
                <w14:ligatures w14:val="none"/>
              </w:rPr>
            </w:pPr>
            <w:r w:rsidRPr="00282D4D">
              <w:rPr>
                <w:rFonts w:ascii="Calibri" w:eastAsia="Times New Roman" w:hAnsi="Calibri" w:cs="Calibri"/>
                <w:color w:val="000000"/>
                <w:kern w:val="0"/>
                <w:lang w:eastAsia="en-IN"/>
                <w14:ligatures w14:val="none"/>
              </w:rPr>
              <w:t>803</w:t>
            </w:r>
          </w:p>
        </w:tc>
        <w:tc>
          <w:tcPr>
            <w:tcW w:w="2740" w:type="dxa"/>
            <w:tcBorders>
              <w:top w:val="nil"/>
              <w:left w:val="nil"/>
              <w:bottom w:val="single" w:sz="8" w:space="0" w:color="auto"/>
              <w:right w:val="nil"/>
            </w:tcBorders>
            <w:shd w:val="clear" w:color="auto" w:fill="auto"/>
            <w:noWrap/>
            <w:vAlign w:val="bottom"/>
            <w:hideMark/>
          </w:tcPr>
          <w:p w14:paraId="6FCB009F" w14:textId="77777777" w:rsidR="00282D4D" w:rsidRPr="00282D4D" w:rsidRDefault="00282D4D" w:rsidP="00462840">
            <w:pPr>
              <w:spacing w:after="0" w:line="240" w:lineRule="auto"/>
              <w:jc w:val="both"/>
              <w:rPr>
                <w:rFonts w:ascii="Calibri" w:eastAsia="Times New Roman" w:hAnsi="Calibri" w:cs="Calibri"/>
                <w:color w:val="000000"/>
                <w:kern w:val="0"/>
                <w:lang w:eastAsia="en-IN"/>
                <w14:ligatures w14:val="none"/>
              </w:rPr>
            </w:pPr>
            <w:r w:rsidRPr="00282D4D">
              <w:rPr>
                <w:rFonts w:ascii="Calibri" w:eastAsia="Times New Roman" w:hAnsi="Calibri" w:cs="Calibri"/>
                <w:color w:val="000000"/>
                <w:kern w:val="0"/>
                <w:lang w:eastAsia="en-IN"/>
                <w14:ligatures w14:val="none"/>
              </w:rPr>
              <w:t>5800</w:t>
            </w:r>
          </w:p>
        </w:tc>
        <w:tc>
          <w:tcPr>
            <w:tcW w:w="3179" w:type="dxa"/>
            <w:tcBorders>
              <w:top w:val="nil"/>
              <w:left w:val="single" w:sz="8" w:space="0" w:color="auto"/>
              <w:bottom w:val="single" w:sz="8" w:space="0" w:color="auto"/>
              <w:right w:val="single" w:sz="8" w:space="0" w:color="auto"/>
            </w:tcBorders>
            <w:shd w:val="clear" w:color="auto" w:fill="auto"/>
            <w:noWrap/>
            <w:vAlign w:val="bottom"/>
            <w:hideMark/>
          </w:tcPr>
          <w:p w14:paraId="59E3D5C3" w14:textId="77777777" w:rsidR="00282D4D" w:rsidRPr="00282D4D" w:rsidRDefault="00282D4D" w:rsidP="00462840">
            <w:pPr>
              <w:spacing w:after="0" w:line="240" w:lineRule="auto"/>
              <w:jc w:val="both"/>
              <w:rPr>
                <w:rFonts w:ascii="Calibri" w:eastAsia="Times New Roman" w:hAnsi="Calibri" w:cs="Calibri"/>
                <w:color w:val="000000"/>
                <w:kern w:val="0"/>
                <w:lang w:eastAsia="en-IN"/>
                <w14:ligatures w14:val="none"/>
              </w:rPr>
            </w:pPr>
            <w:r w:rsidRPr="00282D4D">
              <w:rPr>
                <w:rFonts w:ascii="Calibri" w:eastAsia="Times New Roman" w:hAnsi="Calibri" w:cs="Calibri"/>
                <w:color w:val="000000"/>
                <w:kern w:val="0"/>
                <w:lang w:eastAsia="en-IN"/>
                <w14:ligatures w14:val="none"/>
              </w:rPr>
              <w:t>4000</w:t>
            </w:r>
          </w:p>
        </w:tc>
        <w:tc>
          <w:tcPr>
            <w:tcW w:w="960" w:type="dxa"/>
            <w:tcBorders>
              <w:top w:val="nil"/>
              <w:left w:val="nil"/>
              <w:bottom w:val="nil"/>
              <w:right w:val="nil"/>
            </w:tcBorders>
            <w:shd w:val="clear" w:color="auto" w:fill="auto"/>
            <w:noWrap/>
            <w:vAlign w:val="bottom"/>
            <w:hideMark/>
          </w:tcPr>
          <w:p w14:paraId="148C7960" w14:textId="77777777" w:rsidR="00282D4D" w:rsidRPr="00282D4D" w:rsidRDefault="00282D4D" w:rsidP="00462840">
            <w:pPr>
              <w:spacing w:after="0" w:line="240" w:lineRule="auto"/>
              <w:jc w:val="both"/>
              <w:rPr>
                <w:rFonts w:ascii="Calibri" w:eastAsia="Times New Roman" w:hAnsi="Calibri" w:cs="Calibri"/>
                <w:color w:val="000000"/>
                <w:kern w:val="0"/>
                <w:lang w:eastAsia="en-IN"/>
                <w14:ligatures w14:val="none"/>
              </w:rPr>
            </w:pPr>
          </w:p>
        </w:tc>
      </w:tr>
    </w:tbl>
    <w:p w14:paraId="0AFB81EE" w14:textId="77777777" w:rsidR="00282D4D" w:rsidRPr="00243855" w:rsidRDefault="00282D4D" w:rsidP="00462840">
      <w:pPr>
        <w:shd w:val="clear" w:color="auto" w:fill="FFFFFF"/>
        <w:spacing w:before="100" w:beforeAutospacing="1" w:after="100" w:afterAutospacing="1" w:line="240" w:lineRule="auto"/>
        <w:ind w:left="720"/>
        <w:jc w:val="both"/>
        <w:rPr>
          <w:rFonts w:eastAsia="Times New Roman" w:cstheme="minorHAnsi"/>
          <w:color w:val="111111"/>
          <w:spacing w:val="1"/>
          <w:kern w:val="0"/>
          <w:sz w:val="24"/>
          <w:szCs w:val="24"/>
          <w:lang w:eastAsia="en-IN"/>
          <w14:ligatures w14:val="none"/>
        </w:rPr>
      </w:pPr>
    </w:p>
    <w:p w14:paraId="2C5DF523" w14:textId="77777777" w:rsidR="00243855" w:rsidRPr="00243855" w:rsidRDefault="00243855" w:rsidP="00462840">
      <w:pPr>
        <w:shd w:val="clear" w:color="auto" w:fill="FFFFFF"/>
        <w:spacing w:before="100" w:beforeAutospacing="1" w:after="0" w:line="240" w:lineRule="auto"/>
        <w:ind w:left="720"/>
        <w:jc w:val="both"/>
        <w:rPr>
          <w:rFonts w:eastAsia="Times New Roman" w:cstheme="minorHAnsi"/>
          <w:color w:val="111111"/>
          <w:spacing w:val="1"/>
          <w:kern w:val="0"/>
          <w:sz w:val="24"/>
          <w:szCs w:val="24"/>
          <w:lang w:eastAsia="en-IN"/>
          <w14:ligatures w14:val="none"/>
        </w:rPr>
      </w:pPr>
    </w:p>
    <w:p w14:paraId="18E2E90D" w14:textId="3DCDBA0C" w:rsidR="008F4A62" w:rsidRDefault="00243855" w:rsidP="00462840">
      <w:pPr>
        <w:pStyle w:val="ListParagraph"/>
        <w:jc w:val="both"/>
        <w:rPr>
          <w:rFonts w:ascii="Arial" w:hAnsi="Arial" w:cs="Arial"/>
          <w:b/>
          <w:bCs/>
          <w:sz w:val="52"/>
          <w:szCs w:val="52"/>
          <w:lang w:val="en-US"/>
        </w:rPr>
      </w:pPr>
      <w:r w:rsidRPr="00243855">
        <w:rPr>
          <w:rFonts w:ascii="Arial" w:hAnsi="Arial" w:cs="Arial"/>
          <w:b/>
          <w:bCs/>
          <w:sz w:val="52"/>
          <w:szCs w:val="52"/>
          <w:lang w:val="en-US"/>
        </w:rPr>
        <w:lastRenderedPageBreak/>
        <w:drawing>
          <wp:inline distT="0" distB="0" distL="0" distR="0" wp14:anchorId="186733C8" wp14:editId="05608301">
            <wp:extent cx="5301913" cy="2603715"/>
            <wp:effectExtent l="0" t="0" r="0" b="6350"/>
            <wp:docPr id="65822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29343" name=""/>
                    <pic:cNvPicPr/>
                  </pic:nvPicPr>
                  <pic:blipFill rotWithShape="1">
                    <a:blip r:embed="rId8"/>
                    <a:srcRect t="1891" b="-1"/>
                    <a:stretch/>
                  </pic:blipFill>
                  <pic:spPr bwMode="auto">
                    <a:xfrm>
                      <a:off x="0" y="0"/>
                      <a:ext cx="5332560" cy="2618765"/>
                    </a:xfrm>
                    <a:prstGeom prst="rect">
                      <a:avLst/>
                    </a:prstGeom>
                    <a:ln>
                      <a:noFill/>
                    </a:ln>
                    <a:extLst>
                      <a:ext uri="{53640926-AAD7-44D8-BBD7-CCE9431645EC}">
                        <a14:shadowObscured xmlns:a14="http://schemas.microsoft.com/office/drawing/2010/main"/>
                      </a:ext>
                    </a:extLst>
                  </pic:spPr>
                </pic:pic>
              </a:graphicData>
            </a:graphic>
          </wp:inline>
        </w:drawing>
      </w:r>
    </w:p>
    <w:p w14:paraId="0F46C682" w14:textId="77777777" w:rsidR="00243855" w:rsidRDefault="00243855" w:rsidP="00462840">
      <w:pPr>
        <w:pStyle w:val="ListParagraph"/>
        <w:jc w:val="both"/>
        <w:rPr>
          <w:rFonts w:cstheme="minorHAnsi"/>
          <w:color w:val="111111"/>
          <w:spacing w:val="1"/>
          <w:sz w:val="24"/>
          <w:szCs w:val="24"/>
          <w:shd w:val="clear" w:color="auto" w:fill="FFFFFF"/>
        </w:rPr>
      </w:pPr>
    </w:p>
    <w:p w14:paraId="0B10765D" w14:textId="2AE4315F" w:rsidR="00243855" w:rsidRDefault="00243855" w:rsidP="002C2871">
      <w:pPr>
        <w:pStyle w:val="ListParagraph"/>
        <w:ind w:left="57"/>
        <w:jc w:val="both"/>
        <w:rPr>
          <w:rFonts w:cstheme="minorHAnsi"/>
          <w:color w:val="111111"/>
          <w:spacing w:val="1"/>
          <w:sz w:val="24"/>
          <w:szCs w:val="24"/>
          <w:shd w:val="clear" w:color="auto" w:fill="FFFFFF"/>
        </w:rPr>
      </w:pPr>
      <w:r w:rsidRPr="00243855">
        <w:rPr>
          <w:rFonts w:cstheme="minorHAnsi"/>
          <w:color w:val="111111"/>
          <w:spacing w:val="1"/>
          <w:sz w:val="24"/>
          <w:szCs w:val="24"/>
          <w:shd w:val="clear" w:color="auto" w:fill="FFFFFF"/>
        </w:rPr>
        <w:t>The SEC’s triple mandate of investor protection, maintenance of orderly markets, and facilitation of capital formation makes it one of the most important entities in capital and financial markets. The increasing complexity of these markets will continue to give the SEC a prominent role in ensuring that they function smoothly and offer all investors a level playing field.</w:t>
      </w:r>
    </w:p>
    <w:p w14:paraId="7DE82900" w14:textId="77777777" w:rsidR="00F1557F" w:rsidRDefault="00F1557F" w:rsidP="002C2871">
      <w:pPr>
        <w:pStyle w:val="ListParagraph"/>
        <w:ind w:left="57"/>
        <w:jc w:val="both"/>
        <w:rPr>
          <w:rFonts w:cstheme="minorHAnsi"/>
          <w:color w:val="111111"/>
          <w:spacing w:val="1"/>
          <w:sz w:val="24"/>
          <w:szCs w:val="24"/>
          <w:shd w:val="clear" w:color="auto" w:fill="FFFFFF"/>
        </w:rPr>
      </w:pPr>
    </w:p>
    <w:p w14:paraId="3574AC66" w14:textId="77777777" w:rsidR="00F1557F" w:rsidRDefault="00F1557F" w:rsidP="002C2871">
      <w:pPr>
        <w:pStyle w:val="ListParagraph"/>
        <w:ind w:left="57"/>
        <w:jc w:val="both"/>
        <w:rPr>
          <w:rFonts w:cstheme="minorHAnsi"/>
          <w:color w:val="111111"/>
          <w:spacing w:val="1"/>
          <w:sz w:val="24"/>
          <w:szCs w:val="24"/>
          <w:shd w:val="clear" w:color="auto" w:fill="FFFFFF"/>
        </w:rPr>
      </w:pPr>
    </w:p>
    <w:p w14:paraId="112A2772" w14:textId="77777777" w:rsidR="00F1557F" w:rsidRDefault="00F1557F" w:rsidP="002C2871">
      <w:pPr>
        <w:pStyle w:val="ListParagraph"/>
        <w:ind w:left="57"/>
        <w:jc w:val="both"/>
        <w:rPr>
          <w:rFonts w:cstheme="minorHAnsi"/>
          <w:color w:val="111111"/>
          <w:spacing w:val="1"/>
          <w:sz w:val="24"/>
          <w:szCs w:val="24"/>
          <w:shd w:val="clear" w:color="auto" w:fill="FFFFFF"/>
        </w:rPr>
      </w:pPr>
    </w:p>
    <w:p w14:paraId="1177B04E" w14:textId="77777777" w:rsidR="00F1557F" w:rsidRDefault="00F1557F" w:rsidP="002C2871">
      <w:pPr>
        <w:pStyle w:val="ListParagraph"/>
        <w:ind w:left="57"/>
        <w:jc w:val="both"/>
        <w:rPr>
          <w:rFonts w:cstheme="minorHAnsi"/>
          <w:color w:val="111111"/>
          <w:spacing w:val="1"/>
          <w:sz w:val="24"/>
          <w:szCs w:val="24"/>
          <w:shd w:val="clear" w:color="auto" w:fill="FFFFFF"/>
        </w:rPr>
      </w:pPr>
    </w:p>
    <w:p w14:paraId="79381AFA" w14:textId="77777777" w:rsidR="00F1557F" w:rsidRDefault="00F1557F" w:rsidP="002C2871">
      <w:pPr>
        <w:pStyle w:val="ListParagraph"/>
        <w:ind w:left="57"/>
        <w:jc w:val="both"/>
        <w:rPr>
          <w:rFonts w:cstheme="minorHAnsi"/>
          <w:color w:val="111111"/>
          <w:spacing w:val="1"/>
          <w:sz w:val="24"/>
          <w:szCs w:val="24"/>
          <w:shd w:val="clear" w:color="auto" w:fill="FFFFFF"/>
        </w:rPr>
      </w:pPr>
    </w:p>
    <w:p w14:paraId="76B04F58" w14:textId="77777777" w:rsidR="00F1557F" w:rsidRDefault="00F1557F" w:rsidP="002C2871">
      <w:pPr>
        <w:pStyle w:val="ListParagraph"/>
        <w:ind w:left="57"/>
        <w:jc w:val="both"/>
        <w:rPr>
          <w:rFonts w:cstheme="minorHAnsi"/>
          <w:color w:val="111111"/>
          <w:spacing w:val="1"/>
          <w:sz w:val="24"/>
          <w:szCs w:val="24"/>
          <w:shd w:val="clear" w:color="auto" w:fill="FFFFFF"/>
        </w:rPr>
      </w:pPr>
    </w:p>
    <w:p w14:paraId="1EBD8BAB" w14:textId="77777777" w:rsidR="00F1557F" w:rsidRDefault="00F1557F" w:rsidP="002C2871">
      <w:pPr>
        <w:pStyle w:val="ListParagraph"/>
        <w:ind w:left="57"/>
        <w:jc w:val="both"/>
        <w:rPr>
          <w:rFonts w:cstheme="minorHAnsi"/>
          <w:color w:val="111111"/>
          <w:spacing w:val="1"/>
          <w:sz w:val="24"/>
          <w:szCs w:val="24"/>
          <w:shd w:val="clear" w:color="auto" w:fill="FFFFFF"/>
        </w:rPr>
      </w:pPr>
    </w:p>
    <w:p w14:paraId="749E7207" w14:textId="77777777" w:rsidR="00F1557F" w:rsidRDefault="00F1557F" w:rsidP="002C2871">
      <w:pPr>
        <w:pStyle w:val="ListParagraph"/>
        <w:ind w:left="57"/>
        <w:jc w:val="both"/>
        <w:rPr>
          <w:rFonts w:cstheme="minorHAnsi"/>
          <w:color w:val="111111"/>
          <w:spacing w:val="1"/>
          <w:sz w:val="24"/>
          <w:szCs w:val="24"/>
          <w:shd w:val="clear" w:color="auto" w:fill="FFFFFF"/>
        </w:rPr>
      </w:pPr>
    </w:p>
    <w:p w14:paraId="1E4CA72C" w14:textId="77777777" w:rsidR="00F1557F" w:rsidRDefault="00F1557F" w:rsidP="002C2871">
      <w:pPr>
        <w:pStyle w:val="ListParagraph"/>
        <w:ind w:left="57"/>
        <w:jc w:val="both"/>
        <w:rPr>
          <w:rFonts w:cstheme="minorHAnsi"/>
          <w:color w:val="111111"/>
          <w:spacing w:val="1"/>
          <w:sz w:val="24"/>
          <w:szCs w:val="24"/>
          <w:shd w:val="clear" w:color="auto" w:fill="FFFFFF"/>
        </w:rPr>
      </w:pPr>
    </w:p>
    <w:p w14:paraId="4B40C192" w14:textId="77777777" w:rsidR="00F1557F" w:rsidRDefault="00F1557F" w:rsidP="002C2871">
      <w:pPr>
        <w:pStyle w:val="ListParagraph"/>
        <w:ind w:left="57"/>
        <w:jc w:val="both"/>
        <w:rPr>
          <w:rFonts w:cstheme="minorHAnsi"/>
          <w:color w:val="111111"/>
          <w:spacing w:val="1"/>
          <w:sz w:val="24"/>
          <w:szCs w:val="24"/>
          <w:shd w:val="clear" w:color="auto" w:fill="FFFFFF"/>
        </w:rPr>
      </w:pPr>
    </w:p>
    <w:p w14:paraId="01552912" w14:textId="77777777" w:rsidR="00F1557F" w:rsidRDefault="00F1557F" w:rsidP="002C2871">
      <w:pPr>
        <w:pStyle w:val="ListParagraph"/>
        <w:ind w:left="57"/>
        <w:jc w:val="both"/>
        <w:rPr>
          <w:rFonts w:cstheme="minorHAnsi"/>
          <w:color w:val="111111"/>
          <w:spacing w:val="1"/>
          <w:sz w:val="24"/>
          <w:szCs w:val="24"/>
          <w:shd w:val="clear" w:color="auto" w:fill="FFFFFF"/>
        </w:rPr>
      </w:pPr>
    </w:p>
    <w:p w14:paraId="3A16F3B2" w14:textId="77777777" w:rsidR="00F1557F" w:rsidRDefault="00F1557F" w:rsidP="002C2871">
      <w:pPr>
        <w:pStyle w:val="ListParagraph"/>
        <w:ind w:left="57"/>
        <w:jc w:val="both"/>
        <w:rPr>
          <w:rFonts w:cstheme="minorHAnsi"/>
          <w:color w:val="111111"/>
          <w:spacing w:val="1"/>
          <w:sz w:val="24"/>
          <w:szCs w:val="24"/>
          <w:shd w:val="clear" w:color="auto" w:fill="FFFFFF"/>
        </w:rPr>
      </w:pPr>
    </w:p>
    <w:p w14:paraId="32276FE3" w14:textId="77777777" w:rsidR="00F1557F" w:rsidRDefault="00F1557F" w:rsidP="002C2871">
      <w:pPr>
        <w:pStyle w:val="ListParagraph"/>
        <w:ind w:left="57"/>
        <w:jc w:val="both"/>
        <w:rPr>
          <w:rFonts w:cstheme="minorHAnsi"/>
          <w:color w:val="111111"/>
          <w:spacing w:val="1"/>
          <w:sz w:val="24"/>
          <w:szCs w:val="24"/>
          <w:shd w:val="clear" w:color="auto" w:fill="FFFFFF"/>
        </w:rPr>
      </w:pPr>
    </w:p>
    <w:p w14:paraId="3EEDEFA8" w14:textId="77777777" w:rsidR="00F1557F" w:rsidRDefault="00F1557F" w:rsidP="002C2871">
      <w:pPr>
        <w:pStyle w:val="ListParagraph"/>
        <w:ind w:left="57"/>
        <w:jc w:val="both"/>
        <w:rPr>
          <w:rFonts w:cstheme="minorHAnsi"/>
          <w:color w:val="111111"/>
          <w:spacing w:val="1"/>
          <w:sz w:val="24"/>
          <w:szCs w:val="24"/>
          <w:shd w:val="clear" w:color="auto" w:fill="FFFFFF"/>
        </w:rPr>
      </w:pPr>
    </w:p>
    <w:p w14:paraId="7D6B911B" w14:textId="77777777" w:rsidR="00F1557F" w:rsidRDefault="00F1557F" w:rsidP="002C2871">
      <w:pPr>
        <w:pStyle w:val="ListParagraph"/>
        <w:ind w:left="57"/>
        <w:jc w:val="both"/>
        <w:rPr>
          <w:rFonts w:cstheme="minorHAnsi"/>
          <w:color w:val="111111"/>
          <w:spacing w:val="1"/>
          <w:sz w:val="24"/>
          <w:szCs w:val="24"/>
          <w:shd w:val="clear" w:color="auto" w:fill="FFFFFF"/>
        </w:rPr>
      </w:pPr>
    </w:p>
    <w:p w14:paraId="0B0F93D6" w14:textId="77777777" w:rsidR="00F1557F" w:rsidRDefault="00F1557F" w:rsidP="002C2871">
      <w:pPr>
        <w:pStyle w:val="ListParagraph"/>
        <w:ind w:left="57"/>
        <w:jc w:val="both"/>
        <w:rPr>
          <w:rFonts w:cstheme="minorHAnsi"/>
          <w:color w:val="111111"/>
          <w:spacing w:val="1"/>
          <w:sz w:val="24"/>
          <w:szCs w:val="24"/>
          <w:shd w:val="clear" w:color="auto" w:fill="FFFFFF"/>
        </w:rPr>
      </w:pPr>
    </w:p>
    <w:p w14:paraId="7D15BDF7" w14:textId="77777777" w:rsidR="00F1557F" w:rsidRDefault="00F1557F" w:rsidP="002C2871">
      <w:pPr>
        <w:pStyle w:val="ListParagraph"/>
        <w:ind w:left="57"/>
        <w:jc w:val="both"/>
        <w:rPr>
          <w:rFonts w:cstheme="minorHAnsi"/>
          <w:color w:val="111111"/>
          <w:spacing w:val="1"/>
          <w:sz w:val="24"/>
          <w:szCs w:val="24"/>
          <w:shd w:val="clear" w:color="auto" w:fill="FFFFFF"/>
        </w:rPr>
      </w:pPr>
    </w:p>
    <w:p w14:paraId="305C4812" w14:textId="77777777" w:rsidR="00F1557F" w:rsidRDefault="00F1557F" w:rsidP="002C2871">
      <w:pPr>
        <w:pStyle w:val="ListParagraph"/>
        <w:ind w:left="57"/>
        <w:jc w:val="both"/>
        <w:rPr>
          <w:rFonts w:cstheme="minorHAnsi"/>
          <w:color w:val="111111"/>
          <w:spacing w:val="1"/>
          <w:sz w:val="24"/>
          <w:szCs w:val="24"/>
          <w:shd w:val="clear" w:color="auto" w:fill="FFFFFF"/>
        </w:rPr>
      </w:pPr>
    </w:p>
    <w:p w14:paraId="0D264172" w14:textId="77777777" w:rsidR="00F1557F" w:rsidRDefault="00F1557F" w:rsidP="002C2871">
      <w:pPr>
        <w:pStyle w:val="ListParagraph"/>
        <w:ind w:left="57"/>
        <w:jc w:val="both"/>
        <w:rPr>
          <w:rFonts w:cstheme="minorHAnsi"/>
          <w:color w:val="111111"/>
          <w:spacing w:val="1"/>
          <w:sz w:val="24"/>
          <w:szCs w:val="24"/>
          <w:shd w:val="clear" w:color="auto" w:fill="FFFFFF"/>
        </w:rPr>
      </w:pPr>
    </w:p>
    <w:p w14:paraId="6ED0E35A" w14:textId="77777777" w:rsidR="00F1557F" w:rsidRDefault="00F1557F" w:rsidP="002C2871">
      <w:pPr>
        <w:pStyle w:val="ListParagraph"/>
        <w:ind w:left="57"/>
        <w:jc w:val="both"/>
        <w:rPr>
          <w:rFonts w:cstheme="minorHAnsi"/>
          <w:color w:val="111111"/>
          <w:spacing w:val="1"/>
          <w:sz w:val="24"/>
          <w:szCs w:val="24"/>
          <w:shd w:val="clear" w:color="auto" w:fill="FFFFFF"/>
        </w:rPr>
      </w:pPr>
    </w:p>
    <w:p w14:paraId="79A166C8" w14:textId="77777777" w:rsidR="00F1557F" w:rsidRDefault="00F1557F" w:rsidP="002C2871">
      <w:pPr>
        <w:pStyle w:val="ListParagraph"/>
        <w:ind w:left="57"/>
        <w:jc w:val="both"/>
        <w:rPr>
          <w:rFonts w:cstheme="minorHAnsi"/>
          <w:color w:val="111111"/>
          <w:spacing w:val="1"/>
          <w:sz w:val="24"/>
          <w:szCs w:val="24"/>
          <w:shd w:val="clear" w:color="auto" w:fill="FFFFFF"/>
        </w:rPr>
      </w:pPr>
    </w:p>
    <w:p w14:paraId="2A3A60E6" w14:textId="77777777" w:rsidR="00890EC0" w:rsidRDefault="00890EC0" w:rsidP="00462840">
      <w:pPr>
        <w:pStyle w:val="ListParagraph"/>
        <w:jc w:val="both"/>
        <w:rPr>
          <w:rFonts w:cstheme="minorHAnsi"/>
          <w:color w:val="111111"/>
          <w:spacing w:val="1"/>
          <w:sz w:val="24"/>
          <w:szCs w:val="24"/>
          <w:shd w:val="clear" w:color="auto" w:fill="FFFFFF"/>
        </w:rPr>
      </w:pPr>
    </w:p>
    <w:p w14:paraId="60897290" w14:textId="35AF678F" w:rsidR="00890EC0" w:rsidRPr="00462840" w:rsidRDefault="00890EC0" w:rsidP="00462840">
      <w:pPr>
        <w:jc w:val="both"/>
        <w:rPr>
          <w:rFonts w:ascii="Arial" w:hAnsi="Arial" w:cs="Arial"/>
          <w:b/>
          <w:bCs/>
          <w:sz w:val="36"/>
          <w:szCs w:val="36"/>
        </w:rPr>
      </w:pPr>
      <w:r w:rsidRPr="00462840">
        <w:rPr>
          <w:rFonts w:ascii="Arial" w:hAnsi="Arial" w:cs="Arial"/>
          <w:b/>
          <w:bCs/>
          <w:sz w:val="36"/>
          <w:szCs w:val="36"/>
        </w:rPr>
        <w:lastRenderedPageBreak/>
        <w:t>Dodd-Frank Wall Street</w:t>
      </w:r>
      <w:r w:rsidRPr="00462840">
        <w:rPr>
          <w:rFonts w:ascii="Arial" w:hAnsi="Arial" w:cs="Arial"/>
          <w:b/>
          <w:bCs/>
          <w:sz w:val="36"/>
          <w:szCs w:val="36"/>
        </w:rPr>
        <w:t xml:space="preserve"> reform and consumer protection Act</w:t>
      </w:r>
    </w:p>
    <w:p w14:paraId="3510E59F" w14:textId="2F152564" w:rsidR="00890EC0" w:rsidRPr="00F1557F" w:rsidRDefault="00890EC0" w:rsidP="00F1557F">
      <w:pPr>
        <w:pStyle w:val="ListParagraph"/>
        <w:ind w:left="57"/>
        <w:jc w:val="both"/>
        <w:rPr>
          <w:sz w:val="24"/>
          <w:szCs w:val="24"/>
        </w:rPr>
      </w:pPr>
      <w:r w:rsidRPr="00890EC0">
        <w:rPr>
          <w:sz w:val="24"/>
          <w:szCs w:val="24"/>
        </w:rPr>
        <w:t>The Dodd-Frank Wall Street Reform and Consumer Protection Act, commonly known as Dodd-Frank, was enacted in response to the financial crisis of 2007-2008. Signed into law by President Barack Obama on July 21, 2010, Dodd-Frank aimed to prevent</w:t>
      </w:r>
      <w:r w:rsidR="00462840">
        <w:rPr>
          <w:sz w:val="24"/>
          <w:szCs w:val="24"/>
        </w:rPr>
        <w:t xml:space="preserve"> </w:t>
      </w:r>
      <w:r w:rsidRPr="00890EC0">
        <w:rPr>
          <w:sz w:val="24"/>
          <w:szCs w:val="24"/>
        </w:rPr>
        <w:t>the recurrence of the events that led to the economic meltdown by promoting financial stability and protecting consumers from abusive financial services practices.</w:t>
      </w:r>
    </w:p>
    <w:tbl>
      <w:tblPr>
        <w:tblW w:w="10200" w:type="dxa"/>
        <w:tblLook w:val="04A0" w:firstRow="1" w:lastRow="0" w:firstColumn="1" w:lastColumn="0" w:noHBand="0" w:noVBand="1"/>
      </w:tblPr>
      <w:tblGrid>
        <w:gridCol w:w="744"/>
        <w:gridCol w:w="744"/>
        <w:gridCol w:w="2201"/>
        <w:gridCol w:w="2620"/>
        <w:gridCol w:w="1302"/>
        <w:gridCol w:w="1845"/>
        <w:gridCol w:w="744"/>
      </w:tblGrid>
      <w:tr w:rsidR="00462840" w:rsidRPr="00462840" w14:paraId="6EA32689" w14:textId="77777777" w:rsidTr="00462840">
        <w:trPr>
          <w:trHeight w:val="313"/>
        </w:trPr>
        <w:tc>
          <w:tcPr>
            <w:tcW w:w="744" w:type="dxa"/>
            <w:tcBorders>
              <w:top w:val="nil"/>
              <w:left w:val="nil"/>
              <w:bottom w:val="nil"/>
              <w:right w:val="nil"/>
            </w:tcBorders>
            <w:shd w:val="clear" w:color="auto" w:fill="auto"/>
            <w:noWrap/>
            <w:vAlign w:val="bottom"/>
            <w:hideMark/>
          </w:tcPr>
          <w:p w14:paraId="790F7372" w14:textId="77777777" w:rsidR="00462840" w:rsidRPr="00462840" w:rsidRDefault="00462840" w:rsidP="002C2871">
            <w:pPr>
              <w:spacing w:after="0" w:line="240" w:lineRule="auto"/>
              <w:rPr>
                <w:rFonts w:ascii="Times New Roman" w:eastAsia="Times New Roman" w:hAnsi="Times New Roman" w:cs="Times New Roman"/>
                <w:kern w:val="0"/>
                <w:sz w:val="24"/>
                <w:szCs w:val="24"/>
                <w:lang w:eastAsia="en-IN"/>
                <w14:ligatures w14:val="none"/>
              </w:rPr>
            </w:pPr>
          </w:p>
        </w:tc>
        <w:tc>
          <w:tcPr>
            <w:tcW w:w="7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0CCD892"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r w:rsidRPr="00462840">
              <w:rPr>
                <w:rFonts w:ascii="Calibri" w:eastAsia="Times New Roman" w:hAnsi="Calibri" w:cs="Calibri"/>
                <w:b/>
                <w:bCs/>
                <w:color w:val="000000"/>
                <w:kern w:val="0"/>
                <w:lang w:eastAsia="en-IN"/>
                <w14:ligatures w14:val="none"/>
              </w:rPr>
              <w:t>Year</w:t>
            </w:r>
          </w:p>
        </w:tc>
        <w:tc>
          <w:tcPr>
            <w:tcW w:w="2201" w:type="dxa"/>
            <w:tcBorders>
              <w:top w:val="single" w:sz="8" w:space="0" w:color="auto"/>
              <w:left w:val="nil"/>
              <w:bottom w:val="single" w:sz="8" w:space="0" w:color="auto"/>
              <w:right w:val="single" w:sz="8" w:space="0" w:color="auto"/>
            </w:tcBorders>
            <w:shd w:val="clear" w:color="auto" w:fill="auto"/>
            <w:noWrap/>
            <w:vAlign w:val="bottom"/>
            <w:hideMark/>
          </w:tcPr>
          <w:p w14:paraId="2D9D3221"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r w:rsidRPr="00462840">
              <w:rPr>
                <w:rFonts w:ascii="Calibri" w:eastAsia="Times New Roman" w:hAnsi="Calibri" w:cs="Calibri"/>
                <w:b/>
                <w:bCs/>
                <w:color w:val="000000"/>
                <w:kern w:val="0"/>
                <w:lang w:eastAsia="en-IN"/>
                <w14:ligatures w14:val="none"/>
              </w:rPr>
              <w:t>Capital Ratio Before Test (%)</w:t>
            </w:r>
          </w:p>
        </w:tc>
        <w:tc>
          <w:tcPr>
            <w:tcW w:w="2620" w:type="dxa"/>
            <w:tcBorders>
              <w:top w:val="single" w:sz="8" w:space="0" w:color="auto"/>
              <w:left w:val="nil"/>
              <w:bottom w:val="single" w:sz="8" w:space="0" w:color="auto"/>
              <w:right w:val="single" w:sz="8" w:space="0" w:color="auto"/>
            </w:tcBorders>
            <w:shd w:val="clear" w:color="auto" w:fill="auto"/>
            <w:noWrap/>
            <w:vAlign w:val="bottom"/>
            <w:hideMark/>
          </w:tcPr>
          <w:p w14:paraId="0298F4B5"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r w:rsidRPr="00462840">
              <w:rPr>
                <w:rFonts w:ascii="Calibri" w:eastAsia="Times New Roman" w:hAnsi="Calibri" w:cs="Calibri"/>
                <w:b/>
                <w:bCs/>
                <w:color w:val="000000"/>
                <w:kern w:val="0"/>
                <w:lang w:eastAsia="en-IN"/>
                <w14:ligatures w14:val="none"/>
              </w:rPr>
              <w:t>Capital Ratio After Test (%)</w:t>
            </w:r>
          </w:p>
        </w:tc>
        <w:tc>
          <w:tcPr>
            <w:tcW w:w="1302" w:type="dxa"/>
            <w:tcBorders>
              <w:top w:val="single" w:sz="8" w:space="0" w:color="auto"/>
              <w:left w:val="nil"/>
              <w:bottom w:val="single" w:sz="8" w:space="0" w:color="auto"/>
              <w:right w:val="single" w:sz="8" w:space="0" w:color="auto"/>
            </w:tcBorders>
            <w:shd w:val="clear" w:color="auto" w:fill="auto"/>
            <w:noWrap/>
            <w:vAlign w:val="bottom"/>
            <w:hideMark/>
          </w:tcPr>
          <w:p w14:paraId="40F079A1"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r w:rsidRPr="00462840">
              <w:rPr>
                <w:rFonts w:ascii="Calibri" w:eastAsia="Times New Roman" w:hAnsi="Calibri" w:cs="Calibri"/>
                <w:b/>
                <w:bCs/>
                <w:color w:val="000000"/>
                <w:kern w:val="0"/>
                <w:lang w:eastAsia="en-IN"/>
                <w14:ligatures w14:val="none"/>
              </w:rPr>
              <w:t>GDP Decline (%)</w:t>
            </w:r>
          </w:p>
        </w:tc>
        <w:tc>
          <w:tcPr>
            <w:tcW w:w="1845" w:type="dxa"/>
            <w:tcBorders>
              <w:top w:val="single" w:sz="8" w:space="0" w:color="auto"/>
              <w:left w:val="nil"/>
              <w:bottom w:val="single" w:sz="8" w:space="0" w:color="auto"/>
              <w:right w:val="single" w:sz="8" w:space="0" w:color="auto"/>
            </w:tcBorders>
            <w:shd w:val="clear" w:color="auto" w:fill="auto"/>
            <w:noWrap/>
            <w:vAlign w:val="bottom"/>
            <w:hideMark/>
          </w:tcPr>
          <w:p w14:paraId="6476DFF8"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r w:rsidRPr="00462840">
              <w:rPr>
                <w:rFonts w:ascii="Calibri" w:eastAsia="Times New Roman" w:hAnsi="Calibri" w:cs="Calibri"/>
                <w:b/>
                <w:bCs/>
                <w:color w:val="000000"/>
                <w:kern w:val="0"/>
                <w:lang w:eastAsia="en-IN"/>
                <w14:ligatures w14:val="none"/>
              </w:rPr>
              <w:t>Unemployment Rate (%)</w:t>
            </w:r>
          </w:p>
        </w:tc>
        <w:tc>
          <w:tcPr>
            <w:tcW w:w="744" w:type="dxa"/>
            <w:tcBorders>
              <w:top w:val="nil"/>
              <w:left w:val="nil"/>
              <w:bottom w:val="nil"/>
              <w:right w:val="nil"/>
            </w:tcBorders>
            <w:shd w:val="clear" w:color="auto" w:fill="auto"/>
            <w:noWrap/>
            <w:vAlign w:val="bottom"/>
            <w:hideMark/>
          </w:tcPr>
          <w:p w14:paraId="3F7B0CB4"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p>
        </w:tc>
      </w:tr>
      <w:tr w:rsidR="00462840" w:rsidRPr="00462840" w14:paraId="2F1C802A" w14:textId="77777777" w:rsidTr="00462840">
        <w:trPr>
          <w:trHeight w:val="313"/>
        </w:trPr>
        <w:tc>
          <w:tcPr>
            <w:tcW w:w="744" w:type="dxa"/>
            <w:tcBorders>
              <w:top w:val="nil"/>
              <w:left w:val="nil"/>
              <w:bottom w:val="nil"/>
              <w:right w:val="nil"/>
            </w:tcBorders>
            <w:shd w:val="clear" w:color="auto" w:fill="auto"/>
            <w:noWrap/>
            <w:vAlign w:val="bottom"/>
            <w:hideMark/>
          </w:tcPr>
          <w:p w14:paraId="040A4B1C" w14:textId="77777777" w:rsidR="00462840" w:rsidRPr="00462840" w:rsidRDefault="00462840" w:rsidP="002C2871">
            <w:pPr>
              <w:spacing w:after="0" w:line="240" w:lineRule="auto"/>
              <w:rPr>
                <w:rFonts w:ascii="Times New Roman" w:eastAsia="Times New Roman" w:hAnsi="Times New Roman" w:cs="Times New Roman"/>
                <w:kern w:val="0"/>
                <w:sz w:val="20"/>
                <w:szCs w:val="20"/>
                <w:lang w:eastAsia="en-IN"/>
                <w14:ligatures w14:val="none"/>
              </w:rPr>
            </w:pPr>
          </w:p>
        </w:tc>
        <w:tc>
          <w:tcPr>
            <w:tcW w:w="744" w:type="dxa"/>
            <w:tcBorders>
              <w:top w:val="nil"/>
              <w:left w:val="single" w:sz="8" w:space="0" w:color="auto"/>
              <w:bottom w:val="single" w:sz="8" w:space="0" w:color="auto"/>
              <w:right w:val="single" w:sz="8" w:space="0" w:color="auto"/>
            </w:tcBorders>
            <w:shd w:val="clear" w:color="auto" w:fill="auto"/>
            <w:noWrap/>
            <w:vAlign w:val="bottom"/>
            <w:hideMark/>
          </w:tcPr>
          <w:p w14:paraId="19F03609"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r w:rsidRPr="00462840">
              <w:rPr>
                <w:rFonts w:ascii="Calibri" w:eastAsia="Times New Roman" w:hAnsi="Calibri" w:cs="Calibri"/>
                <w:b/>
                <w:bCs/>
                <w:color w:val="000000"/>
                <w:kern w:val="0"/>
                <w:lang w:eastAsia="en-IN"/>
                <w14:ligatures w14:val="none"/>
              </w:rPr>
              <w:t>2019</w:t>
            </w:r>
          </w:p>
        </w:tc>
        <w:tc>
          <w:tcPr>
            <w:tcW w:w="2201" w:type="dxa"/>
            <w:tcBorders>
              <w:top w:val="nil"/>
              <w:left w:val="nil"/>
              <w:bottom w:val="single" w:sz="8" w:space="0" w:color="auto"/>
              <w:right w:val="single" w:sz="8" w:space="0" w:color="auto"/>
            </w:tcBorders>
            <w:shd w:val="clear" w:color="auto" w:fill="auto"/>
            <w:noWrap/>
            <w:vAlign w:val="bottom"/>
            <w:hideMark/>
          </w:tcPr>
          <w:p w14:paraId="2F55A7F9"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r w:rsidRPr="00462840">
              <w:rPr>
                <w:rFonts w:ascii="Calibri" w:eastAsia="Times New Roman" w:hAnsi="Calibri" w:cs="Calibri"/>
                <w:b/>
                <w:bCs/>
                <w:color w:val="000000"/>
                <w:kern w:val="0"/>
                <w:lang w:eastAsia="en-IN"/>
                <w14:ligatures w14:val="none"/>
              </w:rPr>
              <w:t>12</w:t>
            </w:r>
          </w:p>
        </w:tc>
        <w:tc>
          <w:tcPr>
            <w:tcW w:w="2620" w:type="dxa"/>
            <w:tcBorders>
              <w:top w:val="nil"/>
              <w:left w:val="nil"/>
              <w:bottom w:val="single" w:sz="8" w:space="0" w:color="auto"/>
              <w:right w:val="single" w:sz="8" w:space="0" w:color="auto"/>
            </w:tcBorders>
            <w:shd w:val="clear" w:color="auto" w:fill="auto"/>
            <w:noWrap/>
            <w:vAlign w:val="bottom"/>
            <w:hideMark/>
          </w:tcPr>
          <w:p w14:paraId="0419D7D9"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r w:rsidRPr="00462840">
              <w:rPr>
                <w:rFonts w:ascii="Calibri" w:eastAsia="Times New Roman" w:hAnsi="Calibri" w:cs="Calibri"/>
                <w:b/>
                <w:bCs/>
                <w:color w:val="000000"/>
                <w:kern w:val="0"/>
                <w:lang w:eastAsia="en-IN"/>
                <w14:ligatures w14:val="none"/>
              </w:rPr>
              <w:t>9.5</w:t>
            </w:r>
          </w:p>
        </w:tc>
        <w:tc>
          <w:tcPr>
            <w:tcW w:w="1302" w:type="dxa"/>
            <w:tcBorders>
              <w:top w:val="nil"/>
              <w:left w:val="nil"/>
              <w:bottom w:val="single" w:sz="8" w:space="0" w:color="auto"/>
              <w:right w:val="single" w:sz="8" w:space="0" w:color="auto"/>
            </w:tcBorders>
            <w:shd w:val="clear" w:color="auto" w:fill="auto"/>
            <w:noWrap/>
            <w:vAlign w:val="bottom"/>
            <w:hideMark/>
          </w:tcPr>
          <w:p w14:paraId="6E7A51E2"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r w:rsidRPr="00462840">
              <w:rPr>
                <w:rFonts w:ascii="Calibri" w:eastAsia="Times New Roman" w:hAnsi="Calibri" w:cs="Calibri"/>
                <w:b/>
                <w:bCs/>
                <w:color w:val="000000"/>
                <w:kern w:val="0"/>
                <w:lang w:eastAsia="en-IN"/>
                <w14:ligatures w14:val="none"/>
              </w:rPr>
              <w:t>-6</w:t>
            </w:r>
          </w:p>
        </w:tc>
        <w:tc>
          <w:tcPr>
            <w:tcW w:w="1845" w:type="dxa"/>
            <w:tcBorders>
              <w:top w:val="nil"/>
              <w:left w:val="nil"/>
              <w:bottom w:val="single" w:sz="8" w:space="0" w:color="auto"/>
              <w:right w:val="single" w:sz="8" w:space="0" w:color="auto"/>
            </w:tcBorders>
            <w:shd w:val="clear" w:color="auto" w:fill="auto"/>
            <w:noWrap/>
            <w:vAlign w:val="bottom"/>
            <w:hideMark/>
          </w:tcPr>
          <w:p w14:paraId="65A431D4"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r w:rsidRPr="00462840">
              <w:rPr>
                <w:rFonts w:ascii="Calibri" w:eastAsia="Times New Roman" w:hAnsi="Calibri" w:cs="Calibri"/>
                <w:b/>
                <w:bCs/>
                <w:color w:val="000000"/>
                <w:kern w:val="0"/>
                <w:lang w:eastAsia="en-IN"/>
                <w14:ligatures w14:val="none"/>
              </w:rPr>
              <w:t>10</w:t>
            </w:r>
          </w:p>
        </w:tc>
        <w:tc>
          <w:tcPr>
            <w:tcW w:w="744" w:type="dxa"/>
            <w:tcBorders>
              <w:top w:val="nil"/>
              <w:left w:val="nil"/>
              <w:bottom w:val="nil"/>
              <w:right w:val="nil"/>
            </w:tcBorders>
            <w:shd w:val="clear" w:color="auto" w:fill="auto"/>
            <w:noWrap/>
            <w:vAlign w:val="bottom"/>
            <w:hideMark/>
          </w:tcPr>
          <w:p w14:paraId="67186D0D"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p>
        </w:tc>
      </w:tr>
      <w:tr w:rsidR="00462840" w:rsidRPr="00462840" w14:paraId="13136EA0" w14:textId="77777777" w:rsidTr="00462840">
        <w:trPr>
          <w:trHeight w:val="313"/>
        </w:trPr>
        <w:tc>
          <w:tcPr>
            <w:tcW w:w="744" w:type="dxa"/>
            <w:tcBorders>
              <w:top w:val="nil"/>
              <w:left w:val="nil"/>
              <w:bottom w:val="nil"/>
              <w:right w:val="nil"/>
            </w:tcBorders>
            <w:shd w:val="clear" w:color="auto" w:fill="auto"/>
            <w:noWrap/>
            <w:vAlign w:val="bottom"/>
            <w:hideMark/>
          </w:tcPr>
          <w:p w14:paraId="736D8912" w14:textId="77777777" w:rsidR="00462840" w:rsidRPr="00462840" w:rsidRDefault="00462840" w:rsidP="002C2871">
            <w:pPr>
              <w:spacing w:after="0" w:line="240" w:lineRule="auto"/>
              <w:rPr>
                <w:rFonts w:ascii="Times New Roman" w:eastAsia="Times New Roman" w:hAnsi="Times New Roman" w:cs="Times New Roman"/>
                <w:kern w:val="0"/>
                <w:sz w:val="20"/>
                <w:szCs w:val="20"/>
                <w:lang w:eastAsia="en-IN"/>
                <w14:ligatures w14:val="none"/>
              </w:rPr>
            </w:pPr>
          </w:p>
        </w:tc>
        <w:tc>
          <w:tcPr>
            <w:tcW w:w="744" w:type="dxa"/>
            <w:tcBorders>
              <w:top w:val="nil"/>
              <w:left w:val="single" w:sz="8" w:space="0" w:color="auto"/>
              <w:bottom w:val="single" w:sz="8" w:space="0" w:color="auto"/>
              <w:right w:val="single" w:sz="8" w:space="0" w:color="auto"/>
            </w:tcBorders>
            <w:shd w:val="clear" w:color="auto" w:fill="auto"/>
            <w:noWrap/>
            <w:vAlign w:val="bottom"/>
            <w:hideMark/>
          </w:tcPr>
          <w:p w14:paraId="4C30721F"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r w:rsidRPr="00462840">
              <w:rPr>
                <w:rFonts w:ascii="Calibri" w:eastAsia="Times New Roman" w:hAnsi="Calibri" w:cs="Calibri"/>
                <w:b/>
                <w:bCs/>
                <w:color w:val="000000"/>
                <w:kern w:val="0"/>
                <w:lang w:eastAsia="en-IN"/>
                <w14:ligatures w14:val="none"/>
              </w:rPr>
              <w:t>2020</w:t>
            </w:r>
          </w:p>
        </w:tc>
        <w:tc>
          <w:tcPr>
            <w:tcW w:w="2201" w:type="dxa"/>
            <w:tcBorders>
              <w:top w:val="nil"/>
              <w:left w:val="nil"/>
              <w:bottom w:val="single" w:sz="8" w:space="0" w:color="auto"/>
              <w:right w:val="single" w:sz="8" w:space="0" w:color="auto"/>
            </w:tcBorders>
            <w:shd w:val="clear" w:color="auto" w:fill="auto"/>
            <w:noWrap/>
            <w:vAlign w:val="bottom"/>
            <w:hideMark/>
          </w:tcPr>
          <w:p w14:paraId="7996EF64"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r w:rsidRPr="00462840">
              <w:rPr>
                <w:rFonts w:ascii="Calibri" w:eastAsia="Times New Roman" w:hAnsi="Calibri" w:cs="Calibri"/>
                <w:b/>
                <w:bCs/>
                <w:color w:val="000000"/>
                <w:kern w:val="0"/>
                <w:lang w:eastAsia="en-IN"/>
                <w14:ligatures w14:val="none"/>
              </w:rPr>
              <w:t>12.5</w:t>
            </w:r>
          </w:p>
        </w:tc>
        <w:tc>
          <w:tcPr>
            <w:tcW w:w="2620" w:type="dxa"/>
            <w:tcBorders>
              <w:top w:val="nil"/>
              <w:left w:val="nil"/>
              <w:bottom w:val="single" w:sz="8" w:space="0" w:color="auto"/>
              <w:right w:val="single" w:sz="8" w:space="0" w:color="auto"/>
            </w:tcBorders>
            <w:shd w:val="clear" w:color="auto" w:fill="auto"/>
            <w:noWrap/>
            <w:vAlign w:val="bottom"/>
            <w:hideMark/>
          </w:tcPr>
          <w:p w14:paraId="2E6AD141"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r w:rsidRPr="00462840">
              <w:rPr>
                <w:rFonts w:ascii="Calibri" w:eastAsia="Times New Roman" w:hAnsi="Calibri" w:cs="Calibri"/>
                <w:b/>
                <w:bCs/>
                <w:color w:val="000000"/>
                <w:kern w:val="0"/>
                <w:lang w:eastAsia="en-IN"/>
                <w14:ligatures w14:val="none"/>
              </w:rPr>
              <w:t>8</w:t>
            </w:r>
          </w:p>
        </w:tc>
        <w:tc>
          <w:tcPr>
            <w:tcW w:w="1302" w:type="dxa"/>
            <w:tcBorders>
              <w:top w:val="nil"/>
              <w:left w:val="nil"/>
              <w:bottom w:val="nil"/>
              <w:right w:val="single" w:sz="8" w:space="0" w:color="auto"/>
            </w:tcBorders>
            <w:shd w:val="clear" w:color="auto" w:fill="auto"/>
            <w:noWrap/>
            <w:vAlign w:val="bottom"/>
            <w:hideMark/>
          </w:tcPr>
          <w:p w14:paraId="52EA8341"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r w:rsidRPr="00462840">
              <w:rPr>
                <w:rFonts w:ascii="Calibri" w:eastAsia="Times New Roman" w:hAnsi="Calibri" w:cs="Calibri"/>
                <w:b/>
                <w:bCs/>
                <w:color w:val="000000"/>
                <w:kern w:val="0"/>
                <w:lang w:eastAsia="en-IN"/>
                <w14:ligatures w14:val="none"/>
              </w:rPr>
              <w:t>-7.5</w:t>
            </w:r>
          </w:p>
        </w:tc>
        <w:tc>
          <w:tcPr>
            <w:tcW w:w="1845" w:type="dxa"/>
            <w:tcBorders>
              <w:top w:val="nil"/>
              <w:left w:val="nil"/>
              <w:bottom w:val="single" w:sz="8" w:space="0" w:color="auto"/>
              <w:right w:val="single" w:sz="8" w:space="0" w:color="auto"/>
            </w:tcBorders>
            <w:shd w:val="clear" w:color="auto" w:fill="auto"/>
            <w:noWrap/>
            <w:vAlign w:val="bottom"/>
            <w:hideMark/>
          </w:tcPr>
          <w:p w14:paraId="09BA29E3"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r w:rsidRPr="00462840">
              <w:rPr>
                <w:rFonts w:ascii="Calibri" w:eastAsia="Times New Roman" w:hAnsi="Calibri" w:cs="Calibri"/>
                <w:b/>
                <w:bCs/>
                <w:color w:val="000000"/>
                <w:kern w:val="0"/>
                <w:lang w:eastAsia="en-IN"/>
                <w14:ligatures w14:val="none"/>
              </w:rPr>
              <w:t>12</w:t>
            </w:r>
          </w:p>
        </w:tc>
        <w:tc>
          <w:tcPr>
            <w:tcW w:w="744" w:type="dxa"/>
            <w:tcBorders>
              <w:top w:val="nil"/>
              <w:left w:val="nil"/>
              <w:bottom w:val="nil"/>
              <w:right w:val="nil"/>
            </w:tcBorders>
            <w:shd w:val="clear" w:color="auto" w:fill="auto"/>
            <w:noWrap/>
            <w:vAlign w:val="bottom"/>
            <w:hideMark/>
          </w:tcPr>
          <w:p w14:paraId="45E591B4"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p>
        </w:tc>
      </w:tr>
      <w:tr w:rsidR="00462840" w:rsidRPr="00462840" w14:paraId="4E88C4DA" w14:textId="77777777" w:rsidTr="00462840">
        <w:trPr>
          <w:trHeight w:val="313"/>
        </w:trPr>
        <w:tc>
          <w:tcPr>
            <w:tcW w:w="744" w:type="dxa"/>
            <w:tcBorders>
              <w:top w:val="nil"/>
              <w:left w:val="nil"/>
              <w:bottom w:val="nil"/>
              <w:right w:val="nil"/>
            </w:tcBorders>
            <w:shd w:val="clear" w:color="auto" w:fill="auto"/>
            <w:noWrap/>
            <w:vAlign w:val="bottom"/>
            <w:hideMark/>
          </w:tcPr>
          <w:p w14:paraId="6B87A77F" w14:textId="77777777" w:rsidR="00462840" w:rsidRPr="00462840" w:rsidRDefault="00462840" w:rsidP="002C2871">
            <w:pPr>
              <w:spacing w:after="0" w:line="240" w:lineRule="auto"/>
              <w:rPr>
                <w:rFonts w:ascii="Times New Roman" w:eastAsia="Times New Roman" w:hAnsi="Times New Roman" w:cs="Times New Roman"/>
                <w:kern w:val="0"/>
                <w:sz w:val="20"/>
                <w:szCs w:val="20"/>
                <w:lang w:eastAsia="en-IN"/>
                <w14:ligatures w14:val="none"/>
              </w:rPr>
            </w:pPr>
          </w:p>
        </w:tc>
        <w:tc>
          <w:tcPr>
            <w:tcW w:w="744" w:type="dxa"/>
            <w:tcBorders>
              <w:top w:val="nil"/>
              <w:left w:val="single" w:sz="8" w:space="0" w:color="auto"/>
              <w:bottom w:val="single" w:sz="8" w:space="0" w:color="auto"/>
              <w:right w:val="single" w:sz="8" w:space="0" w:color="auto"/>
            </w:tcBorders>
            <w:shd w:val="clear" w:color="auto" w:fill="auto"/>
            <w:noWrap/>
            <w:vAlign w:val="bottom"/>
            <w:hideMark/>
          </w:tcPr>
          <w:p w14:paraId="4E3195E4"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r w:rsidRPr="00462840">
              <w:rPr>
                <w:rFonts w:ascii="Calibri" w:eastAsia="Times New Roman" w:hAnsi="Calibri" w:cs="Calibri"/>
                <w:b/>
                <w:bCs/>
                <w:color w:val="000000"/>
                <w:kern w:val="0"/>
                <w:lang w:eastAsia="en-IN"/>
                <w14:ligatures w14:val="none"/>
              </w:rPr>
              <w:t>2021</w:t>
            </w:r>
          </w:p>
        </w:tc>
        <w:tc>
          <w:tcPr>
            <w:tcW w:w="2201" w:type="dxa"/>
            <w:tcBorders>
              <w:top w:val="nil"/>
              <w:left w:val="nil"/>
              <w:bottom w:val="single" w:sz="8" w:space="0" w:color="auto"/>
              <w:right w:val="single" w:sz="8" w:space="0" w:color="auto"/>
            </w:tcBorders>
            <w:shd w:val="clear" w:color="auto" w:fill="auto"/>
            <w:noWrap/>
            <w:vAlign w:val="bottom"/>
            <w:hideMark/>
          </w:tcPr>
          <w:p w14:paraId="5F503540"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r w:rsidRPr="00462840">
              <w:rPr>
                <w:rFonts w:ascii="Calibri" w:eastAsia="Times New Roman" w:hAnsi="Calibri" w:cs="Calibri"/>
                <w:b/>
                <w:bCs/>
                <w:color w:val="000000"/>
                <w:kern w:val="0"/>
                <w:lang w:eastAsia="en-IN"/>
                <w14:ligatures w14:val="none"/>
              </w:rPr>
              <w:t>13</w:t>
            </w:r>
          </w:p>
        </w:tc>
        <w:tc>
          <w:tcPr>
            <w:tcW w:w="2620" w:type="dxa"/>
            <w:tcBorders>
              <w:top w:val="nil"/>
              <w:left w:val="nil"/>
              <w:bottom w:val="single" w:sz="8" w:space="0" w:color="auto"/>
              <w:right w:val="single" w:sz="8" w:space="0" w:color="auto"/>
            </w:tcBorders>
            <w:shd w:val="clear" w:color="auto" w:fill="auto"/>
            <w:noWrap/>
            <w:vAlign w:val="bottom"/>
            <w:hideMark/>
          </w:tcPr>
          <w:p w14:paraId="2317C7E5"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r w:rsidRPr="00462840">
              <w:rPr>
                <w:rFonts w:ascii="Calibri" w:eastAsia="Times New Roman" w:hAnsi="Calibri" w:cs="Calibri"/>
                <w:b/>
                <w:bCs/>
                <w:color w:val="000000"/>
                <w:kern w:val="0"/>
                <w:lang w:eastAsia="en-IN"/>
                <w14:ligatures w14:val="none"/>
              </w:rPr>
              <w:t>9</w:t>
            </w:r>
          </w:p>
        </w:tc>
        <w:tc>
          <w:tcPr>
            <w:tcW w:w="1302" w:type="dxa"/>
            <w:tcBorders>
              <w:top w:val="single" w:sz="8" w:space="0" w:color="auto"/>
              <w:left w:val="nil"/>
              <w:bottom w:val="single" w:sz="8" w:space="0" w:color="auto"/>
              <w:right w:val="single" w:sz="8" w:space="0" w:color="auto"/>
            </w:tcBorders>
            <w:shd w:val="clear" w:color="auto" w:fill="auto"/>
            <w:noWrap/>
            <w:vAlign w:val="bottom"/>
            <w:hideMark/>
          </w:tcPr>
          <w:p w14:paraId="625C6864"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r w:rsidRPr="00462840">
              <w:rPr>
                <w:rFonts w:ascii="Calibri" w:eastAsia="Times New Roman" w:hAnsi="Calibri" w:cs="Calibri"/>
                <w:b/>
                <w:bCs/>
                <w:color w:val="000000"/>
                <w:kern w:val="0"/>
                <w:lang w:eastAsia="en-IN"/>
                <w14:ligatures w14:val="none"/>
              </w:rPr>
              <w:t>-5.5</w:t>
            </w:r>
          </w:p>
        </w:tc>
        <w:tc>
          <w:tcPr>
            <w:tcW w:w="1845" w:type="dxa"/>
            <w:tcBorders>
              <w:top w:val="nil"/>
              <w:left w:val="nil"/>
              <w:bottom w:val="nil"/>
              <w:right w:val="single" w:sz="8" w:space="0" w:color="auto"/>
            </w:tcBorders>
            <w:shd w:val="clear" w:color="auto" w:fill="auto"/>
            <w:noWrap/>
            <w:vAlign w:val="bottom"/>
            <w:hideMark/>
          </w:tcPr>
          <w:p w14:paraId="0E1DBA1E"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r w:rsidRPr="00462840">
              <w:rPr>
                <w:rFonts w:ascii="Calibri" w:eastAsia="Times New Roman" w:hAnsi="Calibri" w:cs="Calibri"/>
                <w:b/>
                <w:bCs/>
                <w:color w:val="000000"/>
                <w:kern w:val="0"/>
                <w:lang w:eastAsia="en-IN"/>
                <w14:ligatures w14:val="none"/>
              </w:rPr>
              <w:t>9</w:t>
            </w:r>
          </w:p>
        </w:tc>
        <w:tc>
          <w:tcPr>
            <w:tcW w:w="744" w:type="dxa"/>
            <w:tcBorders>
              <w:top w:val="nil"/>
              <w:left w:val="nil"/>
              <w:bottom w:val="nil"/>
              <w:right w:val="nil"/>
            </w:tcBorders>
            <w:shd w:val="clear" w:color="auto" w:fill="auto"/>
            <w:noWrap/>
            <w:vAlign w:val="bottom"/>
            <w:hideMark/>
          </w:tcPr>
          <w:p w14:paraId="2579D90E"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p>
        </w:tc>
      </w:tr>
      <w:tr w:rsidR="00462840" w:rsidRPr="00462840" w14:paraId="0844AAD8" w14:textId="77777777" w:rsidTr="00462840">
        <w:trPr>
          <w:trHeight w:val="313"/>
        </w:trPr>
        <w:tc>
          <w:tcPr>
            <w:tcW w:w="744" w:type="dxa"/>
            <w:tcBorders>
              <w:top w:val="nil"/>
              <w:left w:val="nil"/>
              <w:bottom w:val="nil"/>
              <w:right w:val="nil"/>
            </w:tcBorders>
            <w:shd w:val="clear" w:color="auto" w:fill="auto"/>
            <w:noWrap/>
            <w:vAlign w:val="bottom"/>
            <w:hideMark/>
          </w:tcPr>
          <w:p w14:paraId="6FF4C612" w14:textId="77777777" w:rsidR="00462840" w:rsidRPr="00462840" w:rsidRDefault="00462840" w:rsidP="002C2871">
            <w:pPr>
              <w:spacing w:after="0" w:line="240" w:lineRule="auto"/>
              <w:rPr>
                <w:rFonts w:ascii="Times New Roman" w:eastAsia="Times New Roman" w:hAnsi="Times New Roman" w:cs="Times New Roman"/>
                <w:kern w:val="0"/>
                <w:sz w:val="20"/>
                <w:szCs w:val="20"/>
                <w:lang w:eastAsia="en-IN"/>
                <w14:ligatures w14:val="none"/>
              </w:rPr>
            </w:pPr>
          </w:p>
        </w:tc>
        <w:tc>
          <w:tcPr>
            <w:tcW w:w="744" w:type="dxa"/>
            <w:tcBorders>
              <w:top w:val="nil"/>
              <w:left w:val="single" w:sz="8" w:space="0" w:color="auto"/>
              <w:bottom w:val="single" w:sz="8" w:space="0" w:color="auto"/>
              <w:right w:val="single" w:sz="8" w:space="0" w:color="auto"/>
            </w:tcBorders>
            <w:shd w:val="clear" w:color="auto" w:fill="auto"/>
            <w:noWrap/>
            <w:vAlign w:val="bottom"/>
            <w:hideMark/>
          </w:tcPr>
          <w:p w14:paraId="1C5F8971"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r w:rsidRPr="00462840">
              <w:rPr>
                <w:rFonts w:ascii="Calibri" w:eastAsia="Times New Roman" w:hAnsi="Calibri" w:cs="Calibri"/>
                <w:b/>
                <w:bCs/>
                <w:color w:val="000000"/>
                <w:kern w:val="0"/>
                <w:lang w:eastAsia="en-IN"/>
                <w14:ligatures w14:val="none"/>
              </w:rPr>
              <w:t>2022</w:t>
            </w:r>
          </w:p>
        </w:tc>
        <w:tc>
          <w:tcPr>
            <w:tcW w:w="2201" w:type="dxa"/>
            <w:tcBorders>
              <w:top w:val="nil"/>
              <w:left w:val="nil"/>
              <w:bottom w:val="single" w:sz="8" w:space="0" w:color="auto"/>
              <w:right w:val="single" w:sz="8" w:space="0" w:color="auto"/>
            </w:tcBorders>
            <w:shd w:val="clear" w:color="auto" w:fill="auto"/>
            <w:noWrap/>
            <w:vAlign w:val="bottom"/>
            <w:hideMark/>
          </w:tcPr>
          <w:p w14:paraId="182872EB"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r w:rsidRPr="00462840">
              <w:rPr>
                <w:rFonts w:ascii="Calibri" w:eastAsia="Times New Roman" w:hAnsi="Calibri" w:cs="Calibri"/>
                <w:b/>
                <w:bCs/>
                <w:color w:val="000000"/>
                <w:kern w:val="0"/>
                <w:lang w:eastAsia="en-IN"/>
                <w14:ligatures w14:val="none"/>
              </w:rPr>
              <w:t>12.8</w:t>
            </w:r>
          </w:p>
        </w:tc>
        <w:tc>
          <w:tcPr>
            <w:tcW w:w="2620" w:type="dxa"/>
            <w:tcBorders>
              <w:top w:val="nil"/>
              <w:left w:val="nil"/>
              <w:bottom w:val="single" w:sz="8" w:space="0" w:color="auto"/>
              <w:right w:val="single" w:sz="8" w:space="0" w:color="auto"/>
            </w:tcBorders>
            <w:shd w:val="clear" w:color="auto" w:fill="auto"/>
            <w:noWrap/>
            <w:vAlign w:val="bottom"/>
            <w:hideMark/>
          </w:tcPr>
          <w:p w14:paraId="62CD640E"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r w:rsidRPr="00462840">
              <w:rPr>
                <w:rFonts w:ascii="Calibri" w:eastAsia="Times New Roman" w:hAnsi="Calibri" w:cs="Calibri"/>
                <w:b/>
                <w:bCs/>
                <w:color w:val="000000"/>
                <w:kern w:val="0"/>
                <w:lang w:eastAsia="en-IN"/>
                <w14:ligatures w14:val="none"/>
              </w:rPr>
              <w:t>8.7</w:t>
            </w:r>
          </w:p>
        </w:tc>
        <w:tc>
          <w:tcPr>
            <w:tcW w:w="1302" w:type="dxa"/>
            <w:tcBorders>
              <w:top w:val="nil"/>
              <w:left w:val="nil"/>
              <w:bottom w:val="single" w:sz="8" w:space="0" w:color="auto"/>
              <w:right w:val="single" w:sz="8" w:space="0" w:color="auto"/>
            </w:tcBorders>
            <w:shd w:val="clear" w:color="auto" w:fill="auto"/>
            <w:noWrap/>
            <w:vAlign w:val="bottom"/>
            <w:hideMark/>
          </w:tcPr>
          <w:p w14:paraId="7C84603F"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r w:rsidRPr="00462840">
              <w:rPr>
                <w:rFonts w:ascii="Calibri" w:eastAsia="Times New Roman" w:hAnsi="Calibri" w:cs="Calibri"/>
                <w:b/>
                <w:bCs/>
                <w:color w:val="000000"/>
                <w:kern w:val="0"/>
                <w:lang w:eastAsia="en-IN"/>
                <w14:ligatures w14:val="none"/>
              </w:rPr>
              <w:t>-6.2</w:t>
            </w:r>
          </w:p>
        </w:tc>
        <w:tc>
          <w:tcPr>
            <w:tcW w:w="1845" w:type="dxa"/>
            <w:tcBorders>
              <w:top w:val="single" w:sz="8" w:space="0" w:color="auto"/>
              <w:left w:val="nil"/>
              <w:bottom w:val="single" w:sz="8" w:space="0" w:color="auto"/>
              <w:right w:val="single" w:sz="8" w:space="0" w:color="auto"/>
            </w:tcBorders>
            <w:shd w:val="clear" w:color="auto" w:fill="auto"/>
            <w:noWrap/>
            <w:vAlign w:val="bottom"/>
            <w:hideMark/>
          </w:tcPr>
          <w:p w14:paraId="7D6D580E"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r w:rsidRPr="00462840">
              <w:rPr>
                <w:rFonts w:ascii="Calibri" w:eastAsia="Times New Roman" w:hAnsi="Calibri" w:cs="Calibri"/>
                <w:b/>
                <w:bCs/>
                <w:color w:val="000000"/>
                <w:kern w:val="0"/>
                <w:lang w:eastAsia="en-IN"/>
                <w14:ligatures w14:val="none"/>
              </w:rPr>
              <w:t>10.5</w:t>
            </w:r>
          </w:p>
        </w:tc>
        <w:tc>
          <w:tcPr>
            <w:tcW w:w="744" w:type="dxa"/>
            <w:tcBorders>
              <w:top w:val="nil"/>
              <w:left w:val="nil"/>
              <w:bottom w:val="nil"/>
              <w:right w:val="nil"/>
            </w:tcBorders>
            <w:shd w:val="clear" w:color="auto" w:fill="auto"/>
            <w:noWrap/>
            <w:vAlign w:val="bottom"/>
            <w:hideMark/>
          </w:tcPr>
          <w:p w14:paraId="66D804FF"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p>
        </w:tc>
      </w:tr>
      <w:tr w:rsidR="00462840" w:rsidRPr="00462840" w14:paraId="5BAB716B" w14:textId="77777777" w:rsidTr="00462840">
        <w:trPr>
          <w:trHeight w:val="313"/>
        </w:trPr>
        <w:tc>
          <w:tcPr>
            <w:tcW w:w="744" w:type="dxa"/>
            <w:tcBorders>
              <w:top w:val="nil"/>
              <w:left w:val="nil"/>
              <w:bottom w:val="nil"/>
              <w:right w:val="nil"/>
            </w:tcBorders>
            <w:shd w:val="clear" w:color="auto" w:fill="auto"/>
            <w:noWrap/>
            <w:vAlign w:val="bottom"/>
            <w:hideMark/>
          </w:tcPr>
          <w:p w14:paraId="4D5ACBC7" w14:textId="77777777" w:rsidR="00462840" w:rsidRPr="00462840" w:rsidRDefault="00462840" w:rsidP="002C2871">
            <w:pPr>
              <w:spacing w:after="0" w:line="240" w:lineRule="auto"/>
              <w:rPr>
                <w:rFonts w:ascii="Times New Roman" w:eastAsia="Times New Roman" w:hAnsi="Times New Roman" w:cs="Times New Roman"/>
                <w:kern w:val="0"/>
                <w:sz w:val="20"/>
                <w:szCs w:val="20"/>
                <w:lang w:eastAsia="en-IN"/>
                <w14:ligatures w14:val="none"/>
              </w:rPr>
            </w:pPr>
          </w:p>
        </w:tc>
        <w:tc>
          <w:tcPr>
            <w:tcW w:w="744" w:type="dxa"/>
            <w:tcBorders>
              <w:top w:val="nil"/>
              <w:left w:val="single" w:sz="8" w:space="0" w:color="auto"/>
              <w:bottom w:val="single" w:sz="8" w:space="0" w:color="auto"/>
              <w:right w:val="nil"/>
            </w:tcBorders>
            <w:shd w:val="clear" w:color="auto" w:fill="auto"/>
            <w:noWrap/>
            <w:vAlign w:val="bottom"/>
            <w:hideMark/>
          </w:tcPr>
          <w:p w14:paraId="2F486AAF"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r w:rsidRPr="00462840">
              <w:rPr>
                <w:rFonts w:ascii="Calibri" w:eastAsia="Times New Roman" w:hAnsi="Calibri" w:cs="Calibri"/>
                <w:b/>
                <w:bCs/>
                <w:color w:val="000000"/>
                <w:kern w:val="0"/>
                <w:lang w:eastAsia="en-IN"/>
                <w14:ligatures w14:val="none"/>
              </w:rPr>
              <w:t>2023</w:t>
            </w:r>
          </w:p>
        </w:tc>
        <w:tc>
          <w:tcPr>
            <w:tcW w:w="2201" w:type="dxa"/>
            <w:tcBorders>
              <w:top w:val="nil"/>
              <w:left w:val="single" w:sz="8" w:space="0" w:color="auto"/>
              <w:bottom w:val="single" w:sz="8" w:space="0" w:color="auto"/>
              <w:right w:val="single" w:sz="8" w:space="0" w:color="auto"/>
            </w:tcBorders>
            <w:shd w:val="clear" w:color="auto" w:fill="auto"/>
            <w:noWrap/>
            <w:vAlign w:val="bottom"/>
            <w:hideMark/>
          </w:tcPr>
          <w:p w14:paraId="083189CE"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r w:rsidRPr="00462840">
              <w:rPr>
                <w:rFonts w:ascii="Calibri" w:eastAsia="Times New Roman" w:hAnsi="Calibri" w:cs="Calibri"/>
                <w:b/>
                <w:bCs/>
                <w:color w:val="000000"/>
                <w:kern w:val="0"/>
                <w:lang w:eastAsia="en-IN"/>
                <w14:ligatures w14:val="none"/>
              </w:rPr>
              <w:t>13.2</w:t>
            </w:r>
          </w:p>
        </w:tc>
        <w:tc>
          <w:tcPr>
            <w:tcW w:w="2620" w:type="dxa"/>
            <w:tcBorders>
              <w:top w:val="nil"/>
              <w:left w:val="nil"/>
              <w:bottom w:val="single" w:sz="8" w:space="0" w:color="auto"/>
              <w:right w:val="single" w:sz="8" w:space="0" w:color="auto"/>
            </w:tcBorders>
            <w:shd w:val="clear" w:color="auto" w:fill="auto"/>
            <w:noWrap/>
            <w:vAlign w:val="bottom"/>
            <w:hideMark/>
          </w:tcPr>
          <w:p w14:paraId="6F804939"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r w:rsidRPr="00462840">
              <w:rPr>
                <w:rFonts w:ascii="Calibri" w:eastAsia="Times New Roman" w:hAnsi="Calibri" w:cs="Calibri"/>
                <w:b/>
                <w:bCs/>
                <w:color w:val="000000"/>
                <w:kern w:val="0"/>
                <w:lang w:eastAsia="en-IN"/>
                <w14:ligatures w14:val="none"/>
              </w:rPr>
              <w:t>9.2</w:t>
            </w:r>
          </w:p>
        </w:tc>
        <w:tc>
          <w:tcPr>
            <w:tcW w:w="1302" w:type="dxa"/>
            <w:tcBorders>
              <w:top w:val="nil"/>
              <w:left w:val="nil"/>
              <w:bottom w:val="single" w:sz="8" w:space="0" w:color="auto"/>
              <w:right w:val="single" w:sz="8" w:space="0" w:color="auto"/>
            </w:tcBorders>
            <w:shd w:val="clear" w:color="auto" w:fill="auto"/>
            <w:noWrap/>
            <w:vAlign w:val="bottom"/>
            <w:hideMark/>
          </w:tcPr>
          <w:p w14:paraId="2786020D"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r w:rsidRPr="00462840">
              <w:rPr>
                <w:rFonts w:ascii="Calibri" w:eastAsia="Times New Roman" w:hAnsi="Calibri" w:cs="Calibri"/>
                <w:b/>
                <w:bCs/>
                <w:color w:val="000000"/>
                <w:kern w:val="0"/>
                <w:lang w:eastAsia="en-IN"/>
                <w14:ligatures w14:val="none"/>
              </w:rPr>
              <w:t>-5</w:t>
            </w:r>
          </w:p>
        </w:tc>
        <w:tc>
          <w:tcPr>
            <w:tcW w:w="1845" w:type="dxa"/>
            <w:tcBorders>
              <w:top w:val="nil"/>
              <w:left w:val="nil"/>
              <w:bottom w:val="single" w:sz="8" w:space="0" w:color="auto"/>
              <w:right w:val="single" w:sz="8" w:space="0" w:color="auto"/>
            </w:tcBorders>
            <w:shd w:val="clear" w:color="auto" w:fill="auto"/>
            <w:noWrap/>
            <w:vAlign w:val="bottom"/>
            <w:hideMark/>
          </w:tcPr>
          <w:p w14:paraId="5B096764"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r w:rsidRPr="00462840">
              <w:rPr>
                <w:rFonts w:ascii="Calibri" w:eastAsia="Times New Roman" w:hAnsi="Calibri" w:cs="Calibri"/>
                <w:b/>
                <w:bCs/>
                <w:color w:val="000000"/>
                <w:kern w:val="0"/>
                <w:lang w:eastAsia="en-IN"/>
                <w14:ligatures w14:val="none"/>
              </w:rPr>
              <w:t>8.5</w:t>
            </w:r>
          </w:p>
        </w:tc>
        <w:tc>
          <w:tcPr>
            <w:tcW w:w="744" w:type="dxa"/>
            <w:tcBorders>
              <w:top w:val="nil"/>
              <w:left w:val="nil"/>
              <w:bottom w:val="nil"/>
              <w:right w:val="nil"/>
            </w:tcBorders>
            <w:shd w:val="clear" w:color="auto" w:fill="auto"/>
            <w:noWrap/>
            <w:vAlign w:val="bottom"/>
            <w:hideMark/>
          </w:tcPr>
          <w:p w14:paraId="12D049C9" w14:textId="77777777" w:rsidR="00462840" w:rsidRPr="00462840" w:rsidRDefault="00462840" w:rsidP="002C2871">
            <w:pPr>
              <w:spacing w:after="0" w:line="240" w:lineRule="auto"/>
              <w:rPr>
                <w:rFonts w:ascii="Calibri" w:eastAsia="Times New Roman" w:hAnsi="Calibri" w:cs="Calibri"/>
                <w:b/>
                <w:bCs/>
                <w:color w:val="000000"/>
                <w:kern w:val="0"/>
                <w:lang w:eastAsia="en-IN"/>
                <w14:ligatures w14:val="none"/>
              </w:rPr>
            </w:pPr>
          </w:p>
        </w:tc>
      </w:tr>
    </w:tbl>
    <w:p w14:paraId="64BF6151" w14:textId="77777777" w:rsidR="00462840" w:rsidRPr="00683156" w:rsidRDefault="00462840" w:rsidP="002C2871">
      <w:pPr>
        <w:pStyle w:val="ListParagraph"/>
        <w:ind w:left="0"/>
        <w:rPr>
          <w:rFonts w:cstheme="minorHAnsi"/>
        </w:rPr>
      </w:pPr>
    </w:p>
    <w:p w14:paraId="0226E027" w14:textId="77777777" w:rsidR="00890EC0" w:rsidRPr="00890EC0" w:rsidRDefault="00890EC0" w:rsidP="00462840">
      <w:pPr>
        <w:pStyle w:val="ListParagraph"/>
        <w:jc w:val="both"/>
        <w:rPr>
          <w:rFonts w:ascii="Arial" w:hAnsi="Arial" w:cs="Arial"/>
          <w:b/>
          <w:bCs/>
          <w:color w:val="111111"/>
          <w:spacing w:val="1"/>
          <w:sz w:val="28"/>
          <w:szCs w:val="28"/>
          <w:shd w:val="clear" w:color="auto" w:fill="FFFFFF"/>
        </w:rPr>
      </w:pPr>
    </w:p>
    <w:p w14:paraId="349740A2" w14:textId="004E71E1" w:rsidR="00243855" w:rsidRDefault="00462840" w:rsidP="00462840">
      <w:pPr>
        <w:pStyle w:val="ListParagraph"/>
        <w:ind w:left="113"/>
        <w:jc w:val="both"/>
        <w:rPr>
          <w:rFonts w:cstheme="minorHAnsi"/>
          <w:b/>
          <w:bCs/>
          <w:sz w:val="48"/>
          <w:szCs w:val="48"/>
          <w:lang w:val="en-US"/>
        </w:rPr>
      </w:pPr>
      <w:r>
        <w:rPr>
          <w:noProof/>
        </w:rPr>
        <w:drawing>
          <wp:inline distT="0" distB="0" distL="0" distR="0" wp14:anchorId="5C736E3F" wp14:editId="4C1731E4">
            <wp:extent cx="6052045" cy="3626485"/>
            <wp:effectExtent l="0" t="0" r="6350" b="12065"/>
            <wp:docPr id="1069264126" name="Chart 1">
              <a:extLst xmlns:a="http://schemas.openxmlformats.org/drawingml/2006/main">
                <a:ext uri="{FF2B5EF4-FFF2-40B4-BE49-F238E27FC236}">
                  <a16:creationId xmlns:a16="http://schemas.microsoft.com/office/drawing/2014/main" id="{10F7DBD4-D98D-B044-415D-4628ACE096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157B7B4" w14:textId="77777777" w:rsidR="00F1557F" w:rsidRDefault="00F1557F" w:rsidP="00462840">
      <w:pPr>
        <w:pStyle w:val="ListParagraph"/>
        <w:ind w:left="113"/>
        <w:jc w:val="both"/>
        <w:rPr>
          <w:rFonts w:cstheme="minorHAnsi"/>
          <w:b/>
          <w:bCs/>
          <w:sz w:val="48"/>
          <w:szCs w:val="48"/>
          <w:lang w:val="en-US"/>
        </w:rPr>
      </w:pPr>
    </w:p>
    <w:p w14:paraId="1D788E0C" w14:textId="59482765" w:rsidR="00F1557F" w:rsidRDefault="00F1557F" w:rsidP="00462840">
      <w:pPr>
        <w:pStyle w:val="ListParagraph"/>
        <w:ind w:left="113"/>
        <w:jc w:val="both"/>
        <w:rPr>
          <w:rFonts w:cstheme="minorHAnsi"/>
          <w:b/>
          <w:bCs/>
          <w:sz w:val="48"/>
          <w:szCs w:val="48"/>
          <w:lang w:val="en-US"/>
        </w:rPr>
      </w:pPr>
      <w:r w:rsidRPr="00683156">
        <w:rPr>
          <w:rFonts w:cstheme="minorHAnsi"/>
          <w:color w:val="111111"/>
          <w:spacing w:val="1"/>
          <w:sz w:val="24"/>
          <w:szCs w:val="24"/>
          <w:shd w:val="clear" w:color="auto" w:fill="FFFFFF"/>
        </w:rPr>
        <w:t>Although the Trump administration reversed and weakened several aspects of the Dodd-Frank Act, particularly those affecting consumers, the Biden administration intends to reestablish and strengthen the previous reversals to protect individuals who may be subject to predatory lending practices in industries like for-profit education and automobiles.</w:t>
      </w:r>
    </w:p>
    <w:p w14:paraId="5F3B7558" w14:textId="77777777" w:rsidR="00CB55BD" w:rsidRDefault="00CB55BD" w:rsidP="00462840">
      <w:pPr>
        <w:pStyle w:val="ListParagraph"/>
        <w:ind w:left="113"/>
        <w:jc w:val="both"/>
        <w:rPr>
          <w:rFonts w:cstheme="minorHAnsi"/>
          <w:b/>
          <w:bCs/>
          <w:sz w:val="48"/>
          <w:szCs w:val="48"/>
          <w:lang w:val="en-US"/>
        </w:rPr>
      </w:pPr>
    </w:p>
    <w:p w14:paraId="632480F7" w14:textId="686391D5" w:rsidR="00CB55BD" w:rsidRPr="00CB55BD" w:rsidRDefault="00CB55BD" w:rsidP="00CB55BD">
      <w:pPr>
        <w:pStyle w:val="ListParagraph"/>
        <w:ind w:left="113"/>
        <w:jc w:val="both"/>
        <w:rPr>
          <w:rFonts w:ascii="Arial" w:hAnsi="Arial" w:cs="Arial"/>
          <w:b/>
          <w:bCs/>
          <w:sz w:val="36"/>
          <w:szCs w:val="36"/>
        </w:rPr>
      </w:pPr>
      <w:r w:rsidRPr="00CB55BD">
        <w:rPr>
          <w:rFonts w:ascii="Arial" w:hAnsi="Arial" w:cs="Arial"/>
          <w:b/>
          <w:bCs/>
          <w:sz w:val="36"/>
          <w:szCs w:val="36"/>
        </w:rPr>
        <w:lastRenderedPageBreak/>
        <w:t>Sarbanes-Oxley Act</w:t>
      </w:r>
    </w:p>
    <w:p w14:paraId="301CE7E9" w14:textId="6E14C6E7" w:rsidR="00CB55BD" w:rsidRDefault="00CB55BD" w:rsidP="00462840">
      <w:pPr>
        <w:pStyle w:val="ListParagraph"/>
        <w:ind w:left="113"/>
        <w:jc w:val="both"/>
      </w:pPr>
      <w:r w:rsidRPr="00CB55BD">
        <w:rPr>
          <w:sz w:val="24"/>
          <w:szCs w:val="24"/>
        </w:rPr>
        <w:t>The Sarbanes-Oxley Act of 2002 (SOX) was enacted in response to major financial scandals involving corporations like Enron and WorldCom. Its primary aim is to protect investors by improving the accuracy and reliability of corporate disclosures made pursuant to securities laws, and it sets stringent reforms to enhance corporate responsibility, enhance financial disclosures, and combat corporate and accounting fraud</w:t>
      </w:r>
      <w:r>
        <w:t>.</w:t>
      </w:r>
    </w:p>
    <w:p w14:paraId="4CCF9AF5" w14:textId="078F31B0" w:rsidR="00CB55BD" w:rsidRDefault="00CB55BD" w:rsidP="00462840">
      <w:pPr>
        <w:pStyle w:val="ListParagraph"/>
        <w:ind w:left="113"/>
        <w:jc w:val="both"/>
        <w:rPr>
          <w:rFonts w:cstheme="minorHAnsi"/>
          <w:color w:val="111111"/>
          <w:spacing w:val="1"/>
          <w:sz w:val="24"/>
          <w:szCs w:val="24"/>
          <w:shd w:val="clear" w:color="auto" w:fill="FFFFFF"/>
        </w:rPr>
      </w:pPr>
      <w:r w:rsidRPr="00CB55BD">
        <w:rPr>
          <w:rFonts w:cstheme="minorHAnsi"/>
          <w:color w:val="111111"/>
          <w:spacing w:val="1"/>
          <w:sz w:val="24"/>
          <w:szCs w:val="24"/>
          <w:shd w:val="clear" w:color="auto" w:fill="FFFFFF"/>
        </w:rPr>
        <w:t>Because of the Sarbanes-Oxley Act of 2002, corporate officers who knowingly certify false financial statements can go to prison.</w:t>
      </w:r>
    </w:p>
    <w:tbl>
      <w:tblPr>
        <w:tblW w:w="8740" w:type="dxa"/>
        <w:tblLook w:val="04A0" w:firstRow="1" w:lastRow="0" w:firstColumn="1" w:lastColumn="0" w:noHBand="0" w:noVBand="1"/>
      </w:tblPr>
      <w:tblGrid>
        <w:gridCol w:w="960"/>
        <w:gridCol w:w="960"/>
        <w:gridCol w:w="1900"/>
        <w:gridCol w:w="2300"/>
        <w:gridCol w:w="2620"/>
      </w:tblGrid>
      <w:tr w:rsidR="00494BD4" w:rsidRPr="00494BD4" w14:paraId="2DFE8B5B" w14:textId="77777777" w:rsidTr="00494BD4">
        <w:trPr>
          <w:trHeight w:val="300"/>
        </w:trPr>
        <w:tc>
          <w:tcPr>
            <w:tcW w:w="960" w:type="dxa"/>
            <w:tcBorders>
              <w:top w:val="nil"/>
              <w:left w:val="nil"/>
              <w:bottom w:val="nil"/>
              <w:right w:val="nil"/>
            </w:tcBorders>
            <w:shd w:val="clear" w:color="auto" w:fill="auto"/>
            <w:noWrap/>
            <w:vAlign w:val="bottom"/>
            <w:hideMark/>
          </w:tcPr>
          <w:p w14:paraId="4FE9289C" w14:textId="77777777" w:rsidR="00494BD4" w:rsidRPr="00494BD4" w:rsidRDefault="00494BD4" w:rsidP="00494BD4">
            <w:pPr>
              <w:spacing w:after="0" w:line="240" w:lineRule="auto"/>
              <w:rPr>
                <w:rFonts w:ascii="Times New Roman" w:eastAsia="Times New Roman" w:hAnsi="Times New Roman" w:cs="Times New Roman"/>
                <w:kern w:val="0"/>
                <w:sz w:val="24"/>
                <w:szCs w:val="24"/>
                <w:lang w:eastAsia="en-IN"/>
                <w14:ligatures w14:val="none"/>
              </w:rPr>
            </w:pPr>
          </w:p>
        </w:tc>
        <w:tc>
          <w:tcPr>
            <w:tcW w:w="960" w:type="dxa"/>
            <w:tcBorders>
              <w:top w:val="nil"/>
              <w:left w:val="nil"/>
              <w:bottom w:val="nil"/>
              <w:right w:val="nil"/>
            </w:tcBorders>
            <w:shd w:val="clear" w:color="auto" w:fill="auto"/>
            <w:noWrap/>
            <w:vAlign w:val="bottom"/>
            <w:hideMark/>
          </w:tcPr>
          <w:p w14:paraId="3EC7BE64" w14:textId="77777777" w:rsidR="00494BD4" w:rsidRPr="00494BD4" w:rsidRDefault="00494BD4" w:rsidP="00494BD4">
            <w:pPr>
              <w:spacing w:after="0" w:line="240" w:lineRule="auto"/>
              <w:rPr>
                <w:rFonts w:ascii="Times New Roman" w:eastAsia="Times New Roman" w:hAnsi="Times New Roman" w:cs="Times New Roman"/>
                <w:kern w:val="0"/>
                <w:sz w:val="20"/>
                <w:szCs w:val="20"/>
                <w:lang w:eastAsia="en-IN"/>
                <w14:ligatures w14:val="none"/>
              </w:rPr>
            </w:pPr>
          </w:p>
        </w:tc>
        <w:tc>
          <w:tcPr>
            <w:tcW w:w="1900" w:type="dxa"/>
            <w:tcBorders>
              <w:top w:val="nil"/>
              <w:left w:val="nil"/>
              <w:bottom w:val="nil"/>
              <w:right w:val="nil"/>
            </w:tcBorders>
            <w:shd w:val="clear" w:color="auto" w:fill="auto"/>
            <w:noWrap/>
            <w:vAlign w:val="bottom"/>
            <w:hideMark/>
          </w:tcPr>
          <w:p w14:paraId="0FDFD461" w14:textId="77777777" w:rsidR="00494BD4" w:rsidRPr="00494BD4" w:rsidRDefault="00494BD4" w:rsidP="00494BD4">
            <w:pPr>
              <w:spacing w:after="0" w:line="240" w:lineRule="auto"/>
              <w:rPr>
                <w:rFonts w:ascii="Times New Roman" w:eastAsia="Times New Roman" w:hAnsi="Times New Roman" w:cs="Times New Roman"/>
                <w:kern w:val="0"/>
                <w:sz w:val="20"/>
                <w:szCs w:val="20"/>
                <w:lang w:eastAsia="en-IN"/>
                <w14:ligatures w14:val="none"/>
              </w:rPr>
            </w:pPr>
          </w:p>
        </w:tc>
        <w:tc>
          <w:tcPr>
            <w:tcW w:w="2300" w:type="dxa"/>
            <w:tcBorders>
              <w:top w:val="nil"/>
              <w:left w:val="nil"/>
              <w:bottom w:val="nil"/>
              <w:right w:val="nil"/>
            </w:tcBorders>
            <w:shd w:val="clear" w:color="auto" w:fill="auto"/>
            <w:noWrap/>
            <w:vAlign w:val="bottom"/>
            <w:hideMark/>
          </w:tcPr>
          <w:p w14:paraId="18E33CBF" w14:textId="77777777" w:rsidR="00494BD4" w:rsidRPr="00494BD4" w:rsidRDefault="00494BD4" w:rsidP="00494BD4">
            <w:pPr>
              <w:spacing w:after="0" w:line="240" w:lineRule="auto"/>
              <w:rPr>
                <w:rFonts w:ascii="Times New Roman" w:eastAsia="Times New Roman" w:hAnsi="Times New Roman" w:cs="Times New Roman"/>
                <w:kern w:val="0"/>
                <w:sz w:val="20"/>
                <w:szCs w:val="20"/>
                <w:lang w:eastAsia="en-IN"/>
                <w14:ligatures w14:val="none"/>
              </w:rPr>
            </w:pPr>
          </w:p>
        </w:tc>
        <w:tc>
          <w:tcPr>
            <w:tcW w:w="2620" w:type="dxa"/>
            <w:tcBorders>
              <w:top w:val="nil"/>
              <w:left w:val="nil"/>
              <w:bottom w:val="nil"/>
              <w:right w:val="nil"/>
            </w:tcBorders>
            <w:shd w:val="clear" w:color="auto" w:fill="auto"/>
            <w:noWrap/>
            <w:vAlign w:val="bottom"/>
            <w:hideMark/>
          </w:tcPr>
          <w:p w14:paraId="609E2501" w14:textId="77777777" w:rsidR="00494BD4" w:rsidRPr="00494BD4" w:rsidRDefault="00494BD4" w:rsidP="00494BD4">
            <w:pPr>
              <w:spacing w:after="0" w:line="240" w:lineRule="auto"/>
              <w:rPr>
                <w:rFonts w:ascii="Times New Roman" w:eastAsia="Times New Roman" w:hAnsi="Times New Roman" w:cs="Times New Roman"/>
                <w:kern w:val="0"/>
                <w:sz w:val="20"/>
                <w:szCs w:val="20"/>
                <w:lang w:eastAsia="en-IN"/>
                <w14:ligatures w14:val="none"/>
              </w:rPr>
            </w:pPr>
          </w:p>
        </w:tc>
      </w:tr>
      <w:tr w:rsidR="00494BD4" w:rsidRPr="00494BD4" w14:paraId="70F44C3A" w14:textId="77777777" w:rsidTr="00494BD4">
        <w:trPr>
          <w:trHeight w:val="300"/>
        </w:trPr>
        <w:tc>
          <w:tcPr>
            <w:tcW w:w="960" w:type="dxa"/>
            <w:tcBorders>
              <w:top w:val="nil"/>
              <w:left w:val="nil"/>
              <w:bottom w:val="nil"/>
              <w:right w:val="nil"/>
            </w:tcBorders>
            <w:shd w:val="clear" w:color="auto" w:fill="auto"/>
            <w:noWrap/>
            <w:vAlign w:val="bottom"/>
            <w:hideMark/>
          </w:tcPr>
          <w:p w14:paraId="1934DC6E" w14:textId="77777777" w:rsidR="00494BD4" w:rsidRPr="00494BD4" w:rsidRDefault="00494BD4" w:rsidP="00494BD4">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BF92E8C" w14:textId="77777777" w:rsidR="00494BD4" w:rsidRPr="00494BD4" w:rsidRDefault="00494BD4" w:rsidP="00494BD4">
            <w:pPr>
              <w:spacing w:after="0" w:line="240" w:lineRule="auto"/>
              <w:rPr>
                <w:rFonts w:ascii="Calibri" w:eastAsia="Times New Roman" w:hAnsi="Calibri" w:cs="Calibri"/>
                <w:color w:val="000000"/>
                <w:kern w:val="0"/>
                <w:lang w:eastAsia="en-IN"/>
                <w14:ligatures w14:val="none"/>
              </w:rPr>
            </w:pPr>
            <w:r w:rsidRPr="00494BD4">
              <w:rPr>
                <w:rFonts w:ascii="Calibri" w:eastAsia="Times New Roman" w:hAnsi="Calibri" w:cs="Calibri"/>
                <w:color w:val="000000"/>
                <w:kern w:val="0"/>
                <w:lang w:eastAsia="en-IN"/>
                <w14:ligatures w14:val="none"/>
              </w:rPr>
              <w:t>Year</w:t>
            </w:r>
          </w:p>
        </w:tc>
        <w:tc>
          <w:tcPr>
            <w:tcW w:w="1900" w:type="dxa"/>
            <w:tcBorders>
              <w:top w:val="single" w:sz="8" w:space="0" w:color="auto"/>
              <w:left w:val="nil"/>
              <w:bottom w:val="nil"/>
              <w:right w:val="nil"/>
            </w:tcBorders>
            <w:shd w:val="clear" w:color="auto" w:fill="auto"/>
            <w:noWrap/>
            <w:vAlign w:val="bottom"/>
            <w:hideMark/>
          </w:tcPr>
          <w:p w14:paraId="417B6862" w14:textId="77777777" w:rsidR="00494BD4" w:rsidRPr="00494BD4" w:rsidRDefault="00494BD4" w:rsidP="00494BD4">
            <w:pPr>
              <w:spacing w:after="0" w:line="240" w:lineRule="auto"/>
              <w:rPr>
                <w:rFonts w:ascii="Calibri" w:eastAsia="Times New Roman" w:hAnsi="Calibri" w:cs="Calibri"/>
                <w:color w:val="000000"/>
                <w:kern w:val="0"/>
                <w:lang w:eastAsia="en-IN"/>
                <w14:ligatures w14:val="none"/>
              </w:rPr>
            </w:pPr>
            <w:r w:rsidRPr="00494BD4">
              <w:rPr>
                <w:rFonts w:ascii="Calibri" w:eastAsia="Times New Roman" w:hAnsi="Calibri" w:cs="Calibri"/>
                <w:color w:val="000000"/>
                <w:kern w:val="0"/>
                <w:lang w:eastAsia="en-IN"/>
                <w14:ligatures w14:val="none"/>
              </w:rPr>
              <w:t>PCAOB Inspections</w:t>
            </w:r>
          </w:p>
        </w:tc>
        <w:tc>
          <w:tcPr>
            <w:tcW w:w="2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66041EE" w14:textId="77777777" w:rsidR="00494BD4" w:rsidRPr="00494BD4" w:rsidRDefault="00494BD4" w:rsidP="00494BD4">
            <w:pPr>
              <w:spacing w:after="0" w:line="240" w:lineRule="auto"/>
              <w:rPr>
                <w:rFonts w:ascii="Calibri" w:eastAsia="Times New Roman" w:hAnsi="Calibri" w:cs="Calibri"/>
                <w:color w:val="000000"/>
                <w:kern w:val="0"/>
                <w:lang w:eastAsia="en-IN"/>
                <w14:ligatures w14:val="none"/>
              </w:rPr>
            </w:pPr>
            <w:r w:rsidRPr="00494BD4">
              <w:rPr>
                <w:rFonts w:ascii="Calibri" w:eastAsia="Times New Roman" w:hAnsi="Calibri" w:cs="Calibri"/>
                <w:color w:val="000000"/>
                <w:kern w:val="0"/>
                <w:lang w:eastAsia="en-IN"/>
                <w14:ligatures w14:val="none"/>
              </w:rPr>
              <w:t xml:space="preserve">SEC </w:t>
            </w:r>
            <w:proofErr w:type="spellStart"/>
            <w:r w:rsidRPr="00494BD4">
              <w:rPr>
                <w:rFonts w:ascii="Calibri" w:eastAsia="Times New Roman" w:hAnsi="Calibri" w:cs="Calibri"/>
                <w:color w:val="000000"/>
                <w:kern w:val="0"/>
                <w:lang w:eastAsia="en-IN"/>
                <w14:ligatures w14:val="none"/>
              </w:rPr>
              <w:t>Inforcement</w:t>
            </w:r>
            <w:proofErr w:type="spellEnd"/>
            <w:r w:rsidRPr="00494BD4">
              <w:rPr>
                <w:rFonts w:ascii="Calibri" w:eastAsia="Times New Roman" w:hAnsi="Calibri" w:cs="Calibri"/>
                <w:color w:val="000000"/>
                <w:kern w:val="0"/>
                <w:lang w:eastAsia="en-IN"/>
                <w14:ligatures w14:val="none"/>
              </w:rPr>
              <w:t xml:space="preserve"> Actions</w:t>
            </w:r>
          </w:p>
        </w:tc>
        <w:tc>
          <w:tcPr>
            <w:tcW w:w="2620" w:type="dxa"/>
            <w:tcBorders>
              <w:top w:val="single" w:sz="8" w:space="0" w:color="auto"/>
              <w:left w:val="nil"/>
              <w:bottom w:val="nil"/>
              <w:right w:val="single" w:sz="8" w:space="0" w:color="auto"/>
            </w:tcBorders>
            <w:shd w:val="clear" w:color="auto" w:fill="auto"/>
            <w:noWrap/>
            <w:vAlign w:val="bottom"/>
            <w:hideMark/>
          </w:tcPr>
          <w:p w14:paraId="25CE287F" w14:textId="77777777" w:rsidR="00494BD4" w:rsidRPr="00494BD4" w:rsidRDefault="00494BD4" w:rsidP="00494BD4">
            <w:pPr>
              <w:spacing w:after="0" w:line="240" w:lineRule="auto"/>
              <w:rPr>
                <w:rFonts w:ascii="Calibri" w:eastAsia="Times New Roman" w:hAnsi="Calibri" w:cs="Calibri"/>
                <w:color w:val="000000"/>
                <w:kern w:val="0"/>
                <w:lang w:eastAsia="en-IN"/>
                <w14:ligatures w14:val="none"/>
              </w:rPr>
            </w:pPr>
            <w:r w:rsidRPr="00494BD4">
              <w:rPr>
                <w:rFonts w:ascii="Calibri" w:eastAsia="Times New Roman" w:hAnsi="Calibri" w:cs="Calibri"/>
                <w:color w:val="000000"/>
                <w:kern w:val="0"/>
                <w:lang w:eastAsia="en-IN"/>
                <w14:ligatures w14:val="none"/>
              </w:rPr>
              <w:t>Clawback Amounts (millions)</w:t>
            </w:r>
          </w:p>
        </w:tc>
      </w:tr>
      <w:tr w:rsidR="00494BD4" w:rsidRPr="00494BD4" w14:paraId="38243B95" w14:textId="77777777" w:rsidTr="00494BD4">
        <w:trPr>
          <w:trHeight w:val="300"/>
        </w:trPr>
        <w:tc>
          <w:tcPr>
            <w:tcW w:w="960" w:type="dxa"/>
            <w:tcBorders>
              <w:top w:val="nil"/>
              <w:left w:val="nil"/>
              <w:bottom w:val="nil"/>
              <w:right w:val="nil"/>
            </w:tcBorders>
            <w:shd w:val="clear" w:color="auto" w:fill="auto"/>
            <w:noWrap/>
            <w:vAlign w:val="bottom"/>
            <w:hideMark/>
          </w:tcPr>
          <w:p w14:paraId="671D40D5" w14:textId="77777777" w:rsidR="00494BD4" w:rsidRPr="00494BD4" w:rsidRDefault="00494BD4" w:rsidP="00494BD4">
            <w:pPr>
              <w:spacing w:after="0" w:line="240" w:lineRule="auto"/>
              <w:rPr>
                <w:rFonts w:ascii="Calibri" w:eastAsia="Times New Roman" w:hAnsi="Calibri" w:cs="Calibri"/>
                <w:color w:val="000000"/>
                <w:kern w:val="0"/>
                <w:lang w:eastAsia="en-IN"/>
                <w14:ligatures w14:val="none"/>
              </w:rPr>
            </w:pPr>
          </w:p>
        </w:tc>
        <w:tc>
          <w:tcPr>
            <w:tcW w:w="960" w:type="dxa"/>
            <w:tcBorders>
              <w:top w:val="nil"/>
              <w:left w:val="single" w:sz="8" w:space="0" w:color="auto"/>
              <w:bottom w:val="nil"/>
              <w:right w:val="nil"/>
            </w:tcBorders>
            <w:shd w:val="clear" w:color="auto" w:fill="auto"/>
            <w:noWrap/>
            <w:vAlign w:val="bottom"/>
            <w:hideMark/>
          </w:tcPr>
          <w:p w14:paraId="684D1DA4" w14:textId="77777777" w:rsidR="00494BD4" w:rsidRPr="00494BD4" w:rsidRDefault="00494BD4" w:rsidP="00494BD4">
            <w:pPr>
              <w:spacing w:after="0" w:line="240" w:lineRule="auto"/>
              <w:jc w:val="right"/>
              <w:rPr>
                <w:rFonts w:ascii="Calibri" w:eastAsia="Times New Roman" w:hAnsi="Calibri" w:cs="Calibri"/>
                <w:color w:val="000000"/>
                <w:kern w:val="0"/>
                <w:lang w:eastAsia="en-IN"/>
                <w14:ligatures w14:val="none"/>
              </w:rPr>
            </w:pPr>
            <w:r w:rsidRPr="00494BD4">
              <w:rPr>
                <w:rFonts w:ascii="Calibri" w:eastAsia="Times New Roman" w:hAnsi="Calibri" w:cs="Calibri"/>
                <w:color w:val="000000"/>
                <w:kern w:val="0"/>
                <w:lang w:eastAsia="en-IN"/>
                <w14:ligatures w14:val="none"/>
              </w:rPr>
              <w:t>2019</w:t>
            </w:r>
          </w:p>
        </w:tc>
        <w:tc>
          <w:tcPr>
            <w:tcW w:w="19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1771CDA" w14:textId="77777777" w:rsidR="00494BD4" w:rsidRPr="00494BD4" w:rsidRDefault="00494BD4" w:rsidP="00494BD4">
            <w:pPr>
              <w:spacing w:after="0" w:line="240" w:lineRule="auto"/>
              <w:jc w:val="right"/>
              <w:rPr>
                <w:rFonts w:ascii="Calibri" w:eastAsia="Times New Roman" w:hAnsi="Calibri" w:cs="Calibri"/>
                <w:color w:val="000000"/>
                <w:kern w:val="0"/>
                <w:lang w:eastAsia="en-IN"/>
                <w14:ligatures w14:val="none"/>
              </w:rPr>
            </w:pPr>
            <w:r w:rsidRPr="00494BD4">
              <w:rPr>
                <w:rFonts w:ascii="Calibri" w:eastAsia="Times New Roman" w:hAnsi="Calibri" w:cs="Calibri"/>
                <w:color w:val="000000"/>
                <w:kern w:val="0"/>
                <w:lang w:eastAsia="en-IN"/>
                <w14:ligatures w14:val="none"/>
              </w:rPr>
              <w:t>2000</w:t>
            </w:r>
          </w:p>
        </w:tc>
        <w:tc>
          <w:tcPr>
            <w:tcW w:w="2300" w:type="dxa"/>
            <w:tcBorders>
              <w:top w:val="nil"/>
              <w:left w:val="nil"/>
              <w:bottom w:val="nil"/>
              <w:right w:val="nil"/>
            </w:tcBorders>
            <w:shd w:val="clear" w:color="auto" w:fill="auto"/>
            <w:noWrap/>
            <w:vAlign w:val="bottom"/>
            <w:hideMark/>
          </w:tcPr>
          <w:p w14:paraId="019AD634" w14:textId="77777777" w:rsidR="00494BD4" w:rsidRPr="00494BD4" w:rsidRDefault="00494BD4" w:rsidP="00494BD4">
            <w:pPr>
              <w:spacing w:after="0" w:line="240" w:lineRule="auto"/>
              <w:jc w:val="right"/>
              <w:rPr>
                <w:rFonts w:ascii="Calibri" w:eastAsia="Times New Roman" w:hAnsi="Calibri" w:cs="Calibri"/>
                <w:color w:val="000000"/>
                <w:kern w:val="0"/>
                <w:lang w:eastAsia="en-IN"/>
                <w14:ligatures w14:val="none"/>
              </w:rPr>
            </w:pPr>
            <w:r w:rsidRPr="00494BD4">
              <w:rPr>
                <w:rFonts w:ascii="Calibri" w:eastAsia="Times New Roman" w:hAnsi="Calibri" w:cs="Calibri"/>
                <w:color w:val="000000"/>
                <w:kern w:val="0"/>
                <w:lang w:eastAsia="en-IN"/>
                <w14:ligatures w14:val="none"/>
              </w:rPr>
              <w:t>150</w:t>
            </w:r>
          </w:p>
        </w:tc>
        <w:tc>
          <w:tcPr>
            <w:tcW w:w="26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C1837DF" w14:textId="77777777" w:rsidR="00494BD4" w:rsidRPr="00494BD4" w:rsidRDefault="00494BD4" w:rsidP="00494BD4">
            <w:pPr>
              <w:spacing w:after="0" w:line="240" w:lineRule="auto"/>
              <w:jc w:val="right"/>
              <w:rPr>
                <w:rFonts w:ascii="Calibri" w:eastAsia="Times New Roman" w:hAnsi="Calibri" w:cs="Calibri"/>
                <w:color w:val="000000"/>
                <w:kern w:val="0"/>
                <w:lang w:eastAsia="en-IN"/>
                <w14:ligatures w14:val="none"/>
              </w:rPr>
            </w:pPr>
            <w:r w:rsidRPr="00494BD4">
              <w:rPr>
                <w:rFonts w:ascii="Calibri" w:eastAsia="Times New Roman" w:hAnsi="Calibri" w:cs="Calibri"/>
                <w:color w:val="000000"/>
                <w:kern w:val="0"/>
                <w:lang w:eastAsia="en-IN"/>
                <w14:ligatures w14:val="none"/>
              </w:rPr>
              <w:t>3.2</w:t>
            </w:r>
          </w:p>
        </w:tc>
      </w:tr>
      <w:tr w:rsidR="00494BD4" w:rsidRPr="00494BD4" w14:paraId="0488E54D" w14:textId="77777777" w:rsidTr="00494BD4">
        <w:trPr>
          <w:trHeight w:val="300"/>
        </w:trPr>
        <w:tc>
          <w:tcPr>
            <w:tcW w:w="960" w:type="dxa"/>
            <w:tcBorders>
              <w:top w:val="nil"/>
              <w:left w:val="nil"/>
              <w:bottom w:val="nil"/>
              <w:right w:val="nil"/>
            </w:tcBorders>
            <w:shd w:val="clear" w:color="auto" w:fill="auto"/>
            <w:noWrap/>
            <w:vAlign w:val="bottom"/>
            <w:hideMark/>
          </w:tcPr>
          <w:p w14:paraId="610E92BD" w14:textId="77777777" w:rsidR="00494BD4" w:rsidRPr="00494BD4" w:rsidRDefault="00494BD4" w:rsidP="00494BD4">
            <w:pPr>
              <w:spacing w:after="0" w:line="240" w:lineRule="auto"/>
              <w:jc w:val="right"/>
              <w:rPr>
                <w:rFonts w:ascii="Calibri" w:eastAsia="Times New Roman" w:hAnsi="Calibri" w:cs="Calibri"/>
                <w:color w:val="000000"/>
                <w:kern w:val="0"/>
                <w:lang w:eastAsia="en-IN"/>
                <w14:ligatures w14:val="none"/>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7204976" w14:textId="77777777" w:rsidR="00494BD4" w:rsidRPr="00494BD4" w:rsidRDefault="00494BD4" w:rsidP="00494BD4">
            <w:pPr>
              <w:spacing w:after="0" w:line="240" w:lineRule="auto"/>
              <w:jc w:val="right"/>
              <w:rPr>
                <w:rFonts w:ascii="Calibri" w:eastAsia="Times New Roman" w:hAnsi="Calibri" w:cs="Calibri"/>
                <w:color w:val="000000"/>
                <w:kern w:val="0"/>
                <w:lang w:eastAsia="en-IN"/>
                <w14:ligatures w14:val="none"/>
              </w:rPr>
            </w:pPr>
            <w:r w:rsidRPr="00494BD4">
              <w:rPr>
                <w:rFonts w:ascii="Calibri" w:eastAsia="Times New Roman" w:hAnsi="Calibri" w:cs="Calibri"/>
                <w:color w:val="000000"/>
                <w:kern w:val="0"/>
                <w:lang w:eastAsia="en-IN"/>
                <w14:ligatures w14:val="none"/>
              </w:rPr>
              <w:t>2020</w:t>
            </w:r>
          </w:p>
        </w:tc>
        <w:tc>
          <w:tcPr>
            <w:tcW w:w="1900" w:type="dxa"/>
            <w:tcBorders>
              <w:top w:val="nil"/>
              <w:left w:val="nil"/>
              <w:bottom w:val="nil"/>
              <w:right w:val="nil"/>
            </w:tcBorders>
            <w:shd w:val="clear" w:color="auto" w:fill="auto"/>
            <w:noWrap/>
            <w:vAlign w:val="bottom"/>
            <w:hideMark/>
          </w:tcPr>
          <w:p w14:paraId="7CAEDD73" w14:textId="77777777" w:rsidR="00494BD4" w:rsidRPr="00494BD4" w:rsidRDefault="00494BD4" w:rsidP="00494BD4">
            <w:pPr>
              <w:spacing w:after="0" w:line="240" w:lineRule="auto"/>
              <w:jc w:val="right"/>
              <w:rPr>
                <w:rFonts w:ascii="Calibri" w:eastAsia="Times New Roman" w:hAnsi="Calibri" w:cs="Calibri"/>
                <w:color w:val="000000"/>
                <w:kern w:val="0"/>
                <w:lang w:eastAsia="en-IN"/>
                <w14:ligatures w14:val="none"/>
              </w:rPr>
            </w:pPr>
            <w:r w:rsidRPr="00494BD4">
              <w:rPr>
                <w:rFonts w:ascii="Calibri" w:eastAsia="Times New Roman" w:hAnsi="Calibri" w:cs="Calibri"/>
                <w:color w:val="000000"/>
                <w:kern w:val="0"/>
                <w:lang w:eastAsia="en-IN"/>
                <w14:ligatures w14:val="none"/>
              </w:rPr>
              <w:t>1800</w:t>
            </w:r>
          </w:p>
        </w:tc>
        <w:tc>
          <w:tcPr>
            <w:tcW w:w="2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B727DB6" w14:textId="77777777" w:rsidR="00494BD4" w:rsidRPr="00494BD4" w:rsidRDefault="00494BD4" w:rsidP="00494BD4">
            <w:pPr>
              <w:spacing w:after="0" w:line="240" w:lineRule="auto"/>
              <w:jc w:val="right"/>
              <w:rPr>
                <w:rFonts w:ascii="Calibri" w:eastAsia="Times New Roman" w:hAnsi="Calibri" w:cs="Calibri"/>
                <w:color w:val="000000"/>
                <w:kern w:val="0"/>
                <w:lang w:eastAsia="en-IN"/>
                <w14:ligatures w14:val="none"/>
              </w:rPr>
            </w:pPr>
            <w:r w:rsidRPr="00494BD4">
              <w:rPr>
                <w:rFonts w:ascii="Calibri" w:eastAsia="Times New Roman" w:hAnsi="Calibri" w:cs="Calibri"/>
                <w:color w:val="000000"/>
                <w:kern w:val="0"/>
                <w:lang w:eastAsia="en-IN"/>
                <w14:ligatures w14:val="none"/>
              </w:rPr>
              <w:t>140</w:t>
            </w:r>
          </w:p>
        </w:tc>
        <w:tc>
          <w:tcPr>
            <w:tcW w:w="2620" w:type="dxa"/>
            <w:tcBorders>
              <w:top w:val="nil"/>
              <w:left w:val="nil"/>
              <w:bottom w:val="nil"/>
              <w:right w:val="single" w:sz="8" w:space="0" w:color="auto"/>
            </w:tcBorders>
            <w:shd w:val="clear" w:color="auto" w:fill="auto"/>
            <w:noWrap/>
            <w:vAlign w:val="bottom"/>
            <w:hideMark/>
          </w:tcPr>
          <w:p w14:paraId="524D8F8D" w14:textId="77777777" w:rsidR="00494BD4" w:rsidRPr="00494BD4" w:rsidRDefault="00494BD4" w:rsidP="00494BD4">
            <w:pPr>
              <w:spacing w:after="0" w:line="240" w:lineRule="auto"/>
              <w:jc w:val="right"/>
              <w:rPr>
                <w:rFonts w:ascii="Calibri" w:eastAsia="Times New Roman" w:hAnsi="Calibri" w:cs="Calibri"/>
                <w:color w:val="000000"/>
                <w:kern w:val="0"/>
                <w:lang w:eastAsia="en-IN"/>
                <w14:ligatures w14:val="none"/>
              </w:rPr>
            </w:pPr>
            <w:r w:rsidRPr="00494BD4">
              <w:rPr>
                <w:rFonts w:ascii="Calibri" w:eastAsia="Times New Roman" w:hAnsi="Calibri" w:cs="Calibri"/>
                <w:color w:val="000000"/>
                <w:kern w:val="0"/>
                <w:lang w:eastAsia="en-IN"/>
                <w14:ligatures w14:val="none"/>
              </w:rPr>
              <w:t>2.8</w:t>
            </w:r>
          </w:p>
        </w:tc>
      </w:tr>
      <w:tr w:rsidR="00494BD4" w:rsidRPr="00494BD4" w14:paraId="0C7375BD" w14:textId="77777777" w:rsidTr="00494BD4">
        <w:trPr>
          <w:trHeight w:val="300"/>
        </w:trPr>
        <w:tc>
          <w:tcPr>
            <w:tcW w:w="960" w:type="dxa"/>
            <w:tcBorders>
              <w:top w:val="nil"/>
              <w:left w:val="nil"/>
              <w:bottom w:val="nil"/>
              <w:right w:val="nil"/>
            </w:tcBorders>
            <w:shd w:val="clear" w:color="auto" w:fill="auto"/>
            <w:noWrap/>
            <w:vAlign w:val="bottom"/>
            <w:hideMark/>
          </w:tcPr>
          <w:p w14:paraId="12D15C9E" w14:textId="77777777" w:rsidR="00494BD4" w:rsidRPr="00494BD4" w:rsidRDefault="00494BD4" w:rsidP="00494BD4">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single" w:sz="8" w:space="0" w:color="auto"/>
              <w:bottom w:val="nil"/>
              <w:right w:val="nil"/>
            </w:tcBorders>
            <w:shd w:val="clear" w:color="auto" w:fill="auto"/>
            <w:noWrap/>
            <w:vAlign w:val="bottom"/>
            <w:hideMark/>
          </w:tcPr>
          <w:p w14:paraId="04DAE23C" w14:textId="77777777" w:rsidR="00494BD4" w:rsidRPr="00494BD4" w:rsidRDefault="00494BD4" w:rsidP="00494BD4">
            <w:pPr>
              <w:spacing w:after="0" w:line="240" w:lineRule="auto"/>
              <w:jc w:val="right"/>
              <w:rPr>
                <w:rFonts w:ascii="Calibri" w:eastAsia="Times New Roman" w:hAnsi="Calibri" w:cs="Calibri"/>
                <w:color w:val="000000"/>
                <w:kern w:val="0"/>
                <w:lang w:eastAsia="en-IN"/>
                <w14:ligatures w14:val="none"/>
              </w:rPr>
            </w:pPr>
            <w:r w:rsidRPr="00494BD4">
              <w:rPr>
                <w:rFonts w:ascii="Calibri" w:eastAsia="Times New Roman" w:hAnsi="Calibri" w:cs="Calibri"/>
                <w:color w:val="000000"/>
                <w:kern w:val="0"/>
                <w:lang w:eastAsia="en-IN"/>
                <w14:ligatures w14:val="none"/>
              </w:rPr>
              <w:t>2021</w:t>
            </w:r>
          </w:p>
        </w:tc>
        <w:tc>
          <w:tcPr>
            <w:tcW w:w="19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C25BA30" w14:textId="77777777" w:rsidR="00494BD4" w:rsidRPr="00494BD4" w:rsidRDefault="00494BD4" w:rsidP="00494BD4">
            <w:pPr>
              <w:spacing w:after="0" w:line="240" w:lineRule="auto"/>
              <w:jc w:val="right"/>
              <w:rPr>
                <w:rFonts w:ascii="Calibri" w:eastAsia="Times New Roman" w:hAnsi="Calibri" w:cs="Calibri"/>
                <w:color w:val="000000"/>
                <w:kern w:val="0"/>
                <w:lang w:eastAsia="en-IN"/>
                <w14:ligatures w14:val="none"/>
              </w:rPr>
            </w:pPr>
            <w:r w:rsidRPr="00494BD4">
              <w:rPr>
                <w:rFonts w:ascii="Calibri" w:eastAsia="Times New Roman" w:hAnsi="Calibri" w:cs="Calibri"/>
                <w:color w:val="000000"/>
                <w:kern w:val="0"/>
                <w:lang w:eastAsia="en-IN"/>
                <w14:ligatures w14:val="none"/>
              </w:rPr>
              <w:t>1900</w:t>
            </w:r>
          </w:p>
        </w:tc>
        <w:tc>
          <w:tcPr>
            <w:tcW w:w="2300" w:type="dxa"/>
            <w:tcBorders>
              <w:top w:val="nil"/>
              <w:left w:val="nil"/>
              <w:bottom w:val="nil"/>
              <w:right w:val="nil"/>
            </w:tcBorders>
            <w:shd w:val="clear" w:color="auto" w:fill="auto"/>
            <w:noWrap/>
            <w:vAlign w:val="bottom"/>
            <w:hideMark/>
          </w:tcPr>
          <w:p w14:paraId="2E64AB97" w14:textId="77777777" w:rsidR="00494BD4" w:rsidRPr="00494BD4" w:rsidRDefault="00494BD4" w:rsidP="00494BD4">
            <w:pPr>
              <w:spacing w:after="0" w:line="240" w:lineRule="auto"/>
              <w:jc w:val="right"/>
              <w:rPr>
                <w:rFonts w:ascii="Calibri" w:eastAsia="Times New Roman" w:hAnsi="Calibri" w:cs="Calibri"/>
                <w:color w:val="000000"/>
                <w:kern w:val="0"/>
                <w:lang w:eastAsia="en-IN"/>
                <w14:ligatures w14:val="none"/>
              </w:rPr>
            </w:pPr>
            <w:r w:rsidRPr="00494BD4">
              <w:rPr>
                <w:rFonts w:ascii="Calibri" w:eastAsia="Times New Roman" w:hAnsi="Calibri" w:cs="Calibri"/>
                <w:color w:val="000000"/>
                <w:kern w:val="0"/>
                <w:lang w:eastAsia="en-IN"/>
                <w14:ligatures w14:val="none"/>
              </w:rPr>
              <w:t>160</w:t>
            </w:r>
          </w:p>
        </w:tc>
        <w:tc>
          <w:tcPr>
            <w:tcW w:w="26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71785C3" w14:textId="77777777" w:rsidR="00494BD4" w:rsidRPr="00494BD4" w:rsidRDefault="00494BD4" w:rsidP="00494BD4">
            <w:pPr>
              <w:spacing w:after="0" w:line="240" w:lineRule="auto"/>
              <w:jc w:val="right"/>
              <w:rPr>
                <w:rFonts w:ascii="Calibri" w:eastAsia="Times New Roman" w:hAnsi="Calibri" w:cs="Calibri"/>
                <w:color w:val="000000"/>
                <w:kern w:val="0"/>
                <w:lang w:eastAsia="en-IN"/>
                <w14:ligatures w14:val="none"/>
              </w:rPr>
            </w:pPr>
            <w:r w:rsidRPr="00494BD4">
              <w:rPr>
                <w:rFonts w:ascii="Calibri" w:eastAsia="Times New Roman" w:hAnsi="Calibri" w:cs="Calibri"/>
                <w:color w:val="000000"/>
                <w:kern w:val="0"/>
                <w:lang w:eastAsia="en-IN"/>
                <w14:ligatures w14:val="none"/>
              </w:rPr>
              <w:t>3.5</w:t>
            </w:r>
          </w:p>
        </w:tc>
      </w:tr>
      <w:tr w:rsidR="00494BD4" w:rsidRPr="00494BD4" w14:paraId="74040976" w14:textId="77777777" w:rsidTr="00494BD4">
        <w:trPr>
          <w:trHeight w:val="300"/>
        </w:trPr>
        <w:tc>
          <w:tcPr>
            <w:tcW w:w="960" w:type="dxa"/>
            <w:tcBorders>
              <w:top w:val="nil"/>
              <w:left w:val="nil"/>
              <w:bottom w:val="nil"/>
              <w:right w:val="nil"/>
            </w:tcBorders>
            <w:shd w:val="clear" w:color="auto" w:fill="auto"/>
            <w:noWrap/>
            <w:vAlign w:val="bottom"/>
            <w:hideMark/>
          </w:tcPr>
          <w:p w14:paraId="44789CB7" w14:textId="77777777" w:rsidR="00494BD4" w:rsidRPr="00494BD4" w:rsidRDefault="00494BD4" w:rsidP="00494BD4">
            <w:pPr>
              <w:spacing w:after="0" w:line="240" w:lineRule="auto"/>
              <w:jc w:val="right"/>
              <w:rPr>
                <w:rFonts w:ascii="Calibri" w:eastAsia="Times New Roman" w:hAnsi="Calibri" w:cs="Calibri"/>
                <w:color w:val="000000"/>
                <w:kern w:val="0"/>
                <w:lang w:eastAsia="en-IN"/>
                <w14:ligatures w14:val="none"/>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220F624" w14:textId="77777777" w:rsidR="00494BD4" w:rsidRPr="00494BD4" w:rsidRDefault="00494BD4" w:rsidP="00494BD4">
            <w:pPr>
              <w:spacing w:after="0" w:line="240" w:lineRule="auto"/>
              <w:jc w:val="right"/>
              <w:rPr>
                <w:rFonts w:ascii="Calibri" w:eastAsia="Times New Roman" w:hAnsi="Calibri" w:cs="Calibri"/>
                <w:color w:val="000000"/>
                <w:kern w:val="0"/>
                <w:lang w:eastAsia="en-IN"/>
                <w14:ligatures w14:val="none"/>
              </w:rPr>
            </w:pPr>
            <w:r w:rsidRPr="00494BD4">
              <w:rPr>
                <w:rFonts w:ascii="Calibri" w:eastAsia="Times New Roman" w:hAnsi="Calibri" w:cs="Calibri"/>
                <w:color w:val="000000"/>
                <w:kern w:val="0"/>
                <w:lang w:eastAsia="en-IN"/>
                <w14:ligatures w14:val="none"/>
              </w:rPr>
              <w:t>2022</w:t>
            </w:r>
          </w:p>
        </w:tc>
        <w:tc>
          <w:tcPr>
            <w:tcW w:w="1900" w:type="dxa"/>
            <w:tcBorders>
              <w:top w:val="nil"/>
              <w:left w:val="nil"/>
              <w:bottom w:val="nil"/>
              <w:right w:val="nil"/>
            </w:tcBorders>
            <w:shd w:val="clear" w:color="auto" w:fill="auto"/>
            <w:noWrap/>
            <w:vAlign w:val="bottom"/>
            <w:hideMark/>
          </w:tcPr>
          <w:p w14:paraId="258F9EDE" w14:textId="77777777" w:rsidR="00494BD4" w:rsidRPr="00494BD4" w:rsidRDefault="00494BD4" w:rsidP="00494BD4">
            <w:pPr>
              <w:spacing w:after="0" w:line="240" w:lineRule="auto"/>
              <w:jc w:val="right"/>
              <w:rPr>
                <w:rFonts w:ascii="Calibri" w:eastAsia="Times New Roman" w:hAnsi="Calibri" w:cs="Calibri"/>
                <w:color w:val="000000"/>
                <w:kern w:val="0"/>
                <w:lang w:eastAsia="en-IN"/>
                <w14:ligatures w14:val="none"/>
              </w:rPr>
            </w:pPr>
            <w:r w:rsidRPr="00494BD4">
              <w:rPr>
                <w:rFonts w:ascii="Calibri" w:eastAsia="Times New Roman" w:hAnsi="Calibri" w:cs="Calibri"/>
                <w:color w:val="000000"/>
                <w:kern w:val="0"/>
                <w:lang w:eastAsia="en-IN"/>
                <w14:ligatures w14:val="none"/>
              </w:rPr>
              <w:t>2100</w:t>
            </w:r>
          </w:p>
        </w:tc>
        <w:tc>
          <w:tcPr>
            <w:tcW w:w="2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1CE71AF" w14:textId="77777777" w:rsidR="00494BD4" w:rsidRPr="00494BD4" w:rsidRDefault="00494BD4" w:rsidP="00494BD4">
            <w:pPr>
              <w:spacing w:after="0" w:line="240" w:lineRule="auto"/>
              <w:jc w:val="right"/>
              <w:rPr>
                <w:rFonts w:ascii="Calibri" w:eastAsia="Times New Roman" w:hAnsi="Calibri" w:cs="Calibri"/>
                <w:color w:val="000000"/>
                <w:kern w:val="0"/>
                <w:lang w:eastAsia="en-IN"/>
                <w14:ligatures w14:val="none"/>
              </w:rPr>
            </w:pPr>
            <w:r w:rsidRPr="00494BD4">
              <w:rPr>
                <w:rFonts w:ascii="Calibri" w:eastAsia="Times New Roman" w:hAnsi="Calibri" w:cs="Calibri"/>
                <w:color w:val="000000"/>
                <w:kern w:val="0"/>
                <w:lang w:eastAsia="en-IN"/>
                <w14:ligatures w14:val="none"/>
              </w:rPr>
              <w:t>170</w:t>
            </w:r>
          </w:p>
        </w:tc>
        <w:tc>
          <w:tcPr>
            <w:tcW w:w="2620" w:type="dxa"/>
            <w:tcBorders>
              <w:top w:val="nil"/>
              <w:left w:val="nil"/>
              <w:bottom w:val="nil"/>
              <w:right w:val="single" w:sz="8" w:space="0" w:color="auto"/>
            </w:tcBorders>
            <w:shd w:val="clear" w:color="auto" w:fill="auto"/>
            <w:noWrap/>
            <w:vAlign w:val="bottom"/>
            <w:hideMark/>
          </w:tcPr>
          <w:p w14:paraId="37EC018B" w14:textId="77777777" w:rsidR="00494BD4" w:rsidRPr="00494BD4" w:rsidRDefault="00494BD4" w:rsidP="00494BD4">
            <w:pPr>
              <w:spacing w:after="0" w:line="240" w:lineRule="auto"/>
              <w:jc w:val="right"/>
              <w:rPr>
                <w:rFonts w:ascii="Calibri" w:eastAsia="Times New Roman" w:hAnsi="Calibri" w:cs="Calibri"/>
                <w:color w:val="000000"/>
                <w:kern w:val="0"/>
                <w:lang w:eastAsia="en-IN"/>
                <w14:ligatures w14:val="none"/>
              </w:rPr>
            </w:pPr>
            <w:r w:rsidRPr="00494BD4">
              <w:rPr>
                <w:rFonts w:ascii="Calibri" w:eastAsia="Times New Roman" w:hAnsi="Calibri" w:cs="Calibri"/>
                <w:color w:val="000000"/>
                <w:kern w:val="0"/>
                <w:lang w:eastAsia="en-IN"/>
                <w14:ligatures w14:val="none"/>
              </w:rPr>
              <w:t>4</w:t>
            </w:r>
          </w:p>
        </w:tc>
      </w:tr>
      <w:tr w:rsidR="00494BD4" w:rsidRPr="00494BD4" w14:paraId="36B61727" w14:textId="77777777" w:rsidTr="00494BD4">
        <w:trPr>
          <w:trHeight w:val="300"/>
        </w:trPr>
        <w:tc>
          <w:tcPr>
            <w:tcW w:w="960" w:type="dxa"/>
            <w:tcBorders>
              <w:top w:val="nil"/>
              <w:left w:val="nil"/>
              <w:bottom w:val="nil"/>
              <w:right w:val="nil"/>
            </w:tcBorders>
            <w:shd w:val="clear" w:color="auto" w:fill="auto"/>
            <w:noWrap/>
            <w:vAlign w:val="bottom"/>
            <w:hideMark/>
          </w:tcPr>
          <w:p w14:paraId="59EBD725" w14:textId="77777777" w:rsidR="00494BD4" w:rsidRPr="00494BD4" w:rsidRDefault="00494BD4" w:rsidP="00494BD4">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single" w:sz="8" w:space="0" w:color="auto"/>
              <w:bottom w:val="single" w:sz="8" w:space="0" w:color="auto"/>
              <w:right w:val="nil"/>
            </w:tcBorders>
            <w:shd w:val="clear" w:color="auto" w:fill="auto"/>
            <w:noWrap/>
            <w:vAlign w:val="bottom"/>
            <w:hideMark/>
          </w:tcPr>
          <w:p w14:paraId="47A99A35" w14:textId="77777777" w:rsidR="00494BD4" w:rsidRPr="00494BD4" w:rsidRDefault="00494BD4" w:rsidP="00494BD4">
            <w:pPr>
              <w:spacing w:after="0" w:line="240" w:lineRule="auto"/>
              <w:jc w:val="right"/>
              <w:rPr>
                <w:rFonts w:ascii="Calibri" w:eastAsia="Times New Roman" w:hAnsi="Calibri" w:cs="Calibri"/>
                <w:color w:val="000000"/>
                <w:kern w:val="0"/>
                <w:lang w:eastAsia="en-IN"/>
                <w14:ligatures w14:val="none"/>
              </w:rPr>
            </w:pPr>
            <w:r w:rsidRPr="00494BD4">
              <w:rPr>
                <w:rFonts w:ascii="Calibri" w:eastAsia="Times New Roman" w:hAnsi="Calibri" w:cs="Calibri"/>
                <w:color w:val="000000"/>
                <w:kern w:val="0"/>
                <w:lang w:eastAsia="en-IN"/>
                <w14:ligatures w14:val="none"/>
              </w:rPr>
              <w:t>2023</w:t>
            </w:r>
          </w:p>
        </w:tc>
        <w:tc>
          <w:tcPr>
            <w:tcW w:w="19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08DAF15" w14:textId="77777777" w:rsidR="00494BD4" w:rsidRPr="00494BD4" w:rsidRDefault="00494BD4" w:rsidP="00494BD4">
            <w:pPr>
              <w:spacing w:after="0" w:line="240" w:lineRule="auto"/>
              <w:jc w:val="right"/>
              <w:rPr>
                <w:rFonts w:ascii="Calibri" w:eastAsia="Times New Roman" w:hAnsi="Calibri" w:cs="Calibri"/>
                <w:color w:val="000000"/>
                <w:kern w:val="0"/>
                <w:lang w:eastAsia="en-IN"/>
                <w14:ligatures w14:val="none"/>
              </w:rPr>
            </w:pPr>
            <w:r w:rsidRPr="00494BD4">
              <w:rPr>
                <w:rFonts w:ascii="Calibri" w:eastAsia="Times New Roman" w:hAnsi="Calibri" w:cs="Calibri"/>
                <w:color w:val="000000"/>
                <w:kern w:val="0"/>
                <w:lang w:eastAsia="en-IN"/>
                <w14:ligatures w14:val="none"/>
              </w:rPr>
              <w:t>2200</w:t>
            </w:r>
          </w:p>
        </w:tc>
        <w:tc>
          <w:tcPr>
            <w:tcW w:w="2300" w:type="dxa"/>
            <w:tcBorders>
              <w:top w:val="nil"/>
              <w:left w:val="nil"/>
              <w:bottom w:val="single" w:sz="8" w:space="0" w:color="auto"/>
              <w:right w:val="nil"/>
            </w:tcBorders>
            <w:shd w:val="clear" w:color="auto" w:fill="auto"/>
            <w:noWrap/>
            <w:vAlign w:val="bottom"/>
            <w:hideMark/>
          </w:tcPr>
          <w:p w14:paraId="66828B93" w14:textId="77777777" w:rsidR="00494BD4" w:rsidRPr="00494BD4" w:rsidRDefault="00494BD4" w:rsidP="00494BD4">
            <w:pPr>
              <w:spacing w:after="0" w:line="240" w:lineRule="auto"/>
              <w:jc w:val="right"/>
              <w:rPr>
                <w:rFonts w:ascii="Calibri" w:eastAsia="Times New Roman" w:hAnsi="Calibri" w:cs="Calibri"/>
                <w:color w:val="000000"/>
                <w:kern w:val="0"/>
                <w:lang w:eastAsia="en-IN"/>
                <w14:ligatures w14:val="none"/>
              </w:rPr>
            </w:pPr>
            <w:r w:rsidRPr="00494BD4">
              <w:rPr>
                <w:rFonts w:ascii="Calibri" w:eastAsia="Times New Roman" w:hAnsi="Calibri" w:cs="Calibri"/>
                <w:color w:val="000000"/>
                <w:kern w:val="0"/>
                <w:lang w:eastAsia="en-IN"/>
                <w14:ligatures w14:val="none"/>
              </w:rPr>
              <w:t>180</w:t>
            </w:r>
          </w:p>
        </w:tc>
        <w:tc>
          <w:tcPr>
            <w:tcW w:w="26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931632A" w14:textId="77777777" w:rsidR="00494BD4" w:rsidRPr="00494BD4" w:rsidRDefault="00494BD4" w:rsidP="00494BD4">
            <w:pPr>
              <w:spacing w:after="0" w:line="240" w:lineRule="auto"/>
              <w:jc w:val="right"/>
              <w:rPr>
                <w:rFonts w:ascii="Calibri" w:eastAsia="Times New Roman" w:hAnsi="Calibri" w:cs="Calibri"/>
                <w:color w:val="000000"/>
                <w:kern w:val="0"/>
                <w:lang w:eastAsia="en-IN"/>
                <w14:ligatures w14:val="none"/>
              </w:rPr>
            </w:pPr>
            <w:r w:rsidRPr="00494BD4">
              <w:rPr>
                <w:rFonts w:ascii="Calibri" w:eastAsia="Times New Roman" w:hAnsi="Calibri" w:cs="Calibri"/>
                <w:color w:val="000000"/>
                <w:kern w:val="0"/>
                <w:lang w:eastAsia="en-IN"/>
                <w14:ligatures w14:val="none"/>
              </w:rPr>
              <w:t>4.5</w:t>
            </w:r>
          </w:p>
        </w:tc>
      </w:tr>
    </w:tbl>
    <w:p w14:paraId="49E84D84" w14:textId="2B58E5A8" w:rsidR="00CB55BD" w:rsidRDefault="00494BD4" w:rsidP="00462840">
      <w:pPr>
        <w:pStyle w:val="ListParagraph"/>
        <w:ind w:left="113"/>
        <w:jc w:val="both"/>
        <w:rPr>
          <w:noProof/>
        </w:rPr>
      </w:pPr>
      <w:r>
        <w:rPr>
          <w:noProof/>
        </w:rPr>
        <w:drawing>
          <wp:inline distT="0" distB="0" distL="0" distR="0" wp14:anchorId="1331D8D9" wp14:editId="4B3EEB24">
            <wp:extent cx="2760617" cy="2751455"/>
            <wp:effectExtent l="0" t="0" r="1905" b="10795"/>
            <wp:docPr id="394870677" name="Chart 1">
              <a:extLst xmlns:a="http://schemas.openxmlformats.org/drawingml/2006/main">
                <a:ext uri="{FF2B5EF4-FFF2-40B4-BE49-F238E27FC236}">
                  <a16:creationId xmlns:a16="http://schemas.microsoft.com/office/drawing/2014/main" id="{BCC0A377-7683-DF2A-89E5-442DB8CC01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494BD4">
        <w:rPr>
          <w:noProof/>
        </w:rPr>
        <w:t xml:space="preserve"> </w:t>
      </w:r>
      <w:r>
        <w:rPr>
          <w:noProof/>
        </w:rPr>
        <w:drawing>
          <wp:inline distT="0" distB="0" distL="0" distR="0" wp14:anchorId="25FBFBB1" wp14:editId="15C0EDD4">
            <wp:extent cx="2760345" cy="2664369"/>
            <wp:effectExtent l="0" t="0" r="1905" b="3175"/>
            <wp:docPr id="580403011" name="Chart 1">
              <a:extLst xmlns:a="http://schemas.openxmlformats.org/drawingml/2006/main">
                <a:ext uri="{FF2B5EF4-FFF2-40B4-BE49-F238E27FC236}">
                  <a16:creationId xmlns:a16="http://schemas.microsoft.com/office/drawing/2014/main" id="{8287CE10-82CA-2FFE-3478-EFA9A927DE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494BD4">
        <w:rPr>
          <w:noProof/>
        </w:rPr>
        <w:t xml:space="preserve"> </w:t>
      </w:r>
      <w:r>
        <w:rPr>
          <w:noProof/>
        </w:rPr>
        <w:drawing>
          <wp:inline distT="0" distB="0" distL="0" distR="0" wp14:anchorId="517D63C4" wp14:editId="2F0805B0">
            <wp:extent cx="3326674" cy="2472690"/>
            <wp:effectExtent l="0" t="0" r="7620" b="3810"/>
            <wp:docPr id="513749228" name="Chart 1">
              <a:extLst xmlns:a="http://schemas.openxmlformats.org/drawingml/2006/main">
                <a:ext uri="{FF2B5EF4-FFF2-40B4-BE49-F238E27FC236}">
                  <a16:creationId xmlns:a16="http://schemas.microsoft.com/office/drawing/2014/main" id="{B805B89E-4A45-FC8B-96DD-868F91B408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D5BDFFB" w14:textId="77777777" w:rsidR="00494BD4" w:rsidRDefault="00494BD4" w:rsidP="00462840">
      <w:pPr>
        <w:pStyle w:val="ListParagraph"/>
        <w:ind w:left="113"/>
        <w:jc w:val="both"/>
        <w:rPr>
          <w:noProof/>
        </w:rPr>
      </w:pPr>
    </w:p>
    <w:p w14:paraId="43B480E2" w14:textId="2758A73D" w:rsidR="00F1557F" w:rsidRPr="00F1557F" w:rsidRDefault="00F1557F" w:rsidP="00F1557F">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F1557F">
        <w:rPr>
          <w:rFonts w:eastAsia="Times New Roman" w:cstheme="minorHAnsi"/>
          <w:b/>
          <w:bCs/>
          <w:kern w:val="0"/>
          <w:sz w:val="27"/>
          <w:szCs w:val="27"/>
          <w:lang w:eastAsia="en-IN"/>
          <w14:ligatures w14:val="none"/>
        </w:rPr>
        <w:lastRenderedPageBreak/>
        <w:t>I</w:t>
      </w:r>
      <w:r w:rsidRPr="00F1557F">
        <w:rPr>
          <w:rFonts w:eastAsia="Times New Roman" w:cstheme="minorHAnsi"/>
          <w:b/>
          <w:bCs/>
          <w:kern w:val="0"/>
          <w:sz w:val="27"/>
          <w:szCs w:val="27"/>
          <w:lang w:eastAsia="en-IN"/>
          <w14:ligatures w14:val="none"/>
        </w:rPr>
        <w:t>mpacts of the Sarbanes-Oxley Act:</w:t>
      </w:r>
    </w:p>
    <w:p w14:paraId="7EC12F65" w14:textId="77777777" w:rsidR="00F1557F" w:rsidRPr="00F1557F" w:rsidRDefault="00F1557F" w:rsidP="00F1557F">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F1557F">
        <w:rPr>
          <w:rFonts w:eastAsia="Times New Roman" w:cstheme="minorHAnsi"/>
          <w:b/>
          <w:bCs/>
          <w:kern w:val="0"/>
          <w:sz w:val="24"/>
          <w:szCs w:val="24"/>
          <w:lang w:eastAsia="en-IN"/>
          <w14:ligatures w14:val="none"/>
        </w:rPr>
        <w:t>Investor Confidence</w:t>
      </w:r>
      <w:r w:rsidRPr="00F1557F">
        <w:rPr>
          <w:rFonts w:eastAsia="Times New Roman" w:cstheme="minorHAnsi"/>
          <w:kern w:val="0"/>
          <w:sz w:val="24"/>
          <w:szCs w:val="24"/>
          <w:lang w:eastAsia="en-IN"/>
          <w14:ligatures w14:val="none"/>
        </w:rPr>
        <w:t>: SOX has significantly increased investor confidence by ensuring more transparency and accountability in financial reporting.</w:t>
      </w:r>
    </w:p>
    <w:p w14:paraId="544438F7" w14:textId="77777777" w:rsidR="00F1557F" w:rsidRPr="00F1557F" w:rsidRDefault="00F1557F" w:rsidP="00F1557F">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F1557F">
        <w:rPr>
          <w:rFonts w:eastAsia="Times New Roman" w:cstheme="minorHAnsi"/>
          <w:b/>
          <w:bCs/>
          <w:kern w:val="0"/>
          <w:sz w:val="24"/>
          <w:szCs w:val="24"/>
          <w:lang w:eastAsia="en-IN"/>
          <w14:ligatures w14:val="none"/>
        </w:rPr>
        <w:t>Cost of Compliance</w:t>
      </w:r>
      <w:r w:rsidRPr="00F1557F">
        <w:rPr>
          <w:rFonts w:eastAsia="Times New Roman" w:cstheme="minorHAnsi"/>
          <w:kern w:val="0"/>
          <w:sz w:val="24"/>
          <w:szCs w:val="24"/>
          <w:lang w:eastAsia="en-IN"/>
          <w14:ligatures w14:val="none"/>
        </w:rPr>
        <w:t>: The act has also increased the cost of compliance for companies, particularly for smaller firms. However, these costs are often justified by the long-term benefits of improved financial integrity.</w:t>
      </w:r>
    </w:p>
    <w:p w14:paraId="584A3E8F" w14:textId="77777777" w:rsidR="00F1557F" w:rsidRPr="00F1557F" w:rsidRDefault="00F1557F" w:rsidP="00F1557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557F">
        <w:rPr>
          <w:rFonts w:eastAsia="Times New Roman" w:cstheme="minorHAnsi"/>
          <w:b/>
          <w:bCs/>
          <w:kern w:val="0"/>
          <w:sz w:val="24"/>
          <w:szCs w:val="24"/>
          <w:lang w:eastAsia="en-IN"/>
          <w14:ligatures w14:val="none"/>
        </w:rPr>
        <w:t>Audit Quality</w:t>
      </w:r>
      <w:r w:rsidRPr="00F1557F">
        <w:rPr>
          <w:rFonts w:eastAsia="Times New Roman" w:cstheme="minorHAnsi"/>
          <w:kern w:val="0"/>
          <w:sz w:val="24"/>
          <w:szCs w:val="24"/>
          <w:lang w:eastAsia="en-IN"/>
          <w14:ligatures w14:val="none"/>
        </w:rPr>
        <w:t>: The quality and reliability of audits have improved due to the stringent requirements imposed by the PCAOB</w:t>
      </w:r>
      <w:r w:rsidRPr="00F1557F">
        <w:rPr>
          <w:rFonts w:ascii="Times New Roman" w:eastAsia="Times New Roman" w:hAnsi="Times New Roman" w:cs="Times New Roman"/>
          <w:kern w:val="0"/>
          <w:sz w:val="24"/>
          <w:szCs w:val="24"/>
          <w:lang w:eastAsia="en-IN"/>
          <w14:ligatures w14:val="none"/>
        </w:rPr>
        <w:t>.</w:t>
      </w:r>
    </w:p>
    <w:p w14:paraId="11B725F5" w14:textId="77777777" w:rsidR="00494BD4" w:rsidRPr="00CB55BD" w:rsidRDefault="00494BD4" w:rsidP="00462840">
      <w:pPr>
        <w:pStyle w:val="ListParagraph"/>
        <w:ind w:left="113"/>
        <w:jc w:val="both"/>
        <w:rPr>
          <w:rFonts w:cstheme="minorHAnsi"/>
          <w:sz w:val="20"/>
          <w:szCs w:val="20"/>
        </w:rPr>
      </w:pPr>
    </w:p>
    <w:p w14:paraId="575DE165" w14:textId="77777777" w:rsidR="00CB55BD" w:rsidRPr="00CB55BD" w:rsidRDefault="00CB55BD" w:rsidP="00462840">
      <w:pPr>
        <w:pStyle w:val="ListParagraph"/>
        <w:ind w:left="113"/>
        <w:jc w:val="both"/>
        <w:rPr>
          <w:rFonts w:ascii="Arial" w:hAnsi="Arial" w:cs="Arial"/>
          <w:b/>
          <w:bCs/>
          <w:sz w:val="96"/>
          <w:szCs w:val="96"/>
          <w:lang w:val="en-US"/>
        </w:rPr>
      </w:pPr>
    </w:p>
    <w:sectPr w:rsidR="00CB55BD" w:rsidRPr="00CB5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262BE"/>
    <w:multiLevelType w:val="multilevel"/>
    <w:tmpl w:val="CD64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445BC2"/>
    <w:multiLevelType w:val="hybridMultilevel"/>
    <w:tmpl w:val="1E0C06A0"/>
    <w:lvl w:ilvl="0" w:tplc="90B28222">
      <w:start w:val="1"/>
      <w:numFmt w:val="bullet"/>
      <w:lvlText w:val=""/>
      <w:lvlJc w:val="left"/>
      <w:pPr>
        <w:ind w:left="720" w:hanging="360"/>
      </w:pPr>
      <w:rPr>
        <w:rFonts w:ascii="Symbol" w:hAnsi="Symbol" w:hint="default"/>
        <w:b w:val="0"/>
        <w:bCs w:val="0"/>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A18559B"/>
    <w:multiLevelType w:val="hybridMultilevel"/>
    <w:tmpl w:val="BF640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48674C"/>
    <w:multiLevelType w:val="multilevel"/>
    <w:tmpl w:val="2226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9D343E"/>
    <w:multiLevelType w:val="multilevel"/>
    <w:tmpl w:val="D3DA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923855">
    <w:abstractNumId w:val="2"/>
  </w:num>
  <w:num w:numId="2" w16cid:durableId="1309626829">
    <w:abstractNumId w:val="1"/>
  </w:num>
  <w:num w:numId="3" w16cid:durableId="1895656786">
    <w:abstractNumId w:val="3"/>
  </w:num>
  <w:num w:numId="4" w16cid:durableId="1165054727">
    <w:abstractNumId w:val="0"/>
  </w:num>
  <w:num w:numId="5" w16cid:durableId="12420657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3EA"/>
    <w:rsid w:val="00001581"/>
    <w:rsid w:val="00243855"/>
    <w:rsid w:val="00282D4D"/>
    <w:rsid w:val="002C2871"/>
    <w:rsid w:val="003353EA"/>
    <w:rsid w:val="00462840"/>
    <w:rsid w:val="00484F08"/>
    <w:rsid w:val="00494BD4"/>
    <w:rsid w:val="005B48DB"/>
    <w:rsid w:val="00683156"/>
    <w:rsid w:val="00890EC0"/>
    <w:rsid w:val="008F4A62"/>
    <w:rsid w:val="00CB55BD"/>
    <w:rsid w:val="00F15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AF189"/>
  <w15:chartTrackingRefBased/>
  <w15:docId w15:val="{FB97BF14-5FD6-43B5-B2E2-50252B62F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557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53EA"/>
    <w:rPr>
      <w:b/>
      <w:bCs/>
    </w:rPr>
  </w:style>
  <w:style w:type="paragraph" w:styleId="ListParagraph">
    <w:name w:val="List Paragraph"/>
    <w:basedOn w:val="Normal"/>
    <w:uiPriority w:val="34"/>
    <w:qFormat/>
    <w:rsid w:val="003353EA"/>
    <w:pPr>
      <w:ind w:left="720"/>
      <w:contextualSpacing/>
    </w:pPr>
  </w:style>
  <w:style w:type="paragraph" w:customStyle="1" w:styleId="comp">
    <w:name w:val="comp"/>
    <w:basedOn w:val="Normal"/>
    <w:rsid w:val="002438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ntl-inline-citation">
    <w:name w:val="mntl-inline-citation"/>
    <w:basedOn w:val="DefaultParagraphFont"/>
    <w:rsid w:val="00243855"/>
  </w:style>
  <w:style w:type="character" w:styleId="Hyperlink">
    <w:name w:val="Hyperlink"/>
    <w:basedOn w:val="DefaultParagraphFont"/>
    <w:uiPriority w:val="99"/>
    <w:semiHidden/>
    <w:unhideWhenUsed/>
    <w:rsid w:val="00243855"/>
    <w:rPr>
      <w:color w:val="0000FF"/>
      <w:u w:val="single"/>
    </w:rPr>
  </w:style>
  <w:style w:type="character" w:customStyle="1" w:styleId="Heading3Char">
    <w:name w:val="Heading 3 Char"/>
    <w:basedOn w:val="DefaultParagraphFont"/>
    <w:link w:val="Heading3"/>
    <w:uiPriority w:val="9"/>
    <w:rsid w:val="00F1557F"/>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27387">
      <w:bodyDiv w:val="1"/>
      <w:marLeft w:val="0"/>
      <w:marRight w:val="0"/>
      <w:marTop w:val="0"/>
      <w:marBottom w:val="0"/>
      <w:divBdr>
        <w:top w:val="none" w:sz="0" w:space="0" w:color="auto"/>
        <w:left w:val="none" w:sz="0" w:space="0" w:color="auto"/>
        <w:bottom w:val="none" w:sz="0" w:space="0" w:color="auto"/>
        <w:right w:val="none" w:sz="0" w:space="0" w:color="auto"/>
      </w:divBdr>
    </w:div>
    <w:div w:id="651375343">
      <w:bodyDiv w:val="1"/>
      <w:marLeft w:val="0"/>
      <w:marRight w:val="0"/>
      <w:marTop w:val="0"/>
      <w:marBottom w:val="0"/>
      <w:divBdr>
        <w:top w:val="none" w:sz="0" w:space="0" w:color="auto"/>
        <w:left w:val="none" w:sz="0" w:space="0" w:color="auto"/>
        <w:bottom w:val="none" w:sz="0" w:space="0" w:color="auto"/>
        <w:right w:val="none" w:sz="0" w:space="0" w:color="auto"/>
      </w:divBdr>
    </w:div>
    <w:div w:id="663356800">
      <w:bodyDiv w:val="1"/>
      <w:marLeft w:val="0"/>
      <w:marRight w:val="0"/>
      <w:marTop w:val="0"/>
      <w:marBottom w:val="0"/>
      <w:divBdr>
        <w:top w:val="none" w:sz="0" w:space="0" w:color="auto"/>
        <w:left w:val="none" w:sz="0" w:space="0" w:color="auto"/>
        <w:bottom w:val="none" w:sz="0" w:space="0" w:color="auto"/>
        <w:right w:val="none" w:sz="0" w:space="0" w:color="auto"/>
      </w:divBdr>
    </w:div>
    <w:div w:id="1149592234">
      <w:bodyDiv w:val="1"/>
      <w:marLeft w:val="0"/>
      <w:marRight w:val="0"/>
      <w:marTop w:val="0"/>
      <w:marBottom w:val="0"/>
      <w:divBdr>
        <w:top w:val="none" w:sz="0" w:space="0" w:color="auto"/>
        <w:left w:val="none" w:sz="0" w:space="0" w:color="auto"/>
        <w:bottom w:val="none" w:sz="0" w:space="0" w:color="auto"/>
        <w:right w:val="none" w:sz="0" w:space="0" w:color="auto"/>
      </w:divBdr>
    </w:div>
    <w:div w:id="1177190209">
      <w:bodyDiv w:val="1"/>
      <w:marLeft w:val="0"/>
      <w:marRight w:val="0"/>
      <w:marTop w:val="0"/>
      <w:marBottom w:val="0"/>
      <w:divBdr>
        <w:top w:val="none" w:sz="0" w:space="0" w:color="auto"/>
        <w:left w:val="none" w:sz="0" w:space="0" w:color="auto"/>
        <w:bottom w:val="none" w:sz="0" w:space="0" w:color="auto"/>
        <w:right w:val="none" w:sz="0" w:space="0" w:color="auto"/>
      </w:divBdr>
    </w:div>
    <w:div w:id="1345395974">
      <w:bodyDiv w:val="1"/>
      <w:marLeft w:val="0"/>
      <w:marRight w:val="0"/>
      <w:marTop w:val="0"/>
      <w:marBottom w:val="0"/>
      <w:divBdr>
        <w:top w:val="none" w:sz="0" w:space="0" w:color="auto"/>
        <w:left w:val="none" w:sz="0" w:space="0" w:color="auto"/>
        <w:bottom w:val="none" w:sz="0" w:space="0" w:color="auto"/>
        <w:right w:val="none" w:sz="0" w:space="0" w:color="auto"/>
      </w:divBdr>
    </w:div>
    <w:div w:id="1803112039">
      <w:bodyDiv w:val="1"/>
      <w:marLeft w:val="0"/>
      <w:marRight w:val="0"/>
      <w:marTop w:val="0"/>
      <w:marBottom w:val="0"/>
      <w:divBdr>
        <w:top w:val="none" w:sz="0" w:space="0" w:color="auto"/>
        <w:left w:val="none" w:sz="0" w:space="0" w:color="auto"/>
        <w:bottom w:val="none" w:sz="0" w:space="0" w:color="auto"/>
        <w:right w:val="none" w:sz="0" w:space="0" w:color="auto"/>
      </w:divBdr>
    </w:div>
    <w:div w:id="190653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vestopedia.com/ask/answers/041615/how-are-asset-management-firms-regulated.asp" TargetMode="External"/><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s/secfee.asp" TargetMode="External"/><Relationship Id="rId11" Type="http://schemas.openxmlformats.org/officeDocument/2006/relationships/chart" Target="charts/chart3.xml"/><Relationship Id="rId5" Type="http://schemas.openxmlformats.org/officeDocument/2006/relationships/image" Target="media/image1.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800" b="1">
                <a:effectLst/>
              </a:rPr>
              <a:t>Dodd-Frank Wall Street reform and consumer protection Act</a:t>
            </a:r>
            <a:endParaRPr lang="en-IN" sz="18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0.14580336832895888"/>
          <c:y val="0.17171296296296296"/>
          <c:w val="0.74644062967879588"/>
          <c:h val="0.62009699767921167"/>
        </c:manualLayout>
      </c:layout>
      <c:lineChart>
        <c:grouping val="standard"/>
        <c:varyColors val="0"/>
        <c:ser>
          <c:idx val="0"/>
          <c:order val="0"/>
          <c:tx>
            <c:strRef>
              <c:f>Sheet1!$D$3</c:f>
              <c:strCache>
                <c:ptCount val="1"/>
                <c:pt idx="0">
                  <c:v>Capital Ratio Before Test (%)</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Sheet1!$C$4:$C$8</c:f>
              <c:numCache>
                <c:formatCode>General</c:formatCode>
                <c:ptCount val="5"/>
                <c:pt idx="0">
                  <c:v>2019</c:v>
                </c:pt>
                <c:pt idx="1">
                  <c:v>2020</c:v>
                </c:pt>
                <c:pt idx="2">
                  <c:v>2021</c:v>
                </c:pt>
                <c:pt idx="3">
                  <c:v>2022</c:v>
                </c:pt>
                <c:pt idx="4">
                  <c:v>2023</c:v>
                </c:pt>
              </c:numCache>
            </c:numRef>
          </c:cat>
          <c:val>
            <c:numRef>
              <c:f>Sheet1!$D$4:$D$8</c:f>
              <c:numCache>
                <c:formatCode>General</c:formatCode>
                <c:ptCount val="5"/>
                <c:pt idx="0">
                  <c:v>12</c:v>
                </c:pt>
                <c:pt idx="1">
                  <c:v>12.5</c:v>
                </c:pt>
                <c:pt idx="2">
                  <c:v>13</c:v>
                </c:pt>
                <c:pt idx="3">
                  <c:v>12.8</c:v>
                </c:pt>
                <c:pt idx="4">
                  <c:v>13.2</c:v>
                </c:pt>
              </c:numCache>
            </c:numRef>
          </c:val>
          <c:smooth val="0"/>
          <c:extLst>
            <c:ext xmlns:c16="http://schemas.microsoft.com/office/drawing/2014/chart" uri="{C3380CC4-5D6E-409C-BE32-E72D297353CC}">
              <c16:uniqueId val="{00000000-25A5-414F-B2E6-F3410629137E}"/>
            </c:ext>
          </c:extLst>
        </c:ser>
        <c:ser>
          <c:idx val="1"/>
          <c:order val="1"/>
          <c:tx>
            <c:strRef>
              <c:f>Sheet1!$E$3</c:f>
              <c:strCache>
                <c:ptCount val="1"/>
                <c:pt idx="0">
                  <c:v>Capital Ratio After Test (%)</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Sheet1!$C$4:$C$8</c:f>
              <c:numCache>
                <c:formatCode>General</c:formatCode>
                <c:ptCount val="5"/>
                <c:pt idx="0">
                  <c:v>2019</c:v>
                </c:pt>
                <c:pt idx="1">
                  <c:v>2020</c:v>
                </c:pt>
                <c:pt idx="2">
                  <c:v>2021</c:v>
                </c:pt>
                <c:pt idx="3">
                  <c:v>2022</c:v>
                </c:pt>
                <c:pt idx="4">
                  <c:v>2023</c:v>
                </c:pt>
              </c:numCache>
            </c:numRef>
          </c:cat>
          <c:val>
            <c:numRef>
              <c:f>Sheet1!$E$4:$E$8</c:f>
              <c:numCache>
                <c:formatCode>General</c:formatCode>
                <c:ptCount val="5"/>
                <c:pt idx="0">
                  <c:v>9.5</c:v>
                </c:pt>
                <c:pt idx="1">
                  <c:v>8</c:v>
                </c:pt>
                <c:pt idx="2">
                  <c:v>9</c:v>
                </c:pt>
                <c:pt idx="3">
                  <c:v>8.6999999999999993</c:v>
                </c:pt>
                <c:pt idx="4">
                  <c:v>9.1999999999999993</c:v>
                </c:pt>
              </c:numCache>
            </c:numRef>
          </c:val>
          <c:smooth val="0"/>
          <c:extLst>
            <c:ext xmlns:c16="http://schemas.microsoft.com/office/drawing/2014/chart" uri="{C3380CC4-5D6E-409C-BE32-E72D297353CC}">
              <c16:uniqueId val="{00000001-25A5-414F-B2E6-F3410629137E}"/>
            </c:ext>
          </c:extLst>
        </c:ser>
        <c:ser>
          <c:idx val="2"/>
          <c:order val="2"/>
          <c:tx>
            <c:strRef>
              <c:f>Sheet1!$F$3</c:f>
              <c:strCache>
                <c:ptCount val="1"/>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Sheet1!$C$4:$C$8</c:f>
              <c:numCache>
                <c:formatCode>General</c:formatCode>
                <c:ptCount val="5"/>
                <c:pt idx="0">
                  <c:v>2019</c:v>
                </c:pt>
                <c:pt idx="1">
                  <c:v>2020</c:v>
                </c:pt>
                <c:pt idx="2">
                  <c:v>2021</c:v>
                </c:pt>
                <c:pt idx="3">
                  <c:v>2022</c:v>
                </c:pt>
                <c:pt idx="4">
                  <c:v>2023</c:v>
                </c:pt>
              </c:numCache>
            </c:numRef>
          </c:cat>
          <c:val>
            <c:numRef>
              <c:f>Sheet1!$F$4:$F$8</c:f>
            </c:numRef>
          </c:val>
          <c:smooth val="0"/>
          <c:extLst>
            <c:ext xmlns:c16="http://schemas.microsoft.com/office/drawing/2014/chart" uri="{C3380CC4-5D6E-409C-BE32-E72D297353CC}">
              <c16:uniqueId val="{00000002-25A5-414F-B2E6-F3410629137E}"/>
            </c:ext>
          </c:extLst>
        </c:ser>
        <c:ser>
          <c:idx val="3"/>
          <c:order val="3"/>
          <c:tx>
            <c:strRef>
              <c:f>Sheet1!$G$3</c:f>
              <c:strCache>
                <c:ptCount val="1"/>
                <c:pt idx="0">
                  <c:v>GDP Decline (%)</c:v>
                </c:pt>
              </c:strCache>
            </c:strRef>
          </c:tx>
          <c:spPr>
            <a:ln w="2857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Sheet1!$C$4:$C$8</c:f>
              <c:numCache>
                <c:formatCode>General</c:formatCode>
                <c:ptCount val="5"/>
                <c:pt idx="0">
                  <c:v>2019</c:v>
                </c:pt>
                <c:pt idx="1">
                  <c:v>2020</c:v>
                </c:pt>
                <c:pt idx="2">
                  <c:v>2021</c:v>
                </c:pt>
                <c:pt idx="3">
                  <c:v>2022</c:v>
                </c:pt>
                <c:pt idx="4">
                  <c:v>2023</c:v>
                </c:pt>
              </c:numCache>
            </c:numRef>
          </c:cat>
          <c:val>
            <c:numRef>
              <c:f>Sheet1!$G$4:$G$8</c:f>
              <c:numCache>
                <c:formatCode>General</c:formatCode>
                <c:ptCount val="5"/>
                <c:pt idx="0">
                  <c:v>-6</c:v>
                </c:pt>
                <c:pt idx="1">
                  <c:v>-7.5</c:v>
                </c:pt>
                <c:pt idx="2">
                  <c:v>-5.5</c:v>
                </c:pt>
                <c:pt idx="3">
                  <c:v>-6.2</c:v>
                </c:pt>
                <c:pt idx="4">
                  <c:v>-5</c:v>
                </c:pt>
              </c:numCache>
            </c:numRef>
          </c:val>
          <c:smooth val="0"/>
          <c:extLst>
            <c:ext xmlns:c16="http://schemas.microsoft.com/office/drawing/2014/chart" uri="{C3380CC4-5D6E-409C-BE32-E72D297353CC}">
              <c16:uniqueId val="{00000003-25A5-414F-B2E6-F3410629137E}"/>
            </c:ext>
          </c:extLst>
        </c:ser>
        <c:ser>
          <c:idx val="4"/>
          <c:order val="4"/>
          <c:tx>
            <c:strRef>
              <c:f>Sheet1!$H$3</c:f>
              <c:strCache>
                <c:ptCount val="1"/>
                <c:pt idx="0">
                  <c:v>Unemployment Rate (%)</c:v>
                </c:pt>
              </c:strCache>
            </c:strRef>
          </c:tx>
          <c:spPr>
            <a:ln w="28575" cap="rnd">
              <a:solidFill>
                <a:schemeClr val="accent5"/>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Sheet1!$C$4:$C$8</c:f>
              <c:numCache>
                <c:formatCode>General</c:formatCode>
                <c:ptCount val="5"/>
                <c:pt idx="0">
                  <c:v>2019</c:v>
                </c:pt>
                <c:pt idx="1">
                  <c:v>2020</c:v>
                </c:pt>
                <c:pt idx="2">
                  <c:v>2021</c:v>
                </c:pt>
                <c:pt idx="3">
                  <c:v>2022</c:v>
                </c:pt>
                <c:pt idx="4">
                  <c:v>2023</c:v>
                </c:pt>
              </c:numCache>
            </c:numRef>
          </c:cat>
          <c:val>
            <c:numRef>
              <c:f>Sheet1!$H$4:$H$8</c:f>
              <c:numCache>
                <c:formatCode>General</c:formatCode>
                <c:ptCount val="5"/>
                <c:pt idx="0">
                  <c:v>10</c:v>
                </c:pt>
                <c:pt idx="1">
                  <c:v>12</c:v>
                </c:pt>
                <c:pt idx="2">
                  <c:v>9</c:v>
                </c:pt>
                <c:pt idx="3">
                  <c:v>10.5</c:v>
                </c:pt>
                <c:pt idx="4">
                  <c:v>8.5</c:v>
                </c:pt>
              </c:numCache>
            </c:numRef>
          </c:val>
          <c:smooth val="0"/>
          <c:extLst>
            <c:ext xmlns:c16="http://schemas.microsoft.com/office/drawing/2014/chart" uri="{C3380CC4-5D6E-409C-BE32-E72D297353CC}">
              <c16:uniqueId val="{00000004-25A5-414F-B2E6-F3410629137E}"/>
            </c:ext>
          </c:extLst>
        </c:ser>
        <c:dLbls>
          <c:dLblPos val="ctr"/>
          <c:showLegendKey val="0"/>
          <c:showVal val="1"/>
          <c:showCatName val="0"/>
          <c:showSerName val="0"/>
          <c:showPercent val="0"/>
          <c:showBubbleSize val="0"/>
        </c:dLbls>
        <c:smooth val="0"/>
        <c:axId val="497557551"/>
        <c:axId val="497565231"/>
      </c:lineChart>
      <c:catAx>
        <c:axId val="4975575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565231"/>
        <c:crosses val="autoZero"/>
        <c:auto val="1"/>
        <c:lblAlgn val="ctr"/>
        <c:lblOffset val="100"/>
        <c:noMultiLvlLbl val="0"/>
      </c:catAx>
      <c:valAx>
        <c:axId val="497565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5575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PCAOB</a:t>
            </a:r>
            <a:r>
              <a:rPr lang="en-IN" baseline="0"/>
              <a:t> Inspections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Sheet1!$D$3:$D$4</c:f>
              <c:strCache>
                <c:ptCount val="2"/>
                <c:pt idx="1">
                  <c:v>PCAOB Inspections</c:v>
                </c:pt>
              </c:strCache>
            </c:strRef>
          </c:tx>
          <c:spPr>
            <a:ln w="28575" cap="rnd">
              <a:solidFill>
                <a:schemeClr val="accent1"/>
              </a:solidFill>
              <a:round/>
            </a:ln>
            <a:effectLst/>
          </c:spPr>
          <c:marker>
            <c:symbol val="none"/>
          </c:marker>
          <c:cat>
            <c:numRef>
              <c:f>Sheet1!$C$5:$C$9</c:f>
              <c:numCache>
                <c:formatCode>General</c:formatCode>
                <c:ptCount val="5"/>
                <c:pt idx="0">
                  <c:v>2019</c:v>
                </c:pt>
                <c:pt idx="1">
                  <c:v>2020</c:v>
                </c:pt>
                <c:pt idx="2">
                  <c:v>2021</c:v>
                </c:pt>
                <c:pt idx="3">
                  <c:v>2022</c:v>
                </c:pt>
                <c:pt idx="4">
                  <c:v>2023</c:v>
                </c:pt>
              </c:numCache>
            </c:numRef>
          </c:cat>
          <c:val>
            <c:numRef>
              <c:f>Sheet1!$D$5:$D$9</c:f>
              <c:numCache>
                <c:formatCode>General</c:formatCode>
                <c:ptCount val="5"/>
                <c:pt idx="0">
                  <c:v>2000</c:v>
                </c:pt>
                <c:pt idx="1">
                  <c:v>1800</c:v>
                </c:pt>
                <c:pt idx="2">
                  <c:v>1900</c:v>
                </c:pt>
                <c:pt idx="3">
                  <c:v>2100</c:v>
                </c:pt>
                <c:pt idx="4">
                  <c:v>2200</c:v>
                </c:pt>
              </c:numCache>
            </c:numRef>
          </c:val>
          <c:smooth val="0"/>
          <c:extLst>
            <c:ext xmlns:c16="http://schemas.microsoft.com/office/drawing/2014/chart" uri="{C3380CC4-5D6E-409C-BE32-E72D297353CC}">
              <c16:uniqueId val="{00000000-806C-4ACF-89AB-CBB96EB3F683}"/>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Sheet1!$C$5:$C$9</c:f>
              <c:numCache>
                <c:formatCode>General</c:formatCode>
                <c:ptCount val="5"/>
                <c:pt idx="0">
                  <c:v>2019</c:v>
                </c:pt>
                <c:pt idx="1">
                  <c:v>2020</c:v>
                </c:pt>
                <c:pt idx="2">
                  <c:v>2021</c:v>
                </c:pt>
                <c:pt idx="3">
                  <c:v>2022</c:v>
                </c:pt>
                <c:pt idx="4">
                  <c:v>2023</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806C-4ACF-89AB-CBB96EB3F683}"/>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Sheet1!$C$5:$C$9</c:f>
              <c:numCache>
                <c:formatCode>General</c:formatCode>
                <c:ptCount val="5"/>
                <c:pt idx="0">
                  <c:v>2019</c:v>
                </c:pt>
                <c:pt idx="1">
                  <c:v>2020</c:v>
                </c:pt>
                <c:pt idx="2">
                  <c:v>2021</c:v>
                </c:pt>
                <c:pt idx="3">
                  <c:v>2022</c:v>
                </c:pt>
                <c:pt idx="4">
                  <c:v>2023</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806C-4ACF-89AB-CBB96EB3F683}"/>
            </c:ext>
          </c:extLst>
        </c:ser>
        <c:dLbls>
          <c:showLegendKey val="0"/>
          <c:showVal val="0"/>
          <c:showCatName val="0"/>
          <c:showSerName val="0"/>
          <c:showPercent val="0"/>
          <c:showBubbleSize val="0"/>
        </c:dLbls>
        <c:smooth val="0"/>
        <c:axId val="1750600319"/>
        <c:axId val="1750606559"/>
      </c:lineChart>
      <c:catAx>
        <c:axId val="1750600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0606559"/>
        <c:crosses val="autoZero"/>
        <c:auto val="1"/>
        <c:lblAlgn val="ctr"/>
        <c:lblOffset val="100"/>
        <c:noMultiLvlLbl val="0"/>
      </c:catAx>
      <c:valAx>
        <c:axId val="1750606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0600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9247594050743664E-2"/>
          <c:y val="0.17171296296296296"/>
          <c:w val="0.90964129483814526"/>
          <c:h val="0.73014690871974341"/>
        </c:manualLayout>
      </c:layout>
      <c:lineChart>
        <c:grouping val="standard"/>
        <c:varyColors val="0"/>
        <c:ser>
          <c:idx val="0"/>
          <c:order val="0"/>
          <c:tx>
            <c:strRef>
              <c:f>Sheet1!$J$5</c:f>
              <c:strCache>
                <c:ptCount val="1"/>
                <c:pt idx="0">
                  <c:v>SEC Inforcement Actions</c:v>
                </c:pt>
              </c:strCache>
            </c:strRef>
          </c:tx>
          <c:spPr>
            <a:ln w="28575" cap="rnd">
              <a:solidFill>
                <a:schemeClr val="accent1"/>
              </a:solidFill>
              <a:round/>
            </a:ln>
            <a:effectLst/>
          </c:spPr>
          <c:marker>
            <c:symbol val="none"/>
          </c:marker>
          <c:cat>
            <c:numRef>
              <c:f>Sheet1!$I$6:$I$10</c:f>
              <c:numCache>
                <c:formatCode>General</c:formatCode>
                <c:ptCount val="5"/>
                <c:pt idx="0">
                  <c:v>2019</c:v>
                </c:pt>
                <c:pt idx="1">
                  <c:v>2020</c:v>
                </c:pt>
                <c:pt idx="2">
                  <c:v>2021</c:v>
                </c:pt>
                <c:pt idx="3">
                  <c:v>2022</c:v>
                </c:pt>
                <c:pt idx="4">
                  <c:v>2023</c:v>
                </c:pt>
              </c:numCache>
            </c:numRef>
          </c:cat>
          <c:val>
            <c:numRef>
              <c:f>Sheet1!$J$6:$J$10</c:f>
              <c:numCache>
                <c:formatCode>General</c:formatCode>
                <c:ptCount val="5"/>
                <c:pt idx="0">
                  <c:v>150</c:v>
                </c:pt>
                <c:pt idx="1">
                  <c:v>140</c:v>
                </c:pt>
                <c:pt idx="2">
                  <c:v>160</c:v>
                </c:pt>
                <c:pt idx="3">
                  <c:v>170</c:v>
                </c:pt>
                <c:pt idx="4">
                  <c:v>180</c:v>
                </c:pt>
              </c:numCache>
            </c:numRef>
          </c:val>
          <c:smooth val="0"/>
          <c:extLst>
            <c:ext xmlns:c16="http://schemas.microsoft.com/office/drawing/2014/chart" uri="{C3380CC4-5D6E-409C-BE32-E72D297353CC}">
              <c16:uniqueId val="{00000000-1B02-4FA3-B5D0-2BB871175972}"/>
            </c:ext>
          </c:extLst>
        </c:ser>
        <c:dLbls>
          <c:showLegendKey val="0"/>
          <c:showVal val="0"/>
          <c:showCatName val="0"/>
          <c:showSerName val="0"/>
          <c:showPercent val="0"/>
          <c:showBubbleSize val="0"/>
        </c:dLbls>
        <c:smooth val="0"/>
        <c:axId val="1750588319"/>
        <c:axId val="1750601279"/>
      </c:lineChart>
      <c:catAx>
        <c:axId val="1750588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0601279"/>
        <c:crosses val="autoZero"/>
        <c:auto val="1"/>
        <c:lblAlgn val="ctr"/>
        <c:lblOffset val="100"/>
        <c:noMultiLvlLbl val="0"/>
      </c:catAx>
      <c:valAx>
        <c:axId val="1750601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05883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224900096947341"/>
          <c:y val="2.9350221823196604E-2"/>
          <c:w val="0.89655796150481193"/>
          <c:h val="0.72088764946048411"/>
        </c:manualLayout>
      </c:layout>
      <c:lineChart>
        <c:grouping val="standard"/>
        <c:varyColors val="0"/>
        <c:ser>
          <c:idx val="0"/>
          <c:order val="0"/>
          <c:tx>
            <c:strRef>
              <c:f>Sheet1!$H$39</c:f>
              <c:strCache>
                <c:ptCount val="1"/>
                <c:pt idx="0">
                  <c:v>Clawback Amounts (millions)</c:v>
                </c:pt>
              </c:strCache>
            </c:strRef>
          </c:tx>
          <c:spPr>
            <a:ln w="28575" cap="rnd">
              <a:solidFill>
                <a:schemeClr val="accent1"/>
              </a:solidFill>
              <a:round/>
            </a:ln>
            <a:effectLst/>
          </c:spPr>
          <c:marker>
            <c:symbol val="none"/>
          </c:marker>
          <c:cat>
            <c:numRef>
              <c:f>Sheet1!$G$40:$G$44</c:f>
              <c:numCache>
                <c:formatCode>General</c:formatCode>
                <c:ptCount val="5"/>
                <c:pt idx="0">
                  <c:v>2019</c:v>
                </c:pt>
                <c:pt idx="1">
                  <c:v>2020</c:v>
                </c:pt>
                <c:pt idx="2">
                  <c:v>2021</c:v>
                </c:pt>
                <c:pt idx="3">
                  <c:v>2022</c:v>
                </c:pt>
                <c:pt idx="4">
                  <c:v>2023</c:v>
                </c:pt>
              </c:numCache>
            </c:numRef>
          </c:cat>
          <c:val>
            <c:numRef>
              <c:f>Sheet1!$H$40:$H$44</c:f>
              <c:numCache>
                <c:formatCode>General</c:formatCode>
                <c:ptCount val="5"/>
                <c:pt idx="0">
                  <c:v>3.2</c:v>
                </c:pt>
                <c:pt idx="1">
                  <c:v>2.8</c:v>
                </c:pt>
                <c:pt idx="2">
                  <c:v>3.5</c:v>
                </c:pt>
                <c:pt idx="3">
                  <c:v>4</c:v>
                </c:pt>
                <c:pt idx="4">
                  <c:v>4.5</c:v>
                </c:pt>
              </c:numCache>
            </c:numRef>
          </c:val>
          <c:smooth val="0"/>
          <c:extLst>
            <c:ext xmlns:c16="http://schemas.microsoft.com/office/drawing/2014/chart" uri="{C3380CC4-5D6E-409C-BE32-E72D297353CC}">
              <c16:uniqueId val="{00000000-85AF-46E9-9738-07E33F6C5EE4}"/>
            </c:ext>
          </c:extLst>
        </c:ser>
        <c:dLbls>
          <c:showLegendKey val="0"/>
          <c:showVal val="0"/>
          <c:showCatName val="0"/>
          <c:showSerName val="0"/>
          <c:showPercent val="0"/>
          <c:showBubbleSize val="0"/>
        </c:dLbls>
        <c:smooth val="0"/>
        <c:axId val="1750587359"/>
        <c:axId val="1750584959"/>
      </c:lineChart>
      <c:catAx>
        <c:axId val="1750587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0584959"/>
        <c:crosses val="autoZero"/>
        <c:auto val="1"/>
        <c:lblAlgn val="ctr"/>
        <c:lblOffset val="100"/>
        <c:noMultiLvlLbl val="0"/>
      </c:catAx>
      <c:valAx>
        <c:axId val="1750584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05873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6</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Mishra</dc:creator>
  <cp:keywords/>
  <dc:description/>
  <cp:lastModifiedBy>Nidhi Mishra</cp:lastModifiedBy>
  <cp:revision>1</cp:revision>
  <dcterms:created xsi:type="dcterms:W3CDTF">2024-06-13T02:56:00Z</dcterms:created>
  <dcterms:modified xsi:type="dcterms:W3CDTF">2024-06-13T06:21:00Z</dcterms:modified>
</cp:coreProperties>
</file>