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2B579" w14:textId="23B0E1FA" w:rsidR="00001581" w:rsidRPr="001E6D22" w:rsidRDefault="00AE5EF1">
      <w:pPr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 w:rsidRPr="001E6D22">
        <w:rPr>
          <w:rStyle w:val="Strong"/>
          <w:rFonts w:ascii="Times New Roman" w:hAnsi="Times New Roman" w:cs="Times New Roman"/>
          <w:sz w:val="28"/>
          <w:szCs w:val="28"/>
          <w:u w:val="single"/>
        </w:rPr>
        <w:t>Blockchain and Cryptocurrency</w:t>
      </w:r>
    </w:p>
    <w:p w14:paraId="69D01D2D" w14:textId="4E9D5B03" w:rsidR="00AE5EF1" w:rsidRPr="00177EE9" w:rsidRDefault="00AE5EF1" w:rsidP="00177EE9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Blockchain is a digital ledger that records transactions across a network of computers and Cryptocurrency is a type of digital money that uses encryption to secure and verify transfers</w:t>
      </w:r>
    </w:p>
    <w:p w14:paraId="35C5EB94" w14:textId="0C228B18" w:rsidR="00AE5EF1" w:rsidRPr="00177EE9" w:rsidRDefault="00AE5EF1" w:rsidP="00177EE9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Blockchain and cryptocurrency are related because blockchain is the technology that enables cryptocurrency to exist and function</w:t>
      </w:r>
      <w:r w:rsidR="00E94CEE"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63E6819" w14:textId="0B41CBCB" w:rsidR="00FF466B" w:rsidRDefault="00FF466B" w:rsidP="001E6D22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>Many banks have invested in cryptocurrency and blockchain companies. For instance:</w:t>
      </w:r>
      <w:r w:rsid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 xml:space="preserve"> </w:t>
      </w:r>
      <w:hyperlink r:id="rId5" w:tgtFrame="_blank" w:history="1">
        <w:r w:rsidRPr="00177EE9">
          <w:rPr>
            <w:rStyle w:val="Strong"/>
            <w:rFonts w:ascii="Times New Roman" w:hAnsi="Times New Roman" w:cs="Times New Roman"/>
            <w:b w:val="0"/>
            <w:bCs w:val="0"/>
            <w:sz w:val="24"/>
            <w:szCs w:val="24"/>
            <w:lang w:eastAsia="en-IN"/>
          </w:rPr>
          <w:t>Standard Chartered has invested in Ripple, a blockchain network, and Cobalt, a UK-based trading technology provider</w:t>
        </w:r>
      </w:hyperlink>
    </w:p>
    <w:p w14:paraId="3816F291" w14:textId="3B8902CF" w:rsidR="004B45AA" w:rsidRPr="004B45AA" w:rsidRDefault="004B45AA" w:rsidP="004B45AA">
      <w:pPr>
        <w:pStyle w:val="ListParagraph"/>
        <w:numPr>
          <w:ilvl w:val="0"/>
          <w:numId w:val="4"/>
        </w:numPr>
        <w:shd w:val="clear" w:color="auto" w:fill="FFFFFF"/>
        <w:spacing w:before="225" w:after="225" w:line="312" w:lineRule="atLeast"/>
        <w:textAlignment w:val="baseline"/>
        <w:outlineLvl w:val="2"/>
        <w:rPr>
          <w:rStyle w:val="Strong"/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45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Almost 3 In 10 Organizations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4B45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 The Banking Sector Have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4B45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dopted Blockchain Technology.</w:t>
      </w:r>
      <w:r w:rsidRPr="004B4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a result, Banking is the sector with the highest distribution of blockchain market value.</w:t>
      </w:r>
    </w:p>
    <w:p w14:paraId="6011E3C0" w14:textId="77777777" w:rsidR="00FF466B" w:rsidRPr="00177EE9" w:rsidRDefault="00FF466B" w:rsidP="00177EE9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>Banks are focusing on crypto custody services, where they safeguard clients’ digital assets for a fee.</w:t>
      </w:r>
    </w:p>
    <w:p w14:paraId="47DE4BC6" w14:textId="6010EA56" w:rsidR="00FF466B" w:rsidRPr="00177EE9" w:rsidRDefault="00FF466B" w:rsidP="001E6D22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>Instead of traditional ATM cards, banks can create secure, blockchain-based apps.</w:t>
      </w:r>
      <w:r w:rsid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 xml:space="preserve"> </w:t>
      </w:r>
      <w:hyperlink r:id="rId6" w:tgtFrame="_blank" w:history="1">
        <w:r w:rsidRPr="00177EE9">
          <w:rPr>
            <w:rStyle w:val="Strong"/>
            <w:rFonts w:ascii="Times New Roman" w:hAnsi="Times New Roman" w:cs="Times New Roman"/>
            <w:b w:val="0"/>
            <w:bCs w:val="0"/>
            <w:sz w:val="24"/>
            <w:szCs w:val="24"/>
            <w:lang w:eastAsia="en-IN"/>
          </w:rPr>
          <w:t>These apps offer better safety, control, and efficiency for customers</w:t>
        </w:r>
      </w:hyperlink>
    </w:p>
    <w:p w14:paraId="19CF1A47" w14:textId="705C5024" w:rsidR="00E94CEE" w:rsidRPr="00177EE9" w:rsidRDefault="00177EE9" w:rsidP="00177EE9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</w:t>
      </w:r>
      <w:r w:rsidR="00E94CEE"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ryptocurrency thefts amounted to $1.38 billion by June 24, more than doubling from $657 million during the same period in 2023.</w:t>
      </w:r>
    </w:p>
    <w:p w14:paraId="58DE406E" w14:textId="615AAC80" w:rsidR="00FB78D8" w:rsidRPr="00177EE9" w:rsidRDefault="00FB78D8" w:rsidP="00177EE9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Bitcoin, the first cryptocurrency, has the largest market capitalization, at $249 billion in early 2020.</w:t>
      </w:r>
    </w:p>
    <w:p w14:paraId="393A9AEB" w14:textId="262E4A1F" w:rsidR="00FF466B" w:rsidRPr="00177EE9" w:rsidRDefault="00FF466B" w:rsidP="00177EE9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 </w:t>
      </w:r>
      <w:hyperlink r:id="rId7" w:anchor=":~:text=The%20global%20cryptocurrency%20market%20cap,a%20Bitcoin%20dominance%20of%2048.12%25." w:history="1">
        <w:r w:rsidRPr="00177EE9">
          <w:rPr>
            <w:rStyle w:val="Strong"/>
            <w:rFonts w:ascii="Times New Roman" w:hAnsi="Times New Roman" w:cs="Times New Roman"/>
            <w:b w:val="0"/>
            <w:bCs w:val="0"/>
            <w:sz w:val="24"/>
            <w:szCs w:val="24"/>
          </w:rPr>
          <w:t>global cryptocurrency market capitalization</w:t>
        </w:r>
      </w:hyperlink>
      <w:r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 currently stands at $1.22T, and with the rapid growth of some of the neobanks, it might not be too long before one breaks into the top 100.</w:t>
      </w:r>
    </w:p>
    <w:p w14:paraId="45A6A181" w14:textId="4330F106" w:rsidR="00FF466B" w:rsidRPr="00177EE9" w:rsidRDefault="00FF466B" w:rsidP="00177EE9">
      <w:pPr>
        <w:pStyle w:val="ListParagraph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Accenture has </w:t>
      </w:r>
      <w:hyperlink r:id="rId8" w:anchor="zoom=50" w:history="1">
        <w:r w:rsidRPr="00177EE9">
          <w:rPr>
            <w:rStyle w:val="Strong"/>
            <w:rFonts w:ascii="Times New Roman" w:hAnsi="Times New Roman" w:cs="Times New Roman"/>
            <w:b w:val="0"/>
            <w:bCs w:val="0"/>
            <w:sz w:val="24"/>
            <w:szCs w:val="24"/>
          </w:rPr>
          <w:t>estimated</w:t>
        </w:r>
      </w:hyperlink>
      <w:r w:rsidRPr="00177EE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 that the biggest investment banks could save $10bn by using blockchain technology to improve the efficiency of clearing and settlement.</w:t>
      </w:r>
    </w:p>
    <w:p w14:paraId="1BCB464B" w14:textId="4924371F" w:rsidR="00FB78D8" w:rsidRDefault="00FB78D8">
      <w:pPr>
        <w:rPr>
          <w:rFonts w:ascii="Georgia" w:hAnsi="Georgia"/>
          <w:color w:val="33302E"/>
          <w:sz w:val="30"/>
          <w:szCs w:val="30"/>
          <w:shd w:val="clear" w:color="auto" w:fill="FFF1E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37F0D" wp14:editId="6EA8A633">
            <wp:simplePos x="0" y="0"/>
            <wp:positionH relativeFrom="column">
              <wp:posOffset>1556385</wp:posOffset>
            </wp:positionH>
            <wp:positionV relativeFrom="paragraph">
              <wp:posOffset>334010</wp:posOffset>
            </wp:positionV>
            <wp:extent cx="4373880" cy="2652395"/>
            <wp:effectExtent l="0" t="0" r="7620" b="14605"/>
            <wp:wrapSquare wrapText="bothSides"/>
            <wp:docPr id="21304393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9E9304-3E05-4007-C6EB-431B0FE765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813"/>
        <w:gridCol w:w="1107"/>
      </w:tblGrid>
      <w:tr w:rsidR="00FB78D8" w:rsidRPr="00FB78D8" w14:paraId="335CDF3B" w14:textId="77777777" w:rsidTr="00FB78D8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79691" w14:textId="77777777" w:rsidR="00FB78D8" w:rsidRPr="00FB78D8" w:rsidRDefault="00FB78D8" w:rsidP="00FB7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1510" w14:textId="77777777" w:rsidR="00FB78D8" w:rsidRPr="00FB78D8" w:rsidRDefault="00FB78D8" w:rsidP="00FB7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Bitcoin Price ($)</w:t>
            </w:r>
          </w:p>
        </w:tc>
      </w:tr>
      <w:tr w:rsidR="00FB78D8" w:rsidRPr="00FB78D8" w14:paraId="257B2303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9ACD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B5F12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5.45</w:t>
            </w:r>
          </w:p>
        </w:tc>
      </w:tr>
      <w:tr w:rsidR="00FB78D8" w:rsidRPr="00FB78D8" w14:paraId="3CEBCF83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AEC19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07C42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13.4</w:t>
            </w:r>
          </w:p>
        </w:tc>
      </w:tr>
      <w:tr w:rsidR="00FB78D8" w:rsidRPr="00FB78D8" w14:paraId="5A5E4417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9EC5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BEAA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807.39</w:t>
            </w:r>
          </w:p>
        </w:tc>
      </w:tr>
      <w:tr w:rsidR="00FB78D8" w:rsidRPr="00FB78D8" w14:paraId="2291998C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7195E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52462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314.81</w:t>
            </w:r>
          </w:p>
        </w:tc>
      </w:tr>
      <w:tr w:rsidR="00FB78D8" w:rsidRPr="00FB78D8" w14:paraId="2AA84C44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5073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71548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432.76</w:t>
            </w:r>
          </w:p>
        </w:tc>
      </w:tr>
      <w:tr w:rsidR="00FB78D8" w:rsidRPr="00FB78D8" w14:paraId="33753040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8FC4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1B7C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1,034.07</w:t>
            </w:r>
          </w:p>
        </w:tc>
      </w:tr>
      <w:tr w:rsidR="00FB78D8" w:rsidRPr="00FB78D8" w14:paraId="3DA8C421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D6AD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07302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7,365.99</w:t>
            </w:r>
          </w:p>
        </w:tc>
      </w:tr>
      <w:tr w:rsidR="00FB78D8" w:rsidRPr="00FB78D8" w14:paraId="0074B385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0CDF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6EA6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19,279.90</w:t>
            </w:r>
          </w:p>
        </w:tc>
      </w:tr>
      <w:tr w:rsidR="00FB78D8" w:rsidRPr="00FB78D8" w14:paraId="00FAB8F4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A74C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C801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11,516.83</w:t>
            </w:r>
          </w:p>
        </w:tc>
      </w:tr>
      <w:tr w:rsidR="00FB78D8" w:rsidRPr="00FB78D8" w14:paraId="199A6A62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17B2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7E433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3,885.21</w:t>
            </w:r>
          </w:p>
        </w:tc>
      </w:tr>
      <w:tr w:rsidR="00FB78D8" w:rsidRPr="00FB78D8" w14:paraId="4A31E55E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F868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A092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12,586.78</w:t>
            </w:r>
          </w:p>
        </w:tc>
      </w:tr>
      <w:tr w:rsidR="00FB78D8" w:rsidRPr="00FB78D8" w14:paraId="7D552674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9294D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26D3A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6,944.33</w:t>
            </w:r>
          </w:p>
        </w:tc>
      </w:tr>
      <w:tr w:rsidR="00FB78D8" w:rsidRPr="00FB78D8" w14:paraId="42129E0C" w14:textId="77777777" w:rsidTr="00FB78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12EEB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D41A" w14:textId="77777777" w:rsidR="00FB78D8" w:rsidRPr="00FB78D8" w:rsidRDefault="00FB78D8" w:rsidP="00FB7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78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10,002.48</w:t>
            </w:r>
          </w:p>
        </w:tc>
      </w:tr>
    </w:tbl>
    <w:p w14:paraId="0F430E1E" w14:textId="77777777" w:rsidR="00FB78D8" w:rsidRDefault="00FB78D8">
      <w:pPr>
        <w:rPr>
          <w:rFonts w:ascii="Montserrat" w:hAnsi="Montserrat"/>
          <w:color w:val="262626"/>
          <w:sz w:val="30"/>
          <w:szCs w:val="30"/>
          <w:shd w:val="clear" w:color="auto" w:fill="FFFFFF"/>
        </w:rPr>
      </w:pPr>
    </w:p>
    <w:p w14:paraId="72321F12" w14:textId="21CBDBD7" w:rsidR="00177EE9" w:rsidRDefault="00177EE9">
      <w:pPr>
        <w:rPr>
          <w:rFonts w:ascii="Montserrat" w:hAnsi="Montserrat"/>
          <w:color w:val="262626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BD8E4A" wp14:editId="473DC824">
            <wp:simplePos x="0" y="0"/>
            <wp:positionH relativeFrom="column">
              <wp:posOffset>1902460</wp:posOffset>
            </wp:positionH>
            <wp:positionV relativeFrom="paragraph">
              <wp:posOffset>296545</wp:posOffset>
            </wp:positionV>
            <wp:extent cx="4126865" cy="2701925"/>
            <wp:effectExtent l="0" t="0" r="6985" b="3175"/>
            <wp:wrapSquare wrapText="bothSides"/>
            <wp:docPr id="7102433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CF6CAC-4A6F-A9A9-3225-AAF0DF7F46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780" w:type="dxa"/>
        <w:tblLook w:val="04A0" w:firstRow="1" w:lastRow="0" w:firstColumn="1" w:lastColumn="0" w:noHBand="0" w:noVBand="1"/>
      </w:tblPr>
      <w:tblGrid>
        <w:gridCol w:w="1006"/>
        <w:gridCol w:w="1774"/>
      </w:tblGrid>
      <w:tr w:rsidR="00177EE9" w:rsidRPr="00177EE9" w14:paraId="019D1122" w14:textId="77777777" w:rsidTr="00177EE9">
        <w:trPr>
          <w:trHeight w:val="134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BC15A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Region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58F09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IN"/>
                <w14:ligatures w14:val="none"/>
              </w:rPr>
              <w:t>Number of blockchain users (in millions) </w:t>
            </w:r>
          </w:p>
        </w:tc>
      </w:tr>
      <w:tr w:rsidR="00177EE9" w:rsidRPr="00177EE9" w14:paraId="41A12CDF" w14:textId="77777777" w:rsidTr="00177EE9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01A6F60F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Asia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7D3A5378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</w:tr>
      <w:tr w:rsidR="00177EE9" w:rsidRPr="00177EE9" w14:paraId="22370F43" w14:textId="77777777" w:rsidTr="00177EE9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3457F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Europe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DF4DA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</w:tr>
      <w:tr w:rsidR="00177EE9" w:rsidRPr="00177EE9" w14:paraId="692F4B06" w14:textId="77777777" w:rsidTr="00177EE9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35513C6E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Africa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08881F8E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177EE9" w:rsidRPr="00177EE9" w14:paraId="6E5824FD" w14:textId="77777777" w:rsidTr="00177EE9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E071C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North America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3A685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</w:tr>
      <w:tr w:rsidR="00177EE9" w:rsidRPr="00177EE9" w14:paraId="6D7C3C4A" w14:textId="77777777" w:rsidTr="00177EE9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468FF4AC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South America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1BAA4094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177EE9" w:rsidRPr="00177EE9" w14:paraId="684C4AE1" w14:textId="77777777" w:rsidTr="00177EE9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1CA82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Oceania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2BF28" w14:textId="77777777" w:rsidR="00177EE9" w:rsidRPr="00177EE9" w:rsidRDefault="00177EE9" w:rsidP="00177E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177EE9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26A6148C" w14:textId="77777777" w:rsidR="00E94CEE" w:rsidRDefault="00E94CEE">
      <w:pPr>
        <w:rPr>
          <w:lang w:val="en-US"/>
        </w:rPr>
      </w:pPr>
    </w:p>
    <w:p w14:paraId="5FD18A0E" w14:textId="77777777" w:rsidR="004B45AA" w:rsidRPr="000A7BC7" w:rsidRDefault="004B45AA">
      <w:pPr>
        <w:rPr>
          <w:b/>
          <w:bCs/>
          <w:sz w:val="24"/>
          <w:szCs w:val="24"/>
          <w:u w:val="single"/>
          <w:lang w:val="en-US"/>
        </w:rPr>
      </w:pPr>
    </w:p>
    <w:p w14:paraId="0C89F2EB" w14:textId="12B77EBC" w:rsidR="004B45AA" w:rsidRPr="000A7BC7" w:rsidRDefault="004B45A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A7BC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Cybersecurity Measures in Banking</w:t>
      </w:r>
    </w:p>
    <w:p w14:paraId="3494A15B" w14:textId="60AF824F" w:rsidR="004B45AA" w:rsidRPr="00427FE5" w:rsidRDefault="004B45AA" w:rsidP="000A7B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7F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Cybersecurity in banking involves various measures and protocols designed to protect financial institutions and their customers from cyber threats.</w:t>
      </w:r>
    </w:p>
    <w:p w14:paraId="1A33E876" w14:textId="2F48A7F2" w:rsidR="00856E8A" w:rsidRPr="00427FE5" w:rsidRDefault="00856E8A" w:rsidP="000A7B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27F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2023, as per report by the Indian Cybercrime Coordination </w:t>
      </w:r>
      <w:r w:rsidR="00427FE5" w:rsidRPr="00427F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Centre,</w:t>
      </w:r>
      <w:r w:rsidRPr="00427F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digital financial frauds have accounted for rupee 1.25 lakh crore over the past three years.</w:t>
      </w:r>
    </w:p>
    <w:p w14:paraId="14A27AB4" w14:textId="77777777" w:rsidR="000A7BC7" w:rsidRPr="00427FE5" w:rsidRDefault="00856E8A" w:rsidP="000A7B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average cost of a </w:t>
      </w:r>
      <w:hyperlink r:id="rId11" w:tgtFrame="_blank" w:tooltip="www.ibm.com" w:history="1">
        <w:r w:rsidRPr="00427FE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data breach</w:t>
        </w:r>
      </w:hyperlink>
      <w:r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 a U.S. company in 2022 was $9.44 million, up from $9.05 million the previous year. </w:t>
      </w:r>
    </w:p>
    <w:p w14:paraId="642F3885" w14:textId="03F8CC6E" w:rsidR="000A7BC7" w:rsidRPr="00427FE5" w:rsidRDefault="00856E8A" w:rsidP="000A7B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Various measures banks should </w:t>
      </w:r>
      <w:r w:rsidR="00E60007"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have adopted </w:t>
      </w:r>
      <w:r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against </w:t>
      </w:r>
      <w:r w:rsidR="00427FE5"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cyberattacks: -</w:t>
      </w:r>
      <w:r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34F4F72" w14:textId="7FE3E0AD" w:rsidR="00856E8A" w:rsidRPr="00427FE5" w:rsidRDefault="00856E8A" w:rsidP="0026305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 </w:t>
      </w:r>
      <w:hyperlink r:id="rId12" w:tooltip="Learn how a defense-in-depth model can help strengthen security postures" w:history="1">
        <w:r w:rsidRPr="00427FE5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lang w:eastAsia="en-IN"/>
            <w14:ligatures w14:val="none"/>
          </w:rPr>
          <w:t>multilayer security measures</w:t>
        </w:r>
      </w:hyperlink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such as firewalls, intrusion detection, and prevention systems</w:t>
      </w:r>
    </w:p>
    <w:p w14:paraId="44A7B1C3" w14:textId="77777777" w:rsidR="00856E8A" w:rsidRPr="00427FE5" w:rsidRDefault="00856E8A" w:rsidP="00856E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Continually monitor and assess security practices</w:t>
      </w:r>
    </w:p>
    <w:p w14:paraId="705B6EA9" w14:textId="77777777" w:rsidR="00856E8A" w:rsidRPr="00427FE5" w:rsidRDefault="00856E8A" w:rsidP="00856E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 and patch software and systems on a regular basis</w:t>
      </w:r>
    </w:p>
    <w:p w14:paraId="7EB14E04" w14:textId="77777777" w:rsidR="00856E8A" w:rsidRPr="00427FE5" w:rsidRDefault="00856E8A" w:rsidP="00856E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Encrypt data and devices</w:t>
      </w:r>
    </w:p>
    <w:p w14:paraId="730ADCC5" w14:textId="77777777" w:rsidR="00856E8A" w:rsidRPr="00427FE5" w:rsidRDefault="00856E8A" w:rsidP="00856E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employee security training and awareness programs</w:t>
      </w:r>
    </w:p>
    <w:p w14:paraId="02C4725F" w14:textId="77777777" w:rsidR="00856E8A" w:rsidRPr="00427FE5" w:rsidRDefault="00856E8A" w:rsidP="00856E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detailed incident response plan</w:t>
      </w:r>
    </w:p>
    <w:p w14:paraId="45646347" w14:textId="77777777" w:rsidR="00856E8A" w:rsidRPr="00427FE5" w:rsidRDefault="00856E8A" w:rsidP="00856E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strong backup and disaster recovery procedures</w:t>
      </w:r>
    </w:p>
    <w:p w14:paraId="3E840986" w14:textId="54453E13" w:rsidR="00E60007" w:rsidRPr="00427FE5" w:rsidRDefault="00E60007" w:rsidP="00E600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Regularly review and update cybersecurity policies and procedures, and ensure compliance with industry standards and regulations.</w:t>
      </w:r>
    </w:p>
    <w:p w14:paraId="566B39C8" w14:textId="105657B3" w:rsidR="00E60007" w:rsidRPr="00427FE5" w:rsidRDefault="00E60007" w:rsidP="00E600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Invest in advanced security technologies, such as AI-powered threat detection and response systems, to stay ahead of evolving cyber threats.</w:t>
      </w:r>
    </w:p>
    <w:p w14:paraId="34C80740" w14:textId="1F6B74FE" w:rsidR="00856E8A" w:rsidRPr="000A7BC7" w:rsidRDefault="00856E8A" w:rsidP="000A7BC7">
      <w:pPr>
        <w:pStyle w:val="ListParagraph"/>
        <w:numPr>
          <w:ilvl w:val="0"/>
          <w:numId w:val="1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0A7B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 just two years between 2020 and 2022, the number of </w:t>
      </w:r>
      <w:hyperlink r:id="rId13" w:tgtFrame="_blank" w:tooltip="www.proofpoint.com" w:history="1">
        <w:r w:rsidRPr="000A7BC7">
          <w:rPr>
            <w:rStyle w:val="Emphasis"/>
            <w:rFonts w:ascii="Times New Roman" w:hAnsi="Times New Roman" w:cs="Times New Roman"/>
            <w:i w:val="0"/>
            <w:iCs w:val="0"/>
            <w:sz w:val="24"/>
            <w:szCs w:val="24"/>
          </w:rPr>
          <w:t>insider threat incidents</w:t>
        </w:r>
      </w:hyperlink>
      <w:r w:rsidRPr="000A7B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 worldwide rose by 44%.</w:t>
      </w:r>
    </w:p>
    <w:p w14:paraId="138C3724" w14:textId="316918E8" w:rsidR="00856E8A" w:rsidRPr="000A7BC7" w:rsidRDefault="00856E8A" w:rsidP="000A7B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7BC7">
        <w:rPr>
          <w:rFonts w:ascii="Times New Roman" w:hAnsi="Times New Roman" w:cs="Times New Roman"/>
          <w:sz w:val="24"/>
          <w:szCs w:val="24"/>
        </w:rPr>
        <w:t xml:space="preserve">The Gramm-Leach-Bliley Act of 1999 (GLBA; P.L. 106-102) directs financial regulators to implement disclosure requirements and mandate security measures to safeguard private information. Specifically, Subtitle A of Title V of GLBA provides a framework for regulating data privacy and security practices for financial institutions. </w:t>
      </w:r>
    </w:p>
    <w:p w14:paraId="1B9D1C8D" w14:textId="65F8C436" w:rsidR="00856E8A" w:rsidRPr="000A7BC7" w:rsidRDefault="00856E8A" w:rsidP="000A7B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7BC7">
        <w:rPr>
          <w:rFonts w:ascii="Times New Roman" w:hAnsi="Times New Roman" w:cs="Times New Roman"/>
          <w:sz w:val="24"/>
          <w:szCs w:val="24"/>
        </w:rPr>
        <w:lastRenderedPageBreak/>
        <w:t>The Sarbanes-Oxley Act of 2002 (P.L. 107-204) requires certain corporations, including banks, to identify internal and external risks to their business and the ways that the company guards against those risks.</w:t>
      </w:r>
    </w:p>
    <w:p w14:paraId="0FEB0BD3" w14:textId="77777777" w:rsidR="00E60007" w:rsidRPr="000A7BC7" w:rsidRDefault="00E60007" w:rsidP="000A7BC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a 2023 report by the consulting firm Deloitte, the global financial services industry spent an estimated $18.3 billion on cybersecurity in 2022, with a projected growth to $22.5 billion by 2024.</w:t>
      </w:r>
    </w:p>
    <w:p w14:paraId="5008F838" w14:textId="44E31F12" w:rsidR="000A7BC7" w:rsidRDefault="00E60007" w:rsidP="000A7BC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United States, the 2023 Cybersecurity and Infrastructure Security Agency (CISA) report found that the financial services sector spent approximately $12.7 billion on cybersecurity in 2022, a 12% increase from 2022.</w:t>
      </w:r>
    </w:p>
    <w:p w14:paraId="23918FFB" w14:textId="77777777" w:rsidR="000A7BC7" w:rsidRPr="000A7BC7" w:rsidRDefault="000A7BC7" w:rsidP="000A7BC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53DC" w14:textId="6A715D17" w:rsidR="000A7BC7" w:rsidRPr="000A7BC7" w:rsidRDefault="000A7BC7" w:rsidP="000A7BC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B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Investment in Cybersecurity Startups by Banks (2014-2018):</w:t>
      </w:r>
    </w:p>
    <w:tbl>
      <w:tblPr>
        <w:tblW w:w="3740" w:type="dxa"/>
        <w:tblLook w:val="04A0" w:firstRow="1" w:lastRow="0" w:firstColumn="1" w:lastColumn="0" w:noHBand="0" w:noVBand="1"/>
      </w:tblPr>
      <w:tblGrid>
        <w:gridCol w:w="959"/>
        <w:gridCol w:w="1816"/>
        <w:gridCol w:w="965"/>
      </w:tblGrid>
      <w:tr w:rsidR="000A7BC7" w:rsidRPr="000A7BC7" w14:paraId="0DA7CFDD" w14:textId="77777777" w:rsidTr="000A7BC7">
        <w:trPr>
          <w:trHeight w:val="57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4489" w14:textId="77777777" w:rsidR="000A7BC7" w:rsidRPr="000A7BC7" w:rsidRDefault="000A7BC7" w:rsidP="000A7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1FBE9" w14:textId="77777777" w:rsidR="000A7BC7" w:rsidRPr="000A7BC7" w:rsidRDefault="000A7BC7" w:rsidP="000A7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Funding Amount ($M)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DFB4" w14:textId="77777777" w:rsidR="000A7BC7" w:rsidRPr="000A7BC7" w:rsidRDefault="000A7BC7" w:rsidP="000A7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Number of Deals</w:t>
            </w:r>
          </w:p>
        </w:tc>
      </w:tr>
      <w:tr w:rsidR="000A7BC7" w:rsidRPr="000A7BC7" w14:paraId="07046F81" w14:textId="77777777" w:rsidTr="000A7BC7">
        <w:trPr>
          <w:trHeight w:val="28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1218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277E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CE184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A7BC7" w:rsidRPr="000A7BC7" w14:paraId="309D9B1F" w14:textId="77777777" w:rsidTr="000A7BC7">
        <w:trPr>
          <w:trHeight w:val="28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66BA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D69E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95E90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A7BC7" w:rsidRPr="000A7BC7" w14:paraId="606430DA" w14:textId="77777777" w:rsidTr="000A7BC7">
        <w:trPr>
          <w:trHeight w:val="28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4C1D0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2254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BB39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A7BC7" w:rsidRPr="000A7BC7" w14:paraId="0A7A13E5" w14:textId="77777777" w:rsidTr="000A7BC7">
        <w:trPr>
          <w:trHeight w:val="28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30F68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FE6B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72F9B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0A7BC7" w:rsidRPr="000A7BC7" w14:paraId="341658F7" w14:textId="77777777" w:rsidTr="000A7BC7">
        <w:trPr>
          <w:trHeight w:val="28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9EFB8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E09CE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B2B3B" w14:textId="77777777" w:rsidR="000A7BC7" w:rsidRPr="000A7BC7" w:rsidRDefault="000A7BC7" w:rsidP="000A7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A7B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</w:tbl>
    <w:p w14:paraId="0856B2C3" w14:textId="3B04AA57" w:rsidR="000A7BC7" w:rsidRDefault="000A7BC7" w:rsidP="00E600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D079410" wp14:editId="66C7F616">
            <wp:extent cx="5329136" cy="3018249"/>
            <wp:effectExtent l="0" t="0" r="5080" b="10795"/>
            <wp:docPr id="19222060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65F487-B176-6C66-CFFD-89912AB1D4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7C2824" w14:textId="77777777" w:rsidR="00427FE5" w:rsidRDefault="00427FE5" w:rsidP="00E600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36E31B41" w14:textId="77777777" w:rsidR="00427FE5" w:rsidRDefault="00427FE5" w:rsidP="00E600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355DFD6B" w14:textId="77777777" w:rsidR="00427FE5" w:rsidRDefault="00427FE5" w:rsidP="00E600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7F582C2" w14:textId="77777777" w:rsidR="00427FE5" w:rsidRDefault="00427FE5" w:rsidP="00E600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740FA0F4" w14:textId="77777777" w:rsidR="00427FE5" w:rsidRPr="00E60007" w:rsidRDefault="00427FE5" w:rsidP="00E600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FEB6D80" w14:textId="158A67AC" w:rsidR="00E60007" w:rsidRPr="00427FE5" w:rsidRDefault="007B09A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27F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Biometric Authentication System</w:t>
      </w:r>
    </w:p>
    <w:p w14:paraId="2307B2CD" w14:textId="0FE340B6" w:rsidR="007B09A7" w:rsidRPr="00427FE5" w:rsidRDefault="007B09A7" w:rsidP="00427F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FE5">
        <w:rPr>
          <w:rFonts w:ascii="Times New Roman" w:hAnsi="Times New Roman" w:cs="Times New Roman"/>
          <w:color w:val="000000" w:themeColor="text1"/>
          <w:sz w:val="24"/>
          <w:szCs w:val="24"/>
        </w:rPr>
        <w:t>The Deloitte Center for Financial Services expects synthetic identity fraud to generate at least US$23 billion in losses by 2030,</w:t>
      </w:r>
      <w:hyperlink r:id="rId15" w:anchor="endnote-3" w:history="1">
        <w:r w:rsidRPr="00427FE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3</w:t>
        </w:r>
      </w:hyperlink>
      <w:r w:rsidRPr="00427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prompting many banks and </w:t>
      </w:r>
      <w:r w:rsidR="00427FE5" w:rsidRPr="00427FE5">
        <w:rPr>
          <w:rFonts w:ascii="Times New Roman" w:hAnsi="Times New Roman" w:cs="Times New Roman"/>
          <w:color w:val="000000" w:themeColor="text1"/>
          <w:sz w:val="24"/>
          <w:szCs w:val="24"/>
        </w:rPr>
        <w:t>fintech</w:t>
      </w:r>
      <w:r w:rsidRPr="00427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develop more advanced biometric security systems to weed out would-be perpetrators.</w:t>
      </w:r>
    </w:p>
    <w:p w14:paraId="68847B6A" w14:textId="67B0E95D" w:rsidR="007B09A7" w:rsidRPr="00427FE5" w:rsidRDefault="007B09A7" w:rsidP="00427F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help counteract these fraudulent actions, new and powerful biometric tools can provide additional layers of </w:t>
      </w:r>
      <w:r w:rsidR="00427FE5" w:rsidRPr="00427FE5">
        <w:rPr>
          <w:rFonts w:ascii="Times New Roman" w:hAnsi="Times New Roman" w:cs="Times New Roman"/>
          <w:color w:val="000000" w:themeColor="text1"/>
          <w:sz w:val="24"/>
          <w:szCs w:val="24"/>
        </w:rPr>
        <w:t>defence</w:t>
      </w:r>
      <w:r w:rsidRPr="00427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evaluating whether users are human, testing the veracity of visual artifacts and manipulated recordings.</w:t>
      </w:r>
    </w:p>
    <w:p w14:paraId="3477777E" w14:textId="75A25707" w:rsidR="007B09A7" w:rsidRPr="00427FE5" w:rsidRDefault="007B09A7" w:rsidP="00427F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 major players such as Bank of America, Citibank and Wells Fargo using biometric authentication tools — the market is </w:t>
      </w:r>
      <w:hyperlink r:id="rId16" w:tgtFrame="_blank" w:history="1">
        <w:r w:rsidRPr="00427FE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projected to grow to nearly $9 billion by 2026</w:t>
        </w:r>
      </w:hyperlink>
      <w:r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A56A22B" w14:textId="20C2EDB5" w:rsidR="007B09A7" w:rsidRPr="00427FE5" w:rsidRDefault="007B09A7" w:rsidP="00427F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Types of biometric in banking are: Face recognition, Fingerprint recognition, Voice recognition, </w:t>
      </w:r>
      <w:r w:rsidR="00427FE5"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behavioural</w:t>
      </w:r>
      <w:r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biometrics, Finger or palm vein recognition, Iris scans.</w:t>
      </w:r>
    </w:p>
    <w:p w14:paraId="25C5903D" w14:textId="347C6E06" w:rsidR="007B09A7" w:rsidRPr="00427FE5" w:rsidRDefault="007B09A7" w:rsidP="00427F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27F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Fingerprints take the lead on precision security. No two fingerprints are alike, so fingerprint authentication has an inherent security and permanence compared with many other forms of identification. </w:t>
      </w:r>
    </w:p>
    <w:p w14:paraId="6FCB16F6" w14:textId="77777777" w:rsidR="00DA20B5" w:rsidRPr="00427FE5" w:rsidRDefault="00DA20B5" w:rsidP="00427FE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Process of a Biometric Payment</w:t>
      </w:r>
    </w:p>
    <w:p w14:paraId="588EADD4" w14:textId="07C75B3D" w:rsidR="00DA20B5" w:rsidRPr="00427FE5" w:rsidRDefault="00427FE5" w:rsidP="00427FE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Enrolment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="00DA20B5"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user’s biometric data is initially recorded and securely stored in a database.</w:t>
      </w:r>
    </w:p>
    <w:p w14:paraId="14F7902C" w14:textId="4CB93525" w:rsidR="00DA20B5" w:rsidRPr="00427FE5" w:rsidRDefault="00DA20B5" w:rsidP="00427FE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Authentication</w:t>
      </w:r>
      <w:r w:rsidRPr="00427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7FE5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The</w:t>
      </w: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user’s biometric data is captured using a biometric sensor or device, like a fingerprint scanner on a smartphone or a facial recognition camera.</w:t>
      </w:r>
    </w:p>
    <w:p w14:paraId="7CF52CE0" w14:textId="61CBD229" w:rsidR="00DA20B5" w:rsidRPr="00427FE5" w:rsidRDefault="00DA20B5" w:rsidP="00427FE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Verification: Their data is compared to the stored data in the database to verify the person's identity.</w:t>
      </w:r>
    </w:p>
    <w:p w14:paraId="14DFE57D" w14:textId="40A5E285" w:rsidR="00427FE5" w:rsidRPr="00427FE5" w:rsidRDefault="00DA20B5" w:rsidP="00232ED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Transaction Authorization: Once the identity is verified, the payment or transaction is authorized, and the funds are transferred or the purchase is approved.</w:t>
      </w:r>
    </w:p>
    <w:p w14:paraId="7897859F" w14:textId="0B9F0C95" w:rsidR="00427FE5" w:rsidRPr="00427FE5" w:rsidRDefault="00427FE5" w:rsidP="00427FE5">
      <w:pPr>
        <w:pStyle w:val="ListParagraph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02C640" w14:textId="3DF2EC6A" w:rsidR="00427FE5" w:rsidRPr="00427FE5" w:rsidRDefault="00DA20B5" w:rsidP="00012FD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27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Biometric Authentication Market Growth (2021-2030)</w:t>
      </w:r>
      <w:r w:rsidR="00427FE5" w:rsidRPr="00427FE5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FB80BDC" wp14:editId="44F467D6">
            <wp:simplePos x="0" y="0"/>
            <wp:positionH relativeFrom="column">
              <wp:posOffset>1902478</wp:posOffset>
            </wp:positionH>
            <wp:positionV relativeFrom="paragraph">
              <wp:posOffset>329445</wp:posOffset>
            </wp:positionV>
            <wp:extent cx="4316095" cy="2479040"/>
            <wp:effectExtent l="0" t="0" r="8255" b="16510"/>
            <wp:wrapSquare wrapText="bothSides"/>
            <wp:docPr id="6223375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878AF1-E0CB-99A0-D45A-6ADB6B8C03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2780" w:type="dxa"/>
        <w:tblLook w:val="04A0" w:firstRow="1" w:lastRow="0" w:firstColumn="1" w:lastColumn="0" w:noHBand="0" w:noVBand="1"/>
      </w:tblPr>
      <w:tblGrid>
        <w:gridCol w:w="960"/>
        <w:gridCol w:w="1820"/>
      </w:tblGrid>
      <w:tr w:rsidR="00DA20B5" w:rsidRPr="00427FE5" w14:paraId="4784D60E" w14:textId="77777777" w:rsidTr="00DA20B5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F251C" w14:textId="77777777" w:rsidR="00DA20B5" w:rsidRPr="00427FE5" w:rsidRDefault="00DA20B5" w:rsidP="00DA2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5320" w14:textId="77777777" w:rsidR="00DA20B5" w:rsidRPr="00427FE5" w:rsidRDefault="00DA20B5" w:rsidP="00DA2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Market Value (in billion U.S. dollars)</w:t>
            </w:r>
          </w:p>
        </w:tc>
      </w:tr>
      <w:tr w:rsidR="00DA20B5" w:rsidRPr="00427FE5" w14:paraId="3BBF4BE1" w14:textId="77777777" w:rsidTr="00DA20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B259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E351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</w:t>
            </w:r>
          </w:p>
        </w:tc>
      </w:tr>
      <w:tr w:rsidR="00DA20B5" w:rsidRPr="00427FE5" w14:paraId="261EC3A4" w14:textId="77777777" w:rsidTr="00DA20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CC15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81732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15.6</w:t>
            </w:r>
          </w:p>
        </w:tc>
      </w:tr>
      <w:tr w:rsidR="00DA20B5" w:rsidRPr="00427FE5" w14:paraId="70E67986" w14:textId="77777777" w:rsidTr="00DA20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2267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8942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18.5</w:t>
            </w:r>
          </w:p>
        </w:tc>
      </w:tr>
      <w:tr w:rsidR="00DA20B5" w:rsidRPr="00427FE5" w14:paraId="2632F848" w14:textId="77777777" w:rsidTr="00DA20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0EDA2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45AD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21.6</w:t>
            </w:r>
          </w:p>
        </w:tc>
      </w:tr>
      <w:tr w:rsidR="00DA20B5" w:rsidRPr="00427FE5" w14:paraId="4AF60E06" w14:textId="77777777" w:rsidTr="00DA20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BB482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843E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25.2</w:t>
            </w:r>
          </w:p>
        </w:tc>
      </w:tr>
      <w:tr w:rsidR="00DA20B5" w:rsidRPr="00427FE5" w14:paraId="3988216F" w14:textId="77777777" w:rsidTr="00DA20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CB4D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841FB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29.3</w:t>
            </w:r>
          </w:p>
        </w:tc>
      </w:tr>
      <w:tr w:rsidR="00DA20B5" w:rsidRPr="00427FE5" w14:paraId="395537CB" w14:textId="77777777" w:rsidTr="00DA20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784DA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7DC2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34.1</w:t>
            </w:r>
          </w:p>
        </w:tc>
      </w:tr>
      <w:tr w:rsidR="00DA20B5" w:rsidRPr="00427FE5" w14:paraId="29CEBE4B" w14:textId="77777777" w:rsidTr="00DA20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A490E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5D8C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39.7</w:t>
            </w:r>
          </w:p>
        </w:tc>
      </w:tr>
      <w:tr w:rsidR="00DA20B5" w:rsidRPr="00427FE5" w14:paraId="0B9F704E" w14:textId="77777777" w:rsidTr="00DA20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1570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E73DB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46.2</w:t>
            </w:r>
          </w:p>
        </w:tc>
      </w:tr>
      <w:tr w:rsidR="00DA20B5" w:rsidRPr="00427FE5" w14:paraId="576361FD" w14:textId="77777777" w:rsidTr="00DA20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40858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1805" w14:textId="77777777" w:rsidR="00DA20B5" w:rsidRPr="00427FE5" w:rsidRDefault="00DA20B5" w:rsidP="00DA20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FE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53.6</w:t>
            </w:r>
          </w:p>
        </w:tc>
      </w:tr>
    </w:tbl>
    <w:p w14:paraId="3493633E" w14:textId="6F40596D" w:rsidR="00DA20B5" w:rsidRPr="00DA20B5" w:rsidRDefault="00DA20B5" w:rsidP="00DA20B5">
      <w:pPr>
        <w:tabs>
          <w:tab w:val="left" w:pos="3412"/>
        </w:tabs>
        <w:rPr>
          <w:lang w:val="en-US"/>
        </w:rPr>
      </w:pPr>
    </w:p>
    <w:sectPr w:rsidR="00DA20B5" w:rsidRPr="00DA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61E9"/>
    <w:multiLevelType w:val="hybridMultilevel"/>
    <w:tmpl w:val="B5AAA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C36"/>
    <w:multiLevelType w:val="hybridMultilevel"/>
    <w:tmpl w:val="F208A784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10E3"/>
    <w:multiLevelType w:val="hybridMultilevel"/>
    <w:tmpl w:val="F6640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13E00"/>
    <w:multiLevelType w:val="hybridMultilevel"/>
    <w:tmpl w:val="5176A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A05D4"/>
    <w:multiLevelType w:val="hybridMultilevel"/>
    <w:tmpl w:val="0298C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310BD"/>
    <w:multiLevelType w:val="multilevel"/>
    <w:tmpl w:val="A3F0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B3FB9"/>
    <w:multiLevelType w:val="multilevel"/>
    <w:tmpl w:val="B6D4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233F6"/>
    <w:multiLevelType w:val="multilevel"/>
    <w:tmpl w:val="26586FA0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F09B1"/>
    <w:multiLevelType w:val="hybridMultilevel"/>
    <w:tmpl w:val="3920F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A7A1B"/>
    <w:multiLevelType w:val="multilevel"/>
    <w:tmpl w:val="86E8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D6189"/>
    <w:multiLevelType w:val="multilevel"/>
    <w:tmpl w:val="074A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17A94"/>
    <w:multiLevelType w:val="multilevel"/>
    <w:tmpl w:val="8910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82394C"/>
    <w:multiLevelType w:val="multilevel"/>
    <w:tmpl w:val="99E6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17508D"/>
    <w:multiLevelType w:val="multilevel"/>
    <w:tmpl w:val="EB54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A1A41"/>
    <w:multiLevelType w:val="hybridMultilevel"/>
    <w:tmpl w:val="DB921C4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1747830">
    <w:abstractNumId w:val="10"/>
  </w:num>
  <w:num w:numId="2" w16cid:durableId="2066100801">
    <w:abstractNumId w:val="6"/>
  </w:num>
  <w:num w:numId="3" w16cid:durableId="1088383448">
    <w:abstractNumId w:val="5"/>
  </w:num>
  <w:num w:numId="4" w16cid:durableId="611714663">
    <w:abstractNumId w:val="8"/>
  </w:num>
  <w:num w:numId="5" w16cid:durableId="1137913331">
    <w:abstractNumId w:val="3"/>
  </w:num>
  <w:num w:numId="6" w16cid:durableId="1493982587">
    <w:abstractNumId w:val="7"/>
  </w:num>
  <w:num w:numId="7" w16cid:durableId="1356809710">
    <w:abstractNumId w:val="9"/>
  </w:num>
  <w:num w:numId="8" w16cid:durableId="754478395">
    <w:abstractNumId w:val="11"/>
  </w:num>
  <w:num w:numId="9" w16cid:durableId="617567553">
    <w:abstractNumId w:val="13"/>
  </w:num>
  <w:num w:numId="10" w16cid:durableId="122382429">
    <w:abstractNumId w:val="2"/>
  </w:num>
  <w:num w:numId="11" w16cid:durableId="2139109329">
    <w:abstractNumId w:val="4"/>
  </w:num>
  <w:num w:numId="12" w16cid:durableId="1953392743">
    <w:abstractNumId w:val="14"/>
  </w:num>
  <w:num w:numId="13" w16cid:durableId="1045986284">
    <w:abstractNumId w:val="12"/>
  </w:num>
  <w:num w:numId="14" w16cid:durableId="1181699644">
    <w:abstractNumId w:val="0"/>
  </w:num>
  <w:num w:numId="15" w16cid:durableId="1388652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F1"/>
    <w:rsid w:val="00001581"/>
    <w:rsid w:val="000A7BC7"/>
    <w:rsid w:val="00177EE9"/>
    <w:rsid w:val="001E6D22"/>
    <w:rsid w:val="00427FE5"/>
    <w:rsid w:val="004B45AA"/>
    <w:rsid w:val="007604C3"/>
    <w:rsid w:val="007B09A7"/>
    <w:rsid w:val="00817FE0"/>
    <w:rsid w:val="00856E8A"/>
    <w:rsid w:val="00AE5EF1"/>
    <w:rsid w:val="00DA20B5"/>
    <w:rsid w:val="00E60007"/>
    <w:rsid w:val="00E94CEE"/>
    <w:rsid w:val="00FB78D8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8B97"/>
  <w15:chartTrackingRefBased/>
  <w15:docId w15:val="{48B90A2E-89D6-49AF-B5A4-98A02D88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4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5E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46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7E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45A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A7B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A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nture.com/t20170120T074124Z__w__/us-en/_acnmedia/Accenture/Conversion-Assets/DotCom/Documents/Global/PDF/Consulting/Accenture-Banking-on-Blockchain.pdf" TargetMode="External"/><Relationship Id="rId13" Type="http://schemas.openxmlformats.org/officeDocument/2006/relationships/hyperlink" Target="https://www.proofpoint.com/us/resources/threat-reports/cost-of-insider-threa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ingecko.com/en/global-charts" TargetMode="External"/><Relationship Id="rId12" Type="http://schemas.openxmlformats.org/officeDocument/2006/relationships/hyperlink" Target="https://www.crowe.com/cybersecurity-watch/breaches-and-the-value-of-a-defense-in-depth-model" TargetMode="External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hyperlink" Target="https://www.prnewswire.com/news-releases/global-biometrics-for-banking-and-financial-services-market-report-2022-2026-regulatory-mandates-promote-adoption-biometrics-technology-in-banking-sector-30151313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nks.com/articles/investing/cryptocurrency/blockchain-benefits-banks/" TargetMode="External"/><Relationship Id="rId11" Type="http://schemas.openxmlformats.org/officeDocument/2006/relationships/hyperlink" Target="https://www.ibm.com/reports/data-breach" TargetMode="External"/><Relationship Id="rId5" Type="http://schemas.openxmlformats.org/officeDocument/2006/relationships/hyperlink" Target="https://markets.businessinsider.com/news/currencies/13-top-banks-investing-cryptocurrency-blockchain-technology-funding-blockdata-bitcoin-2021-8" TargetMode="External"/><Relationship Id="rId15" Type="http://schemas.openxmlformats.org/officeDocument/2006/relationships/hyperlink" Target="https://www2.deloitte.com/us/en/insights/industry/financial-services/financial-services-industry-predictions/2023/financial-institutions-synthetic-identity-fraud.html" TargetMode="Externa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Bitcoin Price Index (2012–2020)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Bitcoin Price ($)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Sheet1!$A$4:$A$16</c:f>
              <c:numCache>
                <c:formatCode>General</c:formatCode>
                <c:ptCount val="13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2017</c:v>
                </c:pt>
                <c:pt idx="7">
                  <c:v>2017</c:v>
                </c:pt>
                <c:pt idx="8">
                  <c:v>2018</c:v>
                </c:pt>
                <c:pt idx="9">
                  <c:v>2018</c:v>
                </c:pt>
                <c:pt idx="10">
                  <c:v>2019</c:v>
                </c:pt>
                <c:pt idx="11">
                  <c:v>2020</c:v>
                </c:pt>
                <c:pt idx="12">
                  <c:v>2020</c:v>
                </c:pt>
              </c:numCache>
            </c:numRef>
          </c:cat>
          <c:val>
            <c:numRef>
              <c:f>Sheet1!$B$4:$B$16</c:f>
              <c:numCache>
                <c:formatCode>General</c:formatCode>
                <c:ptCount val="13"/>
                <c:pt idx="0">
                  <c:v>5.45</c:v>
                </c:pt>
                <c:pt idx="1">
                  <c:v>13.4</c:v>
                </c:pt>
                <c:pt idx="2">
                  <c:v>807.39</c:v>
                </c:pt>
                <c:pt idx="3">
                  <c:v>314.81</c:v>
                </c:pt>
                <c:pt idx="4">
                  <c:v>432.76</c:v>
                </c:pt>
                <c:pt idx="5" formatCode="#,##0.00">
                  <c:v>1034.07</c:v>
                </c:pt>
                <c:pt idx="6" formatCode="#,##0.00">
                  <c:v>7365.99</c:v>
                </c:pt>
                <c:pt idx="7" formatCode="#,##0.00">
                  <c:v>19279.900000000001</c:v>
                </c:pt>
                <c:pt idx="8" formatCode="#,##0.00">
                  <c:v>11516.83</c:v>
                </c:pt>
                <c:pt idx="9" formatCode="#,##0.00">
                  <c:v>3885.21</c:v>
                </c:pt>
                <c:pt idx="10" formatCode="#,##0.00">
                  <c:v>12586.78</c:v>
                </c:pt>
                <c:pt idx="11" formatCode="#,##0.00">
                  <c:v>6944.33</c:v>
                </c:pt>
                <c:pt idx="12" formatCode="#,##0.00">
                  <c:v>10002.48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73-4113-866C-3E9965C62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9801424"/>
        <c:axId val="689802864"/>
      </c:lineChart>
      <c:catAx>
        <c:axId val="68980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802864"/>
        <c:crosses val="autoZero"/>
        <c:auto val="1"/>
        <c:lblAlgn val="ctr"/>
        <c:lblOffset val="100"/>
        <c:noMultiLvlLbl val="0"/>
      </c:catAx>
      <c:valAx>
        <c:axId val="68980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80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247594050743664E-2"/>
          <c:y val="0.17171296296296298"/>
          <c:w val="0.89019685039370078"/>
          <c:h val="0.6700309857101195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Number of blockchain users (in millions) 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Sheet1!$A$25:$A$30</c:f>
              <c:strCache>
                <c:ptCount val="6"/>
                <c:pt idx="0">
                  <c:v>Asia</c:v>
                </c:pt>
                <c:pt idx="1">
                  <c:v>Europe</c:v>
                </c:pt>
                <c:pt idx="2">
                  <c:v>Africa</c:v>
                </c:pt>
                <c:pt idx="3">
                  <c:v>North America</c:v>
                </c:pt>
                <c:pt idx="4">
                  <c:v>South America</c:v>
                </c:pt>
                <c:pt idx="5">
                  <c:v>Oceania</c:v>
                </c:pt>
              </c:strCache>
            </c:strRef>
          </c:cat>
          <c:val>
            <c:numRef>
              <c:f>Sheet1!$B$25:$B$30</c:f>
              <c:numCache>
                <c:formatCode>General</c:formatCode>
                <c:ptCount val="6"/>
                <c:pt idx="0">
                  <c:v>160</c:v>
                </c:pt>
                <c:pt idx="1">
                  <c:v>38</c:v>
                </c:pt>
                <c:pt idx="2">
                  <c:v>32</c:v>
                </c:pt>
                <c:pt idx="3">
                  <c:v>28</c:v>
                </c:pt>
                <c:pt idx="4">
                  <c:v>24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F7-4339-8FD4-3DF3B39A5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9205392"/>
        <c:axId val="739214512"/>
      </c:barChart>
      <c:catAx>
        <c:axId val="739205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214512"/>
        <c:crosses val="autoZero"/>
        <c:auto val="1"/>
        <c:lblAlgn val="ctr"/>
        <c:lblOffset val="100"/>
        <c:noMultiLvlLbl val="0"/>
      </c:catAx>
      <c:valAx>
        <c:axId val="73921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20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Investment in Cybersecurity Startups by Banks (2014-2018)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Sheet1!$B$41</c:f>
              <c:strCache>
                <c:ptCount val="1"/>
                <c:pt idx="0">
                  <c:v>Funding Amount ($M)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Sheet1!$A$42:$A$46</c:f>
              <c:numCache>
                <c:formatCode>General</c:formatCod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numCache>
            </c:numRef>
          </c:cat>
          <c:val>
            <c:numRef>
              <c:f>Sheet1!$B$42:$B$46</c:f>
              <c:numCache>
                <c:formatCode>General</c:formatCode>
                <c:ptCount val="5"/>
                <c:pt idx="0">
                  <c:v>174</c:v>
                </c:pt>
                <c:pt idx="1">
                  <c:v>442</c:v>
                </c:pt>
                <c:pt idx="2">
                  <c:v>268</c:v>
                </c:pt>
                <c:pt idx="3">
                  <c:v>438</c:v>
                </c:pt>
                <c:pt idx="4">
                  <c:v>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68-4CB1-BD08-9995AFF25384}"/>
            </c:ext>
          </c:extLst>
        </c:ser>
        <c:ser>
          <c:idx val="1"/>
          <c:order val="1"/>
          <c:tx>
            <c:strRef>
              <c:f>Sheet1!$C$41</c:f>
              <c:strCache>
                <c:ptCount val="1"/>
                <c:pt idx="0">
                  <c:v>Number of Deals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Sheet1!$A$42:$A$46</c:f>
              <c:numCache>
                <c:formatCode>General</c:formatCod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numCache>
            </c:numRef>
          </c:cat>
          <c:val>
            <c:numRef>
              <c:f>Sheet1!$C$42:$C$46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68-4CB1-BD08-9995AFF25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2020128"/>
        <c:axId val="522021568"/>
      </c:barChart>
      <c:catAx>
        <c:axId val="522020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21568"/>
        <c:crosses val="autoZero"/>
        <c:auto val="1"/>
        <c:lblAlgn val="ctr"/>
        <c:lblOffset val="100"/>
        <c:noMultiLvlLbl val="0"/>
      </c:catAx>
      <c:valAx>
        <c:axId val="52202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020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Sheet1!$B$64</c:f>
              <c:strCache>
                <c:ptCount val="1"/>
                <c:pt idx="0">
                  <c:v>Market Value (in billion U.S. dollars)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Sheet1!$A$65:$A$74</c:f>
              <c:numCache>
                <c:formatCode>General</c:formatCode>
                <c:ptCount val="10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  <c:pt idx="3">
                  <c:v>2024</c:v>
                </c:pt>
                <c:pt idx="4">
                  <c:v>2025</c:v>
                </c:pt>
                <c:pt idx="5">
                  <c:v>2026</c:v>
                </c:pt>
                <c:pt idx="6">
                  <c:v>2027</c:v>
                </c:pt>
                <c:pt idx="7">
                  <c:v>2028</c:v>
                </c:pt>
                <c:pt idx="8">
                  <c:v>2029</c:v>
                </c:pt>
                <c:pt idx="9">
                  <c:v>2030</c:v>
                </c:pt>
              </c:numCache>
            </c:numRef>
          </c:cat>
          <c:val>
            <c:numRef>
              <c:f>Sheet1!$B$65:$B$74</c:f>
              <c:numCache>
                <c:formatCode>General</c:formatCode>
                <c:ptCount val="10"/>
                <c:pt idx="0">
                  <c:v>12.8</c:v>
                </c:pt>
                <c:pt idx="1">
                  <c:v>15.6</c:v>
                </c:pt>
                <c:pt idx="2">
                  <c:v>18.5</c:v>
                </c:pt>
                <c:pt idx="3">
                  <c:v>21.6</c:v>
                </c:pt>
                <c:pt idx="4">
                  <c:v>25.2</c:v>
                </c:pt>
                <c:pt idx="5">
                  <c:v>29.3</c:v>
                </c:pt>
                <c:pt idx="6">
                  <c:v>34.1</c:v>
                </c:pt>
                <c:pt idx="7">
                  <c:v>39.700000000000003</c:v>
                </c:pt>
                <c:pt idx="8">
                  <c:v>46.2</c:v>
                </c:pt>
                <c:pt idx="9">
                  <c:v>53.6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DC-4778-A8B8-48ABD50E71C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56380384"/>
        <c:axId val="656373184"/>
      </c:barChart>
      <c:catAx>
        <c:axId val="65638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373184"/>
        <c:crosses val="autoZero"/>
        <c:auto val="1"/>
        <c:lblAlgn val="ctr"/>
        <c:lblOffset val="100"/>
        <c:noMultiLvlLbl val="0"/>
      </c:catAx>
      <c:valAx>
        <c:axId val="65637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380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Mishra</dc:creator>
  <cp:keywords/>
  <dc:description/>
  <cp:lastModifiedBy>Nidhi Mishra</cp:lastModifiedBy>
  <cp:revision>2</cp:revision>
  <dcterms:created xsi:type="dcterms:W3CDTF">2024-07-09T09:45:00Z</dcterms:created>
  <dcterms:modified xsi:type="dcterms:W3CDTF">2024-07-09T09:45:00Z</dcterms:modified>
</cp:coreProperties>
</file>