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411B4" w14:textId="22E0C314" w:rsidR="00001581" w:rsidRPr="0029353D" w:rsidRDefault="00415EFC">
      <w:pPr>
        <w:rPr>
          <w:rFonts w:ascii="Times New Roman" w:hAnsi="Times New Roman" w:cs="Times New Roman"/>
          <w:b/>
          <w:bCs/>
          <w:sz w:val="36"/>
          <w:szCs w:val="36"/>
          <w:u w:val="single"/>
          <w:lang w:val="en-US"/>
        </w:rPr>
      </w:pPr>
      <w:r w:rsidRPr="0029353D">
        <w:rPr>
          <w:rFonts w:ascii="Times New Roman" w:hAnsi="Times New Roman" w:cs="Times New Roman"/>
          <w:b/>
          <w:bCs/>
          <w:sz w:val="36"/>
          <w:szCs w:val="36"/>
          <w:u w:val="single"/>
          <w:lang w:val="en-US"/>
        </w:rPr>
        <w:t>CRM</w:t>
      </w:r>
    </w:p>
    <w:p w14:paraId="334B75E4" w14:textId="77777777" w:rsidR="00415EFC" w:rsidRPr="00415EFC" w:rsidRDefault="00415EFC" w:rsidP="00415EFC">
      <w:pPr>
        <w:spacing w:before="100" w:beforeAutospacing="1" w:after="100" w:afterAutospacing="1" w:line="240" w:lineRule="auto"/>
        <w:outlineLvl w:val="0"/>
        <w:rPr>
          <w:rFonts w:ascii="Times New Roman" w:eastAsia="Times New Roman" w:hAnsi="Times New Roman" w:cs="Times New Roman"/>
          <w:kern w:val="36"/>
          <w:sz w:val="24"/>
          <w:szCs w:val="24"/>
          <w:u w:val="single"/>
          <w:lang w:eastAsia="en-IN"/>
          <w14:ligatures w14:val="none"/>
        </w:rPr>
      </w:pPr>
      <w:r w:rsidRPr="00415EFC">
        <w:rPr>
          <w:rFonts w:ascii="Times New Roman" w:eastAsia="Times New Roman" w:hAnsi="Times New Roman" w:cs="Times New Roman"/>
          <w:kern w:val="36"/>
          <w:sz w:val="24"/>
          <w:szCs w:val="24"/>
          <w:u w:val="single"/>
          <w:lang w:eastAsia="en-IN"/>
          <w14:ligatures w14:val="none"/>
        </w:rPr>
        <w:t>Customer Relationship Management (CRM) Software category</w:t>
      </w:r>
    </w:p>
    <w:p w14:paraId="1614B48A" w14:textId="06A0E3B0" w:rsidR="00415EFC" w:rsidRPr="0029353D" w:rsidRDefault="00415EFC" w:rsidP="0029353D">
      <w:pPr>
        <w:pStyle w:val="ListParagraph"/>
        <w:numPr>
          <w:ilvl w:val="0"/>
          <w:numId w:val="2"/>
        </w:numPr>
        <w:rPr>
          <w:rFonts w:ascii="Times New Roman" w:hAnsi="Times New Roman" w:cs="Times New Roman"/>
          <w:sz w:val="24"/>
          <w:szCs w:val="24"/>
          <w:shd w:val="clear" w:color="auto" w:fill="FFFFFF"/>
        </w:rPr>
      </w:pPr>
      <w:r w:rsidRPr="0029353D">
        <w:rPr>
          <w:rFonts w:ascii="Times New Roman" w:hAnsi="Times New Roman" w:cs="Times New Roman"/>
          <w:sz w:val="24"/>
          <w:szCs w:val="24"/>
          <w:shd w:val="clear" w:color="auto" w:fill="FFFFFF"/>
        </w:rPr>
        <w:t>Sales Cloud’s sales force automation software helps companies sell smarter, faster and more efficiently by providing everything your sales teams need on one integrated platform.</w:t>
      </w:r>
    </w:p>
    <w:p w14:paraId="1FF83FF0" w14:textId="2D949317" w:rsidR="00415EFC" w:rsidRPr="0029353D" w:rsidRDefault="00415EFC" w:rsidP="0029353D">
      <w:pPr>
        <w:pStyle w:val="ListParagraph"/>
        <w:numPr>
          <w:ilvl w:val="0"/>
          <w:numId w:val="2"/>
        </w:numPr>
        <w:rPr>
          <w:rFonts w:ascii="Times New Roman" w:hAnsi="Times New Roman" w:cs="Times New Roman"/>
          <w:sz w:val="24"/>
          <w:szCs w:val="24"/>
          <w:shd w:val="clear" w:color="auto" w:fill="FFFFFF"/>
        </w:rPr>
      </w:pPr>
      <w:r w:rsidRPr="0029353D">
        <w:rPr>
          <w:rFonts w:ascii="Times New Roman" w:hAnsi="Times New Roman" w:cs="Times New Roman"/>
          <w:sz w:val="24"/>
          <w:szCs w:val="24"/>
          <w:shd w:val="clear" w:color="auto" w:fill="FFFFFF"/>
        </w:rPr>
        <w:t>Zoho CRM is an online customer relationship management software for managing your sales, marketing, support in a single system. Zoho CRM empowers a global network of over 150,000 businesses in 180 countries to convert more leads, engage with customers, and grow their revenue.</w:t>
      </w:r>
    </w:p>
    <w:p w14:paraId="7FB336A6" w14:textId="1CCB21CF" w:rsidR="00415EFC" w:rsidRPr="0029353D" w:rsidRDefault="00415EFC" w:rsidP="0029353D">
      <w:pPr>
        <w:pStyle w:val="ListParagraph"/>
        <w:numPr>
          <w:ilvl w:val="0"/>
          <w:numId w:val="2"/>
        </w:numPr>
        <w:rPr>
          <w:rFonts w:ascii="Times New Roman" w:hAnsi="Times New Roman" w:cs="Times New Roman"/>
          <w:sz w:val="24"/>
          <w:szCs w:val="24"/>
          <w:shd w:val="clear" w:color="auto" w:fill="FFFFFF"/>
        </w:rPr>
      </w:pPr>
      <w:r w:rsidRPr="0029353D">
        <w:rPr>
          <w:rFonts w:ascii="Times New Roman" w:hAnsi="Times New Roman" w:cs="Times New Roman"/>
          <w:sz w:val="24"/>
          <w:szCs w:val="24"/>
          <w:shd w:val="clear" w:color="auto" w:fill="FFFFFF"/>
        </w:rPr>
        <w:t>Freshsales provides a context-driven CRM solution for businesses of all sizes.</w:t>
      </w:r>
    </w:p>
    <w:p w14:paraId="2BADC2F1" w14:textId="14E1DA76" w:rsidR="00415EFC" w:rsidRPr="0029353D" w:rsidRDefault="00415EFC" w:rsidP="0029353D">
      <w:pPr>
        <w:pStyle w:val="ListParagraph"/>
        <w:numPr>
          <w:ilvl w:val="0"/>
          <w:numId w:val="2"/>
        </w:numPr>
        <w:rPr>
          <w:rFonts w:ascii="Times New Roman" w:hAnsi="Times New Roman" w:cs="Times New Roman"/>
          <w:sz w:val="24"/>
          <w:szCs w:val="24"/>
          <w:shd w:val="clear" w:color="auto" w:fill="FFFFFF"/>
        </w:rPr>
      </w:pPr>
      <w:r w:rsidRPr="0029353D">
        <w:rPr>
          <w:rFonts w:ascii="Times New Roman" w:hAnsi="Times New Roman" w:cs="Times New Roman"/>
          <w:sz w:val="24"/>
          <w:szCs w:val="24"/>
          <w:shd w:val="clear" w:color="auto" w:fill="FFFFFF"/>
        </w:rPr>
        <w:t>Pega Platform enables to respond to business needs in real time, scale quickly, and evolve as your needs change.</w:t>
      </w:r>
    </w:p>
    <w:p w14:paraId="40DEC6AD" w14:textId="5E893863" w:rsidR="00415EFC" w:rsidRPr="0029353D" w:rsidRDefault="00415EFC" w:rsidP="0029353D">
      <w:pPr>
        <w:pStyle w:val="ListParagraph"/>
        <w:numPr>
          <w:ilvl w:val="0"/>
          <w:numId w:val="2"/>
        </w:numPr>
        <w:rPr>
          <w:rFonts w:ascii="Times New Roman" w:hAnsi="Times New Roman" w:cs="Times New Roman"/>
          <w:sz w:val="24"/>
          <w:szCs w:val="24"/>
          <w:shd w:val="clear" w:color="auto" w:fill="FFFFFF"/>
        </w:rPr>
      </w:pPr>
      <w:r w:rsidRPr="0029353D">
        <w:rPr>
          <w:rFonts w:ascii="Times New Roman" w:hAnsi="Times New Roman" w:cs="Times New Roman"/>
          <w:sz w:val="24"/>
          <w:szCs w:val="24"/>
          <w:shd w:val="clear" w:color="auto" w:fill="FFFFFF"/>
        </w:rPr>
        <w:t>With Odoo CRM, sales teams are able to analyze the quality of their leads, make faster decisions, and save valuable time by integrating emails from all contacts directly into this fully-integrated app.</w:t>
      </w:r>
    </w:p>
    <w:p w14:paraId="6E7C6CF1" w14:textId="15C3AAEE" w:rsidR="0065158A" w:rsidRPr="0029353D" w:rsidRDefault="0065158A">
      <w:pPr>
        <w:rPr>
          <w:rFonts w:ascii="Times New Roman" w:hAnsi="Times New Roman" w:cs="Times New Roman"/>
          <w:sz w:val="24"/>
          <w:szCs w:val="24"/>
          <w:u w:val="single"/>
          <w:shd w:val="clear" w:color="auto" w:fill="FFFFFF"/>
        </w:rPr>
      </w:pPr>
      <w:r w:rsidRPr="0029353D">
        <w:rPr>
          <w:rFonts w:ascii="Times New Roman" w:hAnsi="Times New Roman" w:cs="Times New Roman"/>
          <w:sz w:val="24"/>
          <w:szCs w:val="24"/>
          <w:u w:val="single"/>
          <w:shd w:val="clear" w:color="auto" w:fill="FFFFFF"/>
        </w:rPr>
        <w:t>Some issues faced for implementing CRM</w:t>
      </w:r>
    </w:p>
    <w:p w14:paraId="1CE9C920" w14:textId="77777777" w:rsidR="0065158A" w:rsidRPr="0065158A" w:rsidRDefault="0065158A" w:rsidP="0065158A">
      <w:pPr>
        <w:numPr>
          <w:ilvl w:val="0"/>
          <w:numId w:val="1"/>
        </w:numPr>
        <w:shd w:val="clear" w:color="auto" w:fill="FFFFFF"/>
        <w:spacing w:after="0" w:line="240" w:lineRule="auto"/>
        <w:textAlignment w:val="baseline"/>
        <w:rPr>
          <w:rFonts w:ascii="Times New Roman" w:eastAsia="Times New Roman" w:hAnsi="Times New Roman" w:cs="Times New Roman"/>
          <w:color w:val="444444"/>
          <w:kern w:val="0"/>
          <w:sz w:val="24"/>
          <w:szCs w:val="24"/>
          <w:lang w:eastAsia="en-IN"/>
          <w14:ligatures w14:val="none"/>
        </w:rPr>
      </w:pPr>
      <w:r w:rsidRPr="0065158A">
        <w:rPr>
          <w:rFonts w:ascii="Times New Roman" w:eastAsia="Times New Roman" w:hAnsi="Times New Roman" w:cs="Times New Roman"/>
          <w:color w:val="444444"/>
          <w:kern w:val="0"/>
          <w:sz w:val="24"/>
          <w:szCs w:val="24"/>
          <w:lang w:eastAsia="en-IN"/>
          <w14:ligatures w14:val="none"/>
        </w:rPr>
        <w:t>Lack of knowledge and skills in converting data to customer knowledge</w:t>
      </w:r>
    </w:p>
    <w:p w14:paraId="4FD5A43F" w14:textId="77777777" w:rsidR="0065158A" w:rsidRPr="0065158A" w:rsidRDefault="0065158A" w:rsidP="0065158A">
      <w:pPr>
        <w:numPr>
          <w:ilvl w:val="0"/>
          <w:numId w:val="1"/>
        </w:numPr>
        <w:shd w:val="clear" w:color="auto" w:fill="FFFFFF"/>
        <w:spacing w:after="0" w:line="240" w:lineRule="auto"/>
        <w:textAlignment w:val="baseline"/>
        <w:rPr>
          <w:rFonts w:ascii="Times New Roman" w:eastAsia="Times New Roman" w:hAnsi="Times New Roman" w:cs="Times New Roman"/>
          <w:color w:val="444444"/>
          <w:kern w:val="0"/>
          <w:sz w:val="24"/>
          <w:szCs w:val="24"/>
          <w:lang w:eastAsia="en-IN"/>
          <w14:ligatures w14:val="none"/>
        </w:rPr>
      </w:pPr>
      <w:r w:rsidRPr="0065158A">
        <w:rPr>
          <w:rFonts w:ascii="Times New Roman" w:eastAsia="Times New Roman" w:hAnsi="Times New Roman" w:cs="Times New Roman"/>
          <w:color w:val="444444"/>
          <w:kern w:val="0"/>
          <w:sz w:val="24"/>
          <w:szCs w:val="24"/>
          <w:lang w:eastAsia="en-IN"/>
          <w14:ligatures w14:val="none"/>
        </w:rPr>
        <w:t>Lack of motivation for utilising the potential of CRM solution</w:t>
      </w:r>
    </w:p>
    <w:p w14:paraId="520AD3A3" w14:textId="77777777" w:rsidR="0065158A" w:rsidRPr="0065158A" w:rsidRDefault="0065158A" w:rsidP="0065158A">
      <w:pPr>
        <w:numPr>
          <w:ilvl w:val="0"/>
          <w:numId w:val="1"/>
        </w:numPr>
        <w:shd w:val="clear" w:color="auto" w:fill="FFFFFF"/>
        <w:spacing w:after="0" w:line="240" w:lineRule="auto"/>
        <w:textAlignment w:val="baseline"/>
        <w:rPr>
          <w:rFonts w:ascii="Times New Roman" w:eastAsia="Times New Roman" w:hAnsi="Times New Roman" w:cs="Times New Roman"/>
          <w:color w:val="444444"/>
          <w:kern w:val="0"/>
          <w:sz w:val="24"/>
          <w:szCs w:val="24"/>
          <w:lang w:eastAsia="en-IN"/>
          <w14:ligatures w14:val="none"/>
        </w:rPr>
      </w:pPr>
      <w:r w:rsidRPr="0065158A">
        <w:rPr>
          <w:rFonts w:ascii="Times New Roman" w:eastAsia="Times New Roman" w:hAnsi="Times New Roman" w:cs="Times New Roman"/>
          <w:color w:val="444444"/>
          <w:kern w:val="0"/>
          <w:sz w:val="24"/>
          <w:szCs w:val="24"/>
          <w:lang w:eastAsia="en-IN"/>
          <w14:ligatures w14:val="none"/>
        </w:rPr>
        <w:t>Inadequate performance management parameters</w:t>
      </w:r>
    </w:p>
    <w:p w14:paraId="0465EA63" w14:textId="6F151B95" w:rsidR="0065158A" w:rsidRPr="0065158A" w:rsidRDefault="0065158A" w:rsidP="0065158A">
      <w:pPr>
        <w:numPr>
          <w:ilvl w:val="0"/>
          <w:numId w:val="1"/>
        </w:numPr>
        <w:shd w:val="clear" w:color="auto" w:fill="FFFFFF"/>
        <w:spacing w:after="0" w:line="240" w:lineRule="auto"/>
        <w:textAlignment w:val="baseline"/>
        <w:rPr>
          <w:rFonts w:ascii="Times New Roman" w:eastAsia="Times New Roman" w:hAnsi="Times New Roman" w:cs="Times New Roman"/>
          <w:color w:val="444444"/>
          <w:kern w:val="0"/>
          <w:sz w:val="24"/>
          <w:szCs w:val="24"/>
          <w:lang w:eastAsia="en-IN"/>
          <w14:ligatures w14:val="none"/>
        </w:rPr>
      </w:pPr>
      <w:r w:rsidRPr="0065158A">
        <w:rPr>
          <w:rFonts w:ascii="Times New Roman" w:eastAsia="Times New Roman" w:hAnsi="Times New Roman" w:cs="Times New Roman"/>
          <w:color w:val="444444"/>
          <w:kern w:val="0"/>
          <w:sz w:val="24"/>
          <w:szCs w:val="24"/>
          <w:lang w:eastAsia="en-IN"/>
          <w14:ligatures w14:val="none"/>
        </w:rPr>
        <w:t xml:space="preserve">Less or insufficient </w:t>
      </w:r>
      <w:r w:rsidR="00535B2A" w:rsidRPr="0065158A">
        <w:rPr>
          <w:rFonts w:ascii="Times New Roman" w:eastAsia="Times New Roman" w:hAnsi="Times New Roman" w:cs="Times New Roman"/>
          <w:color w:val="444444"/>
          <w:kern w:val="0"/>
          <w:sz w:val="24"/>
          <w:szCs w:val="24"/>
          <w:lang w:eastAsia="en-IN"/>
          <w14:ligatures w14:val="none"/>
        </w:rPr>
        <w:t>decision-making</w:t>
      </w:r>
      <w:r w:rsidRPr="0065158A">
        <w:rPr>
          <w:rFonts w:ascii="Times New Roman" w:eastAsia="Times New Roman" w:hAnsi="Times New Roman" w:cs="Times New Roman"/>
          <w:color w:val="444444"/>
          <w:kern w:val="0"/>
          <w:sz w:val="24"/>
          <w:szCs w:val="24"/>
          <w:lang w:eastAsia="en-IN"/>
          <w14:ligatures w14:val="none"/>
        </w:rPr>
        <w:t xml:space="preserve"> </w:t>
      </w:r>
      <w:r w:rsidR="00535B2A" w:rsidRPr="0065158A">
        <w:rPr>
          <w:rFonts w:ascii="Times New Roman" w:eastAsia="Times New Roman" w:hAnsi="Times New Roman" w:cs="Times New Roman"/>
          <w:color w:val="444444"/>
          <w:kern w:val="0"/>
          <w:sz w:val="24"/>
          <w:szCs w:val="24"/>
          <w:lang w:eastAsia="en-IN"/>
          <w14:ligatures w14:val="none"/>
        </w:rPr>
        <w:t>authority:</w:t>
      </w:r>
      <w:r w:rsidRPr="0065158A">
        <w:rPr>
          <w:rFonts w:ascii="Times New Roman" w:eastAsia="Times New Roman" w:hAnsi="Times New Roman" w:cs="Times New Roman"/>
          <w:color w:val="444444"/>
          <w:kern w:val="0"/>
          <w:sz w:val="24"/>
          <w:szCs w:val="24"/>
          <w:lang w:eastAsia="en-IN"/>
          <w14:ligatures w14:val="none"/>
        </w:rPr>
        <w:t xml:space="preserve"> In order to use CRM concept towards customer centricity, sufficient </w:t>
      </w:r>
      <w:r w:rsidR="00535B2A" w:rsidRPr="0065158A">
        <w:rPr>
          <w:rFonts w:ascii="Times New Roman" w:eastAsia="Times New Roman" w:hAnsi="Times New Roman" w:cs="Times New Roman"/>
          <w:color w:val="444444"/>
          <w:kern w:val="0"/>
          <w:sz w:val="24"/>
          <w:szCs w:val="24"/>
          <w:lang w:eastAsia="en-IN"/>
          <w14:ligatures w14:val="none"/>
        </w:rPr>
        <w:t>decision-making</w:t>
      </w:r>
      <w:r w:rsidRPr="0065158A">
        <w:rPr>
          <w:rFonts w:ascii="Times New Roman" w:eastAsia="Times New Roman" w:hAnsi="Times New Roman" w:cs="Times New Roman"/>
          <w:color w:val="444444"/>
          <w:kern w:val="0"/>
          <w:sz w:val="24"/>
          <w:szCs w:val="24"/>
          <w:lang w:eastAsia="en-IN"/>
          <w14:ligatures w14:val="none"/>
        </w:rPr>
        <w:t xml:space="preserve"> power is required to provide customised, responsive and proactive services.</w:t>
      </w:r>
    </w:p>
    <w:p w14:paraId="54DD8718" w14:textId="77777777" w:rsidR="0065158A" w:rsidRDefault="0065158A" w:rsidP="0065158A">
      <w:pPr>
        <w:numPr>
          <w:ilvl w:val="0"/>
          <w:numId w:val="1"/>
        </w:numPr>
        <w:shd w:val="clear" w:color="auto" w:fill="FFFFFF"/>
        <w:spacing w:after="0" w:line="240" w:lineRule="auto"/>
        <w:textAlignment w:val="baseline"/>
        <w:rPr>
          <w:rFonts w:ascii="Times New Roman" w:eastAsia="Times New Roman" w:hAnsi="Times New Roman" w:cs="Times New Roman"/>
          <w:color w:val="444444"/>
          <w:kern w:val="0"/>
          <w:sz w:val="24"/>
          <w:szCs w:val="24"/>
          <w:lang w:eastAsia="en-IN"/>
          <w14:ligatures w14:val="none"/>
        </w:rPr>
      </w:pPr>
      <w:r w:rsidRPr="0065158A">
        <w:rPr>
          <w:rFonts w:ascii="Times New Roman" w:eastAsia="Times New Roman" w:hAnsi="Times New Roman" w:cs="Times New Roman"/>
          <w:color w:val="444444"/>
          <w:kern w:val="0"/>
          <w:sz w:val="24"/>
          <w:szCs w:val="24"/>
          <w:lang w:eastAsia="en-IN"/>
          <w14:ligatures w14:val="none"/>
        </w:rPr>
        <w:t>Training: Staff lacks training in IT, its applications, the complete use of software and its applications as well as marketing skills, analytical skills, uses of customer information and service skills for implementation CRM.</w:t>
      </w:r>
    </w:p>
    <w:p w14:paraId="6A6252BB" w14:textId="77777777" w:rsidR="0029353D" w:rsidRPr="0065158A" w:rsidRDefault="0029353D" w:rsidP="0029353D">
      <w:pPr>
        <w:shd w:val="clear" w:color="auto" w:fill="FFFFFF"/>
        <w:spacing w:after="0" w:line="240" w:lineRule="auto"/>
        <w:ind w:left="720"/>
        <w:textAlignment w:val="baseline"/>
        <w:rPr>
          <w:rFonts w:ascii="Times New Roman" w:eastAsia="Times New Roman" w:hAnsi="Times New Roman" w:cs="Times New Roman"/>
          <w:color w:val="444444"/>
          <w:kern w:val="0"/>
          <w:sz w:val="24"/>
          <w:szCs w:val="24"/>
          <w:lang w:eastAsia="en-IN"/>
          <w14:ligatures w14:val="none"/>
        </w:rPr>
      </w:pPr>
    </w:p>
    <w:p w14:paraId="3799CD09" w14:textId="40A6A03C" w:rsidR="0065158A" w:rsidRDefault="0065158A" w:rsidP="0029353D">
      <w:pPr>
        <w:pStyle w:val="ListParagraph"/>
        <w:numPr>
          <w:ilvl w:val="0"/>
          <w:numId w:val="4"/>
        </w:numPr>
        <w:rPr>
          <w:rFonts w:ascii="Times New Roman" w:hAnsi="Times New Roman" w:cs="Times New Roman"/>
          <w:color w:val="444444"/>
          <w:sz w:val="24"/>
          <w:szCs w:val="24"/>
          <w:shd w:val="clear" w:color="auto" w:fill="FFFFFF"/>
        </w:rPr>
      </w:pPr>
      <w:r w:rsidRPr="0029353D">
        <w:rPr>
          <w:rFonts w:ascii="Times New Roman" w:hAnsi="Times New Roman" w:cs="Times New Roman"/>
          <w:color w:val="444444"/>
          <w:sz w:val="24"/>
          <w:szCs w:val="24"/>
          <w:shd w:val="clear" w:color="auto" w:fill="FFFFFF"/>
        </w:rPr>
        <w:t>As CRM is an organisation wide strategy the entire processes need to be aligned appropriately.</w:t>
      </w:r>
    </w:p>
    <w:p w14:paraId="5491D78A" w14:textId="1E75CC1D" w:rsidR="003F2001" w:rsidRPr="003F2001" w:rsidRDefault="003F2001" w:rsidP="003F2001">
      <w:pPr>
        <w:rPr>
          <w:rFonts w:ascii="Times New Roman" w:hAnsi="Times New Roman" w:cs="Times New Roman"/>
          <w:color w:val="444444"/>
          <w:sz w:val="24"/>
          <w:szCs w:val="24"/>
          <w:u w:val="single"/>
          <w:shd w:val="clear" w:color="auto" w:fill="FFFFFF"/>
        </w:rPr>
      </w:pPr>
      <w:r w:rsidRPr="003F2001">
        <w:rPr>
          <w:rFonts w:ascii="Times New Roman" w:hAnsi="Times New Roman" w:cs="Times New Roman"/>
          <w:color w:val="444444"/>
          <w:sz w:val="24"/>
          <w:szCs w:val="24"/>
          <w:u w:val="single"/>
          <w:shd w:val="clear" w:color="auto" w:fill="FFFFFF"/>
        </w:rPr>
        <w:t>SOME OBSERVATIONS</w:t>
      </w:r>
    </w:p>
    <w:p w14:paraId="02D26AB9" w14:textId="28CC45E5" w:rsidR="00543D45" w:rsidRPr="0029353D" w:rsidRDefault="00543D45" w:rsidP="0029353D">
      <w:pPr>
        <w:pStyle w:val="ListParagraph"/>
        <w:numPr>
          <w:ilvl w:val="0"/>
          <w:numId w:val="5"/>
        </w:numPr>
        <w:rPr>
          <w:rFonts w:ascii="Times New Roman" w:hAnsi="Times New Roman" w:cs="Times New Roman"/>
          <w:color w:val="0A0B0B"/>
          <w:sz w:val="24"/>
          <w:szCs w:val="24"/>
          <w:bdr w:val="none" w:sz="0" w:space="0" w:color="auto" w:frame="1"/>
        </w:rPr>
      </w:pPr>
      <w:r w:rsidRPr="0029353D">
        <w:rPr>
          <w:rFonts w:ascii="Times New Roman" w:hAnsi="Times New Roman" w:cs="Times New Roman"/>
          <w:color w:val="0A0B0B"/>
          <w:sz w:val="24"/>
          <w:szCs w:val="24"/>
          <w:bdr w:val="none" w:sz="0" w:space="0" w:color="auto" w:frame="1"/>
        </w:rPr>
        <w:t>According to a study by </w:t>
      </w:r>
      <w:hyperlink r:id="rId7" w:history="1">
        <w:r w:rsidRPr="0029353D">
          <w:rPr>
            <w:rStyle w:val="Hyperlink"/>
            <w:rFonts w:ascii="Times New Roman" w:hAnsi="Times New Roman" w:cs="Times New Roman"/>
            <w:color w:val="0A0B0B"/>
            <w:sz w:val="24"/>
            <w:szCs w:val="24"/>
            <w:bdr w:val="none" w:sz="0" w:space="0" w:color="auto" w:frame="1"/>
          </w:rPr>
          <w:t>Reichheld and Sasser</w:t>
        </w:r>
      </w:hyperlink>
      <w:r w:rsidRPr="0029353D">
        <w:rPr>
          <w:rFonts w:ascii="Times New Roman" w:hAnsi="Times New Roman" w:cs="Times New Roman"/>
          <w:color w:val="0A0B0B"/>
          <w:sz w:val="24"/>
          <w:szCs w:val="24"/>
          <w:bdr w:val="none" w:sz="0" w:space="0" w:color="auto" w:frame="1"/>
        </w:rPr>
        <w:t>, banking businesses can observe an improvement in the profit margins by up to 35%, just from the 5% growth in customer retention rate.</w:t>
      </w:r>
    </w:p>
    <w:p w14:paraId="600693F5" w14:textId="64FF6F66" w:rsidR="008739B1" w:rsidRPr="00DC1652" w:rsidRDefault="008739B1" w:rsidP="00DC1652">
      <w:pPr>
        <w:pStyle w:val="ListParagraph"/>
        <w:numPr>
          <w:ilvl w:val="0"/>
          <w:numId w:val="5"/>
        </w:numPr>
        <w:rPr>
          <w:rStyle w:val="Strong"/>
          <w:rFonts w:ascii="Times New Roman" w:hAnsi="Times New Roman" w:cs="Times New Roman"/>
          <w:b w:val="0"/>
          <w:bCs w:val="0"/>
          <w:sz w:val="24"/>
          <w:szCs w:val="24"/>
        </w:rPr>
      </w:pPr>
      <w:r w:rsidRPr="00DC1652">
        <w:rPr>
          <w:rStyle w:val="Strong"/>
          <w:rFonts w:ascii="Times New Roman" w:hAnsi="Times New Roman" w:cs="Times New Roman"/>
          <w:b w:val="0"/>
          <w:bCs w:val="0"/>
          <w:sz w:val="24"/>
          <w:szCs w:val="24"/>
        </w:rPr>
        <w:t>for every dollar a company spent on a CRM system, they could expect a </w:t>
      </w:r>
      <w:hyperlink r:id="rId8" w:tgtFrame="_blank" w:history="1">
        <w:r w:rsidRPr="00DC1652">
          <w:rPr>
            <w:rStyle w:val="Strong"/>
            <w:rFonts w:ascii="Times New Roman" w:hAnsi="Times New Roman" w:cs="Times New Roman"/>
            <w:b w:val="0"/>
            <w:bCs w:val="0"/>
            <w:sz w:val="24"/>
            <w:szCs w:val="24"/>
          </w:rPr>
          <w:t>return on investment (ROI)</w:t>
        </w:r>
      </w:hyperlink>
      <w:r w:rsidRPr="00DC1652">
        <w:rPr>
          <w:rStyle w:val="Strong"/>
          <w:rFonts w:ascii="Times New Roman" w:hAnsi="Times New Roman" w:cs="Times New Roman"/>
          <w:b w:val="0"/>
          <w:bCs w:val="0"/>
          <w:sz w:val="24"/>
          <w:szCs w:val="24"/>
        </w:rPr>
        <w:t> of about $8. </w:t>
      </w:r>
    </w:p>
    <w:p w14:paraId="516BDF5B" w14:textId="59035AFE" w:rsidR="008739B1" w:rsidRPr="00DC1652" w:rsidRDefault="008739B1" w:rsidP="00DC1652">
      <w:pPr>
        <w:pStyle w:val="ListParagraph"/>
        <w:numPr>
          <w:ilvl w:val="0"/>
          <w:numId w:val="5"/>
        </w:numPr>
        <w:rPr>
          <w:rStyle w:val="Strong"/>
          <w:rFonts w:ascii="Times New Roman" w:hAnsi="Times New Roman" w:cs="Times New Roman"/>
          <w:b w:val="0"/>
          <w:bCs w:val="0"/>
          <w:sz w:val="24"/>
          <w:szCs w:val="24"/>
        </w:rPr>
      </w:pPr>
      <w:r w:rsidRPr="00DC1652">
        <w:rPr>
          <w:rStyle w:val="Strong"/>
          <w:rFonts w:ascii="Times New Roman" w:hAnsi="Times New Roman" w:cs="Times New Roman"/>
          <w:b w:val="0"/>
          <w:bCs w:val="0"/>
          <w:sz w:val="24"/>
          <w:szCs w:val="24"/>
        </w:rPr>
        <w:t>this study was done in 2011, the ROI ratio was only $5.60 to one, which means we have a 38% increase in just a few years. </w:t>
      </w:r>
    </w:p>
    <w:p w14:paraId="354D92DC" w14:textId="77777777" w:rsidR="00EF5791" w:rsidRPr="00DC1652" w:rsidRDefault="00EF5791" w:rsidP="00DC1652">
      <w:pPr>
        <w:pStyle w:val="ListParagraph"/>
        <w:numPr>
          <w:ilvl w:val="0"/>
          <w:numId w:val="5"/>
        </w:numPr>
        <w:rPr>
          <w:rStyle w:val="Strong"/>
          <w:rFonts w:ascii="Times New Roman" w:hAnsi="Times New Roman" w:cs="Times New Roman"/>
          <w:b w:val="0"/>
          <w:bCs w:val="0"/>
          <w:sz w:val="24"/>
          <w:szCs w:val="24"/>
        </w:rPr>
      </w:pPr>
      <w:r w:rsidRPr="00DC1652">
        <w:rPr>
          <w:rStyle w:val="Strong"/>
          <w:rFonts w:ascii="Times New Roman" w:hAnsi="Times New Roman" w:cs="Times New Roman"/>
          <w:b w:val="0"/>
          <w:bCs w:val="0"/>
          <w:sz w:val="24"/>
          <w:szCs w:val="24"/>
        </w:rPr>
        <w:t>$1.1 Trillion - Revenue from CRM solutions that use artificial intelligence</w:t>
      </w:r>
    </w:p>
    <w:p w14:paraId="1A7FF68C" w14:textId="078BD433" w:rsidR="00EF5791" w:rsidRPr="00DC1652" w:rsidRDefault="00EF5791" w:rsidP="00DC1652">
      <w:pPr>
        <w:pStyle w:val="ListParagraph"/>
        <w:numPr>
          <w:ilvl w:val="0"/>
          <w:numId w:val="5"/>
        </w:numPr>
        <w:rPr>
          <w:rStyle w:val="Strong"/>
          <w:rFonts w:ascii="Times New Roman" w:hAnsi="Times New Roman" w:cs="Times New Roman"/>
          <w:b w:val="0"/>
          <w:bCs w:val="0"/>
          <w:sz w:val="24"/>
          <w:szCs w:val="24"/>
        </w:rPr>
      </w:pPr>
      <w:r w:rsidRPr="00DC1652">
        <w:rPr>
          <w:rStyle w:val="Strong"/>
          <w:rFonts w:ascii="Times New Roman" w:hAnsi="Times New Roman" w:cs="Times New Roman"/>
          <w:b w:val="0"/>
          <w:bCs w:val="0"/>
          <w:sz w:val="24"/>
          <w:szCs w:val="24"/>
        </w:rPr>
        <w:t>This Statista study shows this to be true. The study shows that in 2018, in the USA, 85% of CRM users expected an </w:t>
      </w:r>
      <w:hyperlink r:id="rId9" w:tgtFrame="_blank" w:history="1">
        <w:r w:rsidRPr="00DC1652">
          <w:rPr>
            <w:rStyle w:val="Strong"/>
            <w:rFonts w:ascii="Times New Roman" w:hAnsi="Times New Roman" w:cs="Times New Roman"/>
            <w:b w:val="0"/>
            <w:bCs w:val="0"/>
            <w:sz w:val="24"/>
            <w:szCs w:val="24"/>
          </w:rPr>
          <w:t>improved customer experience</w:t>
        </w:r>
      </w:hyperlink>
      <w:r w:rsidRPr="00DC1652">
        <w:rPr>
          <w:rStyle w:val="Strong"/>
          <w:rFonts w:ascii="Times New Roman" w:hAnsi="Times New Roman" w:cs="Times New Roman"/>
          <w:b w:val="0"/>
          <w:bCs w:val="0"/>
          <w:sz w:val="24"/>
          <w:szCs w:val="24"/>
        </w:rPr>
        <w:t> to be one of the best </w:t>
      </w:r>
      <w:hyperlink r:id="rId10" w:tgtFrame="_blank" w:history="1">
        <w:r w:rsidRPr="00DC1652">
          <w:rPr>
            <w:rStyle w:val="Strong"/>
            <w:rFonts w:ascii="Times New Roman" w:hAnsi="Times New Roman" w:cs="Times New Roman"/>
            <w:b w:val="0"/>
            <w:bCs w:val="0"/>
            <w:sz w:val="24"/>
            <w:szCs w:val="24"/>
          </w:rPr>
          <w:t>benefits of CRM software</w:t>
        </w:r>
      </w:hyperlink>
      <w:r w:rsidRPr="00DC1652">
        <w:rPr>
          <w:rStyle w:val="Strong"/>
          <w:rFonts w:ascii="Times New Roman" w:hAnsi="Times New Roman" w:cs="Times New Roman"/>
          <w:b w:val="0"/>
          <w:bCs w:val="0"/>
          <w:sz w:val="24"/>
          <w:szCs w:val="24"/>
        </w:rPr>
        <w:t>.</w:t>
      </w:r>
    </w:p>
    <w:p w14:paraId="7DA04658" w14:textId="77777777" w:rsidR="00EF5791" w:rsidRPr="00394CE4" w:rsidRDefault="00EF5791" w:rsidP="00DC1652">
      <w:pPr>
        <w:pStyle w:val="ListParagraph"/>
        <w:numPr>
          <w:ilvl w:val="0"/>
          <w:numId w:val="5"/>
        </w:numPr>
        <w:rPr>
          <w:rStyle w:val="Strong"/>
          <w:rFonts w:ascii="Times New Roman" w:hAnsi="Times New Roman" w:cs="Times New Roman"/>
          <w:color w:val="1F3B34"/>
          <w:sz w:val="24"/>
          <w:szCs w:val="24"/>
        </w:rPr>
      </w:pPr>
      <w:r w:rsidRPr="00DC1652">
        <w:rPr>
          <w:rStyle w:val="Strong"/>
          <w:rFonts w:ascii="Times New Roman" w:hAnsi="Times New Roman" w:cs="Times New Roman"/>
          <w:b w:val="0"/>
          <w:bCs w:val="0"/>
          <w:color w:val="1F3B34"/>
          <w:sz w:val="24"/>
          <w:szCs w:val="24"/>
        </w:rPr>
        <w:t>12% - CRM adoption growth over the next 5 years</w:t>
      </w:r>
    </w:p>
    <w:tbl>
      <w:tblPr>
        <w:tblStyle w:val="PlainTable1"/>
        <w:tblpPr w:leftFromText="180" w:rightFromText="180" w:vertAnchor="text" w:horzAnchor="margin" w:tblpY="-13063"/>
        <w:tblW w:w="0" w:type="auto"/>
        <w:tblLook w:val="04A0" w:firstRow="1" w:lastRow="0" w:firstColumn="1" w:lastColumn="0" w:noHBand="0" w:noVBand="1"/>
      </w:tblPr>
      <w:tblGrid>
        <w:gridCol w:w="723"/>
        <w:gridCol w:w="1490"/>
      </w:tblGrid>
      <w:tr w:rsidR="00394CE4" w:rsidRPr="00EF5791" w14:paraId="4BB382F2" w14:textId="77777777" w:rsidTr="003009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465C3B" w14:textId="77777777" w:rsidR="00394CE4" w:rsidRPr="00EF5791" w:rsidRDefault="00394CE4" w:rsidP="00394CE4">
            <w:pPr>
              <w:jc w:val="center"/>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lastRenderedPageBreak/>
              <w:t>Year</w:t>
            </w:r>
          </w:p>
        </w:tc>
        <w:tc>
          <w:tcPr>
            <w:tcW w:w="0" w:type="auto"/>
            <w:hideMark/>
          </w:tcPr>
          <w:p w14:paraId="7A4D4295" w14:textId="77777777" w:rsidR="00394CE4" w:rsidRDefault="00394CE4" w:rsidP="00394CE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 xml:space="preserve">Revenue </w:t>
            </w:r>
          </w:p>
          <w:p w14:paraId="010057B4" w14:textId="49E19C3D" w:rsidR="00394CE4" w:rsidRDefault="00394CE4" w:rsidP="00394C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w:t>
            </w:r>
            <w:r w:rsidR="003F2001" w:rsidRPr="00EF5791">
              <w:rPr>
                <w:rFonts w:ascii="Times New Roman" w:eastAsia="Times New Roman" w:hAnsi="Times New Roman" w:cs="Times New Roman"/>
                <w:kern w:val="0"/>
                <w:sz w:val="24"/>
                <w:szCs w:val="24"/>
                <w:lang w:eastAsia="en-IN"/>
                <w14:ligatures w14:val="none"/>
              </w:rPr>
              <w:t>In</w:t>
            </w:r>
            <w:r w:rsidRPr="00EF5791">
              <w:rPr>
                <w:rFonts w:ascii="Times New Roman" w:eastAsia="Times New Roman" w:hAnsi="Times New Roman" w:cs="Times New Roman"/>
                <w:kern w:val="0"/>
                <w:sz w:val="24"/>
                <w:szCs w:val="24"/>
                <w:lang w:eastAsia="en-IN"/>
                <w14:ligatures w14:val="none"/>
              </w:rPr>
              <w:t xml:space="preserve"> billion </w:t>
            </w:r>
          </w:p>
          <w:p w14:paraId="05313464" w14:textId="77777777" w:rsidR="00394CE4" w:rsidRPr="00EF5791" w:rsidRDefault="00394CE4" w:rsidP="00394CE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U.S. dollars)</w:t>
            </w:r>
          </w:p>
        </w:tc>
      </w:tr>
      <w:tr w:rsidR="00394CE4" w:rsidRPr="00EF5791" w14:paraId="49348E8F" w14:textId="77777777" w:rsidTr="00300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B3601A" w14:textId="77777777" w:rsidR="00394CE4" w:rsidRPr="00EF5791" w:rsidRDefault="00394CE4" w:rsidP="00394CE4">
            <w:pPr>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2010</w:t>
            </w:r>
          </w:p>
        </w:tc>
        <w:tc>
          <w:tcPr>
            <w:tcW w:w="0" w:type="auto"/>
            <w:hideMark/>
          </w:tcPr>
          <w:p w14:paraId="3C7AAC66" w14:textId="77777777" w:rsidR="00394CE4" w:rsidRPr="00EF5791" w:rsidRDefault="00394CE4" w:rsidP="00394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13.93</w:t>
            </w:r>
          </w:p>
        </w:tc>
      </w:tr>
      <w:tr w:rsidR="00394CE4" w:rsidRPr="00EF5791" w14:paraId="4419F1DF" w14:textId="77777777" w:rsidTr="00300916">
        <w:tc>
          <w:tcPr>
            <w:cnfStyle w:val="001000000000" w:firstRow="0" w:lastRow="0" w:firstColumn="1" w:lastColumn="0" w:oddVBand="0" w:evenVBand="0" w:oddHBand="0" w:evenHBand="0" w:firstRowFirstColumn="0" w:firstRowLastColumn="0" w:lastRowFirstColumn="0" w:lastRowLastColumn="0"/>
            <w:tcW w:w="0" w:type="auto"/>
            <w:hideMark/>
          </w:tcPr>
          <w:p w14:paraId="004DE50F" w14:textId="77777777" w:rsidR="00394CE4" w:rsidRPr="00EF5791" w:rsidRDefault="00394CE4" w:rsidP="00394CE4">
            <w:pPr>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2011</w:t>
            </w:r>
          </w:p>
        </w:tc>
        <w:tc>
          <w:tcPr>
            <w:tcW w:w="0" w:type="auto"/>
            <w:hideMark/>
          </w:tcPr>
          <w:p w14:paraId="47593383" w14:textId="77777777" w:rsidR="00394CE4" w:rsidRPr="00EF5791" w:rsidRDefault="00394CE4" w:rsidP="00394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16.08</w:t>
            </w:r>
          </w:p>
        </w:tc>
      </w:tr>
      <w:tr w:rsidR="00394CE4" w:rsidRPr="00EF5791" w14:paraId="012D65F3" w14:textId="77777777" w:rsidTr="00300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60D29A" w14:textId="77777777" w:rsidR="00394CE4" w:rsidRPr="00EF5791" w:rsidRDefault="00394CE4" w:rsidP="00394CE4">
            <w:pPr>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2012</w:t>
            </w:r>
          </w:p>
        </w:tc>
        <w:tc>
          <w:tcPr>
            <w:tcW w:w="0" w:type="auto"/>
            <w:hideMark/>
          </w:tcPr>
          <w:p w14:paraId="477C2893" w14:textId="77777777" w:rsidR="00394CE4" w:rsidRPr="00EF5791" w:rsidRDefault="00394CE4" w:rsidP="00394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18.09</w:t>
            </w:r>
          </w:p>
        </w:tc>
      </w:tr>
      <w:tr w:rsidR="00394CE4" w:rsidRPr="00EF5791" w14:paraId="6B44FC5A" w14:textId="77777777" w:rsidTr="00300916">
        <w:tc>
          <w:tcPr>
            <w:cnfStyle w:val="001000000000" w:firstRow="0" w:lastRow="0" w:firstColumn="1" w:lastColumn="0" w:oddVBand="0" w:evenVBand="0" w:oddHBand="0" w:evenHBand="0" w:firstRowFirstColumn="0" w:firstRowLastColumn="0" w:lastRowFirstColumn="0" w:lastRowLastColumn="0"/>
            <w:tcW w:w="0" w:type="auto"/>
            <w:hideMark/>
          </w:tcPr>
          <w:p w14:paraId="45ACC6E3" w14:textId="77777777" w:rsidR="00394CE4" w:rsidRPr="00EF5791" w:rsidRDefault="00394CE4" w:rsidP="00394CE4">
            <w:pPr>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2013</w:t>
            </w:r>
          </w:p>
        </w:tc>
        <w:tc>
          <w:tcPr>
            <w:tcW w:w="0" w:type="auto"/>
            <w:hideMark/>
          </w:tcPr>
          <w:p w14:paraId="1056C15E" w14:textId="77777777" w:rsidR="00394CE4" w:rsidRPr="00EF5791" w:rsidRDefault="00394CE4" w:rsidP="00394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20.4</w:t>
            </w:r>
          </w:p>
        </w:tc>
      </w:tr>
      <w:tr w:rsidR="00394CE4" w:rsidRPr="00EF5791" w14:paraId="15059788" w14:textId="77777777" w:rsidTr="00300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91F44B" w14:textId="77777777" w:rsidR="00394CE4" w:rsidRPr="00EF5791" w:rsidRDefault="00394CE4" w:rsidP="00394CE4">
            <w:pPr>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2014</w:t>
            </w:r>
          </w:p>
        </w:tc>
        <w:tc>
          <w:tcPr>
            <w:tcW w:w="0" w:type="auto"/>
            <w:hideMark/>
          </w:tcPr>
          <w:p w14:paraId="0A55B4CB" w14:textId="77777777" w:rsidR="00394CE4" w:rsidRPr="00EF5791" w:rsidRDefault="00394CE4" w:rsidP="00394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23.2</w:t>
            </w:r>
          </w:p>
        </w:tc>
      </w:tr>
      <w:tr w:rsidR="00394CE4" w:rsidRPr="00EF5791" w14:paraId="5F913AA9" w14:textId="77777777" w:rsidTr="00300916">
        <w:tc>
          <w:tcPr>
            <w:cnfStyle w:val="001000000000" w:firstRow="0" w:lastRow="0" w:firstColumn="1" w:lastColumn="0" w:oddVBand="0" w:evenVBand="0" w:oddHBand="0" w:evenHBand="0" w:firstRowFirstColumn="0" w:firstRowLastColumn="0" w:lastRowFirstColumn="0" w:lastRowLastColumn="0"/>
            <w:tcW w:w="0" w:type="auto"/>
            <w:hideMark/>
          </w:tcPr>
          <w:p w14:paraId="1292F056" w14:textId="77777777" w:rsidR="00394CE4" w:rsidRPr="00EF5791" w:rsidRDefault="00394CE4" w:rsidP="00394CE4">
            <w:pPr>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2015</w:t>
            </w:r>
          </w:p>
        </w:tc>
        <w:tc>
          <w:tcPr>
            <w:tcW w:w="0" w:type="auto"/>
            <w:hideMark/>
          </w:tcPr>
          <w:p w14:paraId="2A1AC200" w14:textId="77777777" w:rsidR="00394CE4" w:rsidRPr="00EF5791" w:rsidRDefault="00394CE4" w:rsidP="00394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26.29</w:t>
            </w:r>
          </w:p>
        </w:tc>
      </w:tr>
      <w:tr w:rsidR="00394CE4" w:rsidRPr="00EF5791" w14:paraId="178F92AC" w14:textId="77777777" w:rsidTr="00300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45C3B" w14:textId="77777777" w:rsidR="00394CE4" w:rsidRPr="00EF5791" w:rsidRDefault="00394CE4" w:rsidP="00394CE4">
            <w:pPr>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2016</w:t>
            </w:r>
          </w:p>
        </w:tc>
        <w:tc>
          <w:tcPr>
            <w:tcW w:w="0" w:type="auto"/>
            <w:hideMark/>
          </w:tcPr>
          <w:p w14:paraId="2DD3206C" w14:textId="77777777" w:rsidR="00394CE4" w:rsidRPr="00EF5791" w:rsidRDefault="00394CE4" w:rsidP="00394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33.7</w:t>
            </w:r>
          </w:p>
        </w:tc>
      </w:tr>
      <w:tr w:rsidR="00394CE4" w:rsidRPr="00EF5791" w14:paraId="6C99B47E" w14:textId="77777777" w:rsidTr="00300916">
        <w:tc>
          <w:tcPr>
            <w:cnfStyle w:val="001000000000" w:firstRow="0" w:lastRow="0" w:firstColumn="1" w:lastColumn="0" w:oddVBand="0" w:evenVBand="0" w:oddHBand="0" w:evenHBand="0" w:firstRowFirstColumn="0" w:firstRowLastColumn="0" w:lastRowFirstColumn="0" w:lastRowLastColumn="0"/>
            <w:tcW w:w="0" w:type="auto"/>
            <w:hideMark/>
          </w:tcPr>
          <w:p w14:paraId="79FA963D" w14:textId="77777777" w:rsidR="00394CE4" w:rsidRPr="00EF5791" w:rsidRDefault="00394CE4" w:rsidP="00394CE4">
            <w:pPr>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2017</w:t>
            </w:r>
          </w:p>
        </w:tc>
        <w:tc>
          <w:tcPr>
            <w:tcW w:w="0" w:type="auto"/>
            <w:hideMark/>
          </w:tcPr>
          <w:p w14:paraId="1D62A67C" w14:textId="77777777" w:rsidR="00394CE4" w:rsidRPr="00EF5791" w:rsidRDefault="00394CE4" w:rsidP="00394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41.73</w:t>
            </w:r>
          </w:p>
        </w:tc>
      </w:tr>
      <w:tr w:rsidR="00394CE4" w:rsidRPr="00EF5791" w14:paraId="727AED10" w14:textId="77777777" w:rsidTr="00300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AE309F" w14:textId="77777777" w:rsidR="00394CE4" w:rsidRPr="00EF5791" w:rsidRDefault="00394CE4" w:rsidP="00394CE4">
            <w:pPr>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2018</w:t>
            </w:r>
          </w:p>
        </w:tc>
        <w:tc>
          <w:tcPr>
            <w:tcW w:w="0" w:type="auto"/>
            <w:hideMark/>
          </w:tcPr>
          <w:p w14:paraId="388C1E80" w14:textId="77777777" w:rsidR="00394CE4" w:rsidRPr="00EF5791" w:rsidRDefault="00394CE4" w:rsidP="00394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48.23</w:t>
            </w:r>
          </w:p>
        </w:tc>
      </w:tr>
      <w:tr w:rsidR="00394CE4" w:rsidRPr="00EF5791" w14:paraId="6A6E67CC" w14:textId="77777777" w:rsidTr="00300916">
        <w:tc>
          <w:tcPr>
            <w:cnfStyle w:val="001000000000" w:firstRow="0" w:lastRow="0" w:firstColumn="1" w:lastColumn="0" w:oddVBand="0" w:evenVBand="0" w:oddHBand="0" w:evenHBand="0" w:firstRowFirstColumn="0" w:firstRowLastColumn="0" w:lastRowFirstColumn="0" w:lastRowLastColumn="0"/>
            <w:tcW w:w="0" w:type="auto"/>
            <w:hideMark/>
          </w:tcPr>
          <w:p w14:paraId="70E57379" w14:textId="77777777" w:rsidR="00394CE4" w:rsidRPr="00EF5791" w:rsidRDefault="00394CE4" w:rsidP="00394CE4">
            <w:pPr>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2019</w:t>
            </w:r>
          </w:p>
        </w:tc>
        <w:tc>
          <w:tcPr>
            <w:tcW w:w="0" w:type="auto"/>
            <w:hideMark/>
          </w:tcPr>
          <w:p w14:paraId="2D8BE21E" w14:textId="77777777" w:rsidR="00394CE4" w:rsidRPr="00EF5791" w:rsidRDefault="00394CE4" w:rsidP="00394C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56.5</w:t>
            </w:r>
          </w:p>
        </w:tc>
      </w:tr>
      <w:tr w:rsidR="00394CE4" w:rsidRPr="00EF5791" w14:paraId="403A63B0" w14:textId="77777777" w:rsidTr="00300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90E137" w14:textId="77777777" w:rsidR="00394CE4" w:rsidRPr="00EF5791" w:rsidRDefault="00394CE4" w:rsidP="00394CE4">
            <w:pPr>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2020</w:t>
            </w:r>
          </w:p>
        </w:tc>
        <w:tc>
          <w:tcPr>
            <w:tcW w:w="0" w:type="auto"/>
            <w:hideMark/>
          </w:tcPr>
          <w:p w14:paraId="591CC83B" w14:textId="77777777" w:rsidR="00394CE4" w:rsidRPr="00EF5791" w:rsidRDefault="00394CE4" w:rsidP="00394C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F5791">
              <w:rPr>
                <w:rFonts w:ascii="Times New Roman" w:eastAsia="Times New Roman" w:hAnsi="Times New Roman" w:cs="Times New Roman"/>
                <w:kern w:val="0"/>
                <w:sz w:val="24"/>
                <w:szCs w:val="24"/>
                <w:lang w:eastAsia="en-IN"/>
                <w14:ligatures w14:val="none"/>
              </w:rPr>
              <w:t>69</w:t>
            </w:r>
          </w:p>
        </w:tc>
      </w:tr>
    </w:tbl>
    <w:p w14:paraId="428ABF39" w14:textId="5FD6C0A7" w:rsidR="00394CE4" w:rsidRPr="00DC1652" w:rsidRDefault="00394CE4" w:rsidP="00394CE4">
      <w:pPr>
        <w:pStyle w:val="ListParagraph"/>
        <w:ind w:left="360"/>
        <w:rPr>
          <w:rStyle w:val="Strong"/>
          <w:rFonts w:ascii="Times New Roman" w:hAnsi="Times New Roman" w:cs="Times New Roman"/>
          <w:color w:val="1F3B34"/>
          <w:sz w:val="24"/>
          <w:szCs w:val="24"/>
        </w:rPr>
      </w:pPr>
      <w:r w:rsidRPr="0029353D">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9264" behindDoc="0" locked="0" layoutInCell="1" allowOverlap="1" wp14:anchorId="4CA9A36E" wp14:editId="63AA93DD">
            <wp:simplePos x="0" y="0"/>
            <wp:positionH relativeFrom="margin">
              <wp:posOffset>2720975</wp:posOffset>
            </wp:positionH>
            <wp:positionV relativeFrom="paragraph">
              <wp:posOffset>0</wp:posOffset>
            </wp:positionV>
            <wp:extent cx="2771775" cy="2056765"/>
            <wp:effectExtent l="0" t="0" r="9525" b="635"/>
            <wp:wrapSquare wrapText="bothSides"/>
            <wp:docPr id="165884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46929" name=""/>
                    <pic:cNvPicPr/>
                  </pic:nvPicPr>
                  <pic:blipFill>
                    <a:blip r:embed="rId11" cstate="print">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771775" cy="2056765"/>
                    </a:xfrm>
                    <a:prstGeom prst="rect">
                      <a:avLst/>
                    </a:prstGeom>
                  </pic:spPr>
                </pic:pic>
              </a:graphicData>
            </a:graphic>
            <wp14:sizeRelH relativeFrom="page">
              <wp14:pctWidth>0</wp14:pctWidth>
            </wp14:sizeRelH>
            <wp14:sizeRelV relativeFrom="page">
              <wp14:pctHeight>0</wp14:pctHeight>
            </wp14:sizeRelV>
          </wp:anchor>
        </w:drawing>
      </w:r>
    </w:p>
    <w:p w14:paraId="5FEE7008" w14:textId="77777777" w:rsidR="00DC1652" w:rsidRDefault="00DC1652" w:rsidP="00DC1652">
      <w:pPr>
        <w:rPr>
          <w:rFonts w:ascii="Times New Roman" w:hAnsi="Times New Roman" w:cs="Times New Roman"/>
          <w:b/>
          <w:bCs/>
          <w:color w:val="1F3B34"/>
          <w:sz w:val="24"/>
          <w:szCs w:val="24"/>
        </w:rPr>
      </w:pPr>
    </w:p>
    <w:p w14:paraId="3F5009EE" w14:textId="77777777" w:rsidR="00DC1652" w:rsidRPr="00DC1652" w:rsidRDefault="00DC1652" w:rsidP="00DC1652">
      <w:pPr>
        <w:rPr>
          <w:rFonts w:ascii="Times New Roman" w:hAnsi="Times New Roman" w:cs="Times New Roman"/>
          <w:b/>
          <w:bCs/>
          <w:color w:val="1F3B34"/>
          <w:sz w:val="24"/>
          <w:szCs w:val="24"/>
        </w:rPr>
      </w:pPr>
    </w:p>
    <w:p w14:paraId="75ADD5F8" w14:textId="77777777" w:rsidR="00394CE4" w:rsidRPr="00394CE4" w:rsidRDefault="00394CE4" w:rsidP="00394CE4">
      <w:pPr>
        <w:pStyle w:val="NormalWeb"/>
        <w:rPr>
          <w:rStyle w:val="Strong"/>
          <w:b w:val="0"/>
          <w:bCs w:val="0"/>
        </w:rPr>
      </w:pPr>
    </w:p>
    <w:p w14:paraId="15B22FB4" w14:textId="77777777" w:rsidR="00394CE4" w:rsidRPr="00394CE4" w:rsidRDefault="00394CE4" w:rsidP="00394CE4">
      <w:pPr>
        <w:pStyle w:val="NormalWeb"/>
        <w:rPr>
          <w:rStyle w:val="Strong"/>
          <w:b w:val="0"/>
          <w:bCs w:val="0"/>
        </w:rPr>
      </w:pPr>
    </w:p>
    <w:p w14:paraId="5033B1EC" w14:textId="77777777" w:rsidR="00394CE4" w:rsidRDefault="00394CE4" w:rsidP="00394CE4">
      <w:pPr>
        <w:pStyle w:val="NormalWeb"/>
        <w:rPr>
          <w:rStyle w:val="Strong"/>
          <w:b w:val="0"/>
          <w:bCs w:val="0"/>
        </w:rPr>
      </w:pPr>
    </w:p>
    <w:p w14:paraId="01F6553F" w14:textId="77777777" w:rsidR="00394CE4" w:rsidRPr="00394CE4" w:rsidRDefault="00394CE4" w:rsidP="00394CE4">
      <w:pPr>
        <w:pStyle w:val="NormalWeb"/>
        <w:rPr>
          <w:rStyle w:val="Strong"/>
          <w:b w:val="0"/>
          <w:bCs w:val="0"/>
        </w:rPr>
      </w:pPr>
    </w:p>
    <w:p w14:paraId="6E0B6DE2" w14:textId="1120AB00" w:rsidR="0029353D" w:rsidRDefault="00300916" w:rsidP="00300916">
      <w:pPr>
        <w:pStyle w:val="NormalWeb"/>
        <w:numPr>
          <w:ilvl w:val="0"/>
          <w:numId w:val="11"/>
        </w:numPr>
        <w:ind w:left="133"/>
      </w:pPr>
      <w:r>
        <w:rPr>
          <w:rStyle w:val="Strong"/>
          <w:rFonts w:eastAsiaTheme="majorEastAsia"/>
        </w:rPr>
        <w:t>G</w:t>
      </w:r>
      <w:r w:rsidR="0029353D">
        <w:rPr>
          <w:rStyle w:val="Strong"/>
          <w:rFonts w:eastAsiaTheme="majorEastAsia"/>
        </w:rPr>
        <w:t>eneral Data Protection Regulation (GDPR)</w:t>
      </w:r>
      <w:r w:rsidR="0029353D">
        <w:t>: Implemented in May 2018, GDPR is a significant regulation impacting CRM systems. It sets strict guidelines for the collection, storage, and processing of personal data of EU citizens. CRM systems must ensure compliance with GDPR by providing features like data encryption, consent management, and the right to be forgotten.</w:t>
      </w:r>
    </w:p>
    <w:p w14:paraId="47835F67" w14:textId="43C7ED66" w:rsidR="0029353D" w:rsidRDefault="0029353D" w:rsidP="0029353D">
      <w:pPr>
        <w:pStyle w:val="NormalWeb"/>
      </w:pPr>
      <w:r>
        <w:rPr>
          <w:rFonts w:hAnsi="Symbol"/>
        </w:rPr>
        <w:t></w:t>
      </w:r>
      <w:r>
        <w:t xml:space="preserve"> </w:t>
      </w:r>
      <w:r>
        <w:rPr>
          <w:rStyle w:val="Strong"/>
          <w:rFonts w:eastAsiaTheme="majorEastAsia"/>
        </w:rPr>
        <w:t>California Consumer Privacy Act (CCPA)</w:t>
      </w:r>
      <w:r>
        <w:t>: Effective from January 2020, the CCPA provides California residents with greater control over their personal information. Businesses must disclose what data they collect and how it's used, and provide options for consumers to opt-out of data selling. CRM systems must adapt to these requirements to avoid penalties.</w:t>
      </w:r>
    </w:p>
    <w:p w14:paraId="15EFC644" w14:textId="67EB43E9" w:rsidR="0029353D" w:rsidRDefault="0029353D" w:rsidP="0029353D">
      <w:pPr>
        <w:pStyle w:val="NormalWeb"/>
      </w:pPr>
      <w:r>
        <w:rPr>
          <w:rFonts w:hAnsi="Symbol"/>
        </w:rPr>
        <w:t></w:t>
      </w:r>
      <w:r>
        <w:t xml:space="preserve"> </w:t>
      </w:r>
      <w:r>
        <w:rPr>
          <w:rStyle w:val="Strong"/>
          <w:rFonts w:eastAsiaTheme="majorEastAsia"/>
        </w:rPr>
        <w:t>CAN-SPAM Act</w:t>
      </w:r>
      <w:r>
        <w:t>: This U.S. legislation sets rules for commercial email, establishing requirements for commercial messages, giving recipients the right to stop receiving emails, and spelling out tough penalties for violations. CRM systems often include email marketing tools, and compliance with the CAN-SPAM Act is crucial to avoid hefty fines.</w:t>
      </w:r>
    </w:p>
    <w:p w14:paraId="04B8081F" w14:textId="419270BC" w:rsidR="00535B2A" w:rsidRDefault="00394CE4" w:rsidP="0029353D">
      <w:pPr>
        <w:pStyle w:val="NormalWeb"/>
      </w:pPr>
      <w:r w:rsidRPr="00535B2A">
        <w:rPr>
          <w:noProof/>
          <w:lang w:val="en-US"/>
        </w:rPr>
        <w:drawing>
          <wp:anchor distT="0" distB="0" distL="114300" distR="114300" simplePos="0" relativeHeight="251658240" behindDoc="1" locked="0" layoutInCell="1" allowOverlap="1" wp14:anchorId="07EE1DF6" wp14:editId="6892C486">
            <wp:simplePos x="0" y="0"/>
            <wp:positionH relativeFrom="column">
              <wp:posOffset>1995170</wp:posOffset>
            </wp:positionH>
            <wp:positionV relativeFrom="page">
              <wp:posOffset>6516370</wp:posOffset>
            </wp:positionV>
            <wp:extent cx="4445635" cy="2590165"/>
            <wp:effectExtent l="0" t="0" r="0" b="635"/>
            <wp:wrapTight wrapText="bothSides">
              <wp:wrapPolygon edited="0">
                <wp:start x="0" y="0"/>
                <wp:lineTo x="0" y="21446"/>
                <wp:lineTo x="21474" y="21446"/>
                <wp:lineTo x="21474" y="0"/>
                <wp:lineTo x="0" y="0"/>
              </wp:wrapPolygon>
            </wp:wrapTight>
            <wp:docPr id="212868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87436" name=""/>
                    <pic:cNvPicPr/>
                  </pic:nvPicPr>
                  <pic:blipFill>
                    <a:blip r:embed="rId13" cstate="print">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445635" cy="259016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1"/>
        <w:tblpPr w:leftFromText="180" w:rightFromText="180" w:vertAnchor="text" w:horzAnchor="margin" w:tblpY="-21"/>
        <w:tblW w:w="0" w:type="auto"/>
        <w:tblLook w:val="04A0" w:firstRow="1" w:lastRow="0" w:firstColumn="1" w:lastColumn="0" w:noHBand="0" w:noVBand="1"/>
      </w:tblPr>
      <w:tblGrid>
        <w:gridCol w:w="988"/>
        <w:gridCol w:w="1842"/>
      </w:tblGrid>
      <w:tr w:rsidR="00394CE4" w14:paraId="34DE52A7" w14:textId="77777777" w:rsidTr="00394CE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88" w:type="dxa"/>
          </w:tcPr>
          <w:p w14:paraId="447CBA24" w14:textId="77777777" w:rsidR="00394CE4" w:rsidRPr="00535B2A" w:rsidRDefault="00394CE4" w:rsidP="00394CE4">
            <w:pPr>
              <w:pStyle w:val="NormalWeb"/>
              <w:rPr>
                <w:b w:val="0"/>
                <w:bCs w:val="0"/>
              </w:rPr>
            </w:pPr>
            <w:r w:rsidRPr="00535B2A">
              <w:rPr>
                <w:b w:val="0"/>
                <w:bCs w:val="0"/>
              </w:rPr>
              <w:t>Year</w:t>
            </w:r>
          </w:p>
        </w:tc>
        <w:tc>
          <w:tcPr>
            <w:tcW w:w="1842" w:type="dxa"/>
          </w:tcPr>
          <w:p w14:paraId="7FFDE2BF" w14:textId="77777777" w:rsidR="00394CE4" w:rsidRDefault="00394CE4" w:rsidP="00394CE4">
            <w:pPr>
              <w:pStyle w:val="NormalWeb"/>
              <w:cnfStyle w:val="100000000000" w:firstRow="1" w:lastRow="0" w:firstColumn="0" w:lastColumn="0" w:oddVBand="0" w:evenVBand="0" w:oddHBand="0" w:evenHBand="0" w:firstRowFirstColumn="0" w:firstRowLastColumn="0" w:lastRowFirstColumn="0" w:lastRowLastColumn="0"/>
            </w:pPr>
            <w:r w:rsidRPr="00535B2A">
              <w:rPr>
                <w:b w:val="0"/>
                <w:bCs w:val="0"/>
              </w:rPr>
              <w:t xml:space="preserve">Market Size </w:t>
            </w:r>
          </w:p>
          <w:p w14:paraId="49F0C5BA" w14:textId="77777777" w:rsidR="00394CE4" w:rsidRPr="00DC1652" w:rsidRDefault="00394CE4" w:rsidP="00394CE4">
            <w:pPr>
              <w:pStyle w:val="NormalWeb"/>
              <w:cnfStyle w:val="100000000000" w:firstRow="1" w:lastRow="0" w:firstColumn="0" w:lastColumn="0" w:oddVBand="0" w:evenVBand="0" w:oddHBand="0" w:evenHBand="0" w:firstRowFirstColumn="0" w:firstRowLastColumn="0" w:lastRowFirstColumn="0" w:lastRowLastColumn="0"/>
            </w:pPr>
            <w:r w:rsidRPr="00535B2A">
              <w:rPr>
                <w:b w:val="0"/>
                <w:bCs w:val="0"/>
              </w:rPr>
              <w:t>(in USD billion)</w:t>
            </w:r>
          </w:p>
        </w:tc>
      </w:tr>
      <w:tr w:rsidR="00394CE4" w14:paraId="33FC2DF5" w14:textId="77777777" w:rsidTr="00394CE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88" w:type="dxa"/>
          </w:tcPr>
          <w:p w14:paraId="5015A197" w14:textId="77777777" w:rsidR="00394CE4" w:rsidRPr="00535B2A" w:rsidRDefault="00394CE4" w:rsidP="00394CE4">
            <w:pPr>
              <w:pStyle w:val="NormalWeb"/>
              <w:rPr>
                <w:b w:val="0"/>
                <w:bCs w:val="0"/>
              </w:rPr>
            </w:pPr>
            <w:r w:rsidRPr="00535B2A">
              <w:rPr>
                <w:b w:val="0"/>
                <w:bCs w:val="0"/>
              </w:rPr>
              <w:t>2017</w:t>
            </w:r>
          </w:p>
        </w:tc>
        <w:tc>
          <w:tcPr>
            <w:tcW w:w="1842" w:type="dxa"/>
          </w:tcPr>
          <w:p w14:paraId="68E4FE49" w14:textId="77777777" w:rsidR="00394CE4" w:rsidRDefault="00394CE4" w:rsidP="00394CE4">
            <w:pPr>
              <w:pStyle w:val="NormalWeb"/>
              <w:cnfStyle w:val="000000100000" w:firstRow="0" w:lastRow="0" w:firstColumn="0" w:lastColumn="0" w:oddVBand="0" w:evenVBand="0" w:oddHBand="1" w:evenHBand="0" w:firstRowFirstColumn="0" w:firstRowLastColumn="0" w:lastRowFirstColumn="0" w:lastRowLastColumn="0"/>
            </w:pPr>
            <w:r>
              <w:t>13</w:t>
            </w:r>
          </w:p>
        </w:tc>
      </w:tr>
      <w:tr w:rsidR="00394CE4" w14:paraId="29752D7E" w14:textId="77777777" w:rsidTr="00394CE4">
        <w:trPr>
          <w:trHeight w:val="279"/>
        </w:trPr>
        <w:tc>
          <w:tcPr>
            <w:cnfStyle w:val="001000000000" w:firstRow="0" w:lastRow="0" w:firstColumn="1" w:lastColumn="0" w:oddVBand="0" w:evenVBand="0" w:oddHBand="0" w:evenHBand="0" w:firstRowFirstColumn="0" w:firstRowLastColumn="0" w:lastRowFirstColumn="0" w:lastRowLastColumn="0"/>
            <w:tcW w:w="988" w:type="dxa"/>
          </w:tcPr>
          <w:p w14:paraId="6C7BD802" w14:textId="77777777" w:rsidR="00394CE4" w:rsidRPr="00535B2A" w:rsidRDefault="00394CE4" w:rsidP="00394CE4">
            <w:pPr>
              <w:pStyle w:val="NormalWeb"/>
              <w:rPr>
                <w:b w:val="0"/>
                <w:bCs w:val="0"/>
              </w:rPr>
            </w:pPr>
            <w:r w:rsidRPr="00535B2A">
              <w:rPr>
                <w:b w:val="0"/>
                <w:bCs w:val="0"/>
              </w:rPr>
              <w:t>2018</w:t>
            </w:r>
          </w:p>
        </w:tc>
        <w:tc>
          <w:tcPr>
            <w:tcW w:w="1842" w:type="dxa"/>
          </w:tcPr>
          <w:p w14:paraId="661AB3EB" w14:textId="77777777" w:rsidR="00394CE4" w:rsidRDefault="00394CE4" w:rsidP="00394CE4">
            <w:pPr>
              <w:pStyle w:val="NormalWeb"/>
              <w:cnfStyle w:val="000000000000" w:firstRow="0" w:lastRow="0" w:firstColumn="0" w:lastColumn="0" w:oddVBand="0" w:evenVBand="0" w:oddHBand="0" w:evenHBand="0" w:firstRowFirstColumn="0" w:firstRowLastColumn="0" w:lastRowFirstColumn="0" w:lastRowLastColumn="0"/>
            </w:pPr>
            <w:r>
              <w:t>14.2</w:t>
            </w:r>
          </w:p>
        </w:tc>
      </w:tr>
      <w:tr w:rsidR="00394CE4" w14:paraId="458BDE3E" w14:textId="77777777" w:rsidTr="00394CE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88" w:type="dxa"/>
          </w:tcPr>
          <w:p w14:paraId="0F5EFC90" w14:textId="77777777" w:rsidR="00394CE4" w:rsidRPr="00535B2A" w:rsidRDefault="00394CE4" w:rsidP="00394CE4">
            <w:pPr>
              <w:pStyle w:val="NormalWeb"/>
              <w:rPr>
                <w:b w:val="0"/>
                <w:bCs w:val="0"/>
              </w:rPr>
            </w:pPr>
            <w:r w:rsidRPr="00535B2A">
              <w:rPr>
                <w:b w:val="0"/>
                <w:bCs w:val="0"/>
              </w:rPr>
              <w:t>2019</w:t>
            </w:r>
          </w:p>
        </w:tc>
        <w:tc>
          <w:tcPr>
            <w:tcW w:w="1842" w:type="dxa"/>
          </w:tcPr>
          <w:p w14:paraId="4A0BE638" w14:textId="77777777" w:rsidR="00394CE4" w:rsidRDefault="00394CE4" w:rsidP="00394CE4">
            <w:pPr>
              <w:pStyle w:val="NormalWeb"/>
              <w:cnfStyle w:val="000000100000" w:firstRow="0" w:lastRow="0" w:firstColumn="0" w:lastColumn="0" w:oddVBand="0" w:evenVBand="0" w:oddHBand="1" w:evenHBand="0" w:firstRowFirstColumn="0" w:firstRowLastColumn="0" w:lastRowFirstColumn="0" w:lastRowLastColumn="0"/>
            </w:pPr>
            <w:r>
              <w:t>15.84</w:t>
            </w:r>
          </w:p>
        </w:tc>
      </w:tr>
      <w:tr w:rsidR="00394CE4" w14:paraId="03017164" w14:textId="77777777" w:rsidTr="00394CE4">
        <w:trPr>
          <w:trHeight w:val="279"/>
        </w:trPr>
        <w:tc>
          <w:tcPr>
            <w:cnfStyle w:val="001000000000" w:firstRow="0" w:lastRow="0" w:firstColumn="1" w:lastColumn="0" w:oddVBand="0" w:evenVBand="0" w:oddHBand="0" w:evenHBand="0" w:firstRowFirstColumn="0" w:firstRowLastColumn="0" w:lastRowFirstColumn="0" w:lastRowLastColumn="0"/>
            <w:tcW w:w="988" w:type="dxa"/>
          </w:tcPr>
          <w:p w14:paraId="21D9B995" w14:textId="77777777" w:rsidR="00394CE4" w:rsidRPr="00535B2A" w:rsidRDefault="00394CE4" w:rsidP="00394CE4">
            <w:pPr>
              <w:pStyle w:val="NormalWeb"/>
              <w:rPr>
                <w:b w:val="0"/>
                <w:bCs w:val="0"/>
              </w:rPr>
            </w:pPr>
            <w:r w:rsidRPr="00535B2A">
              <w:rPr>
                <w:b w:val="0"/>
                <w:bCs w:val="0"/>
              </w:rPr>
              <w:t>2020</w:t>
            </w:r>
          </w:p>
        </w:tc>
        <w:tc>
          <w:tcPr>
            <w:tcW w:w="1842" w:type="dxa"/>
          </w:tcPr>
          <w:p w14:paraId="38B1406D" w14:textId="77777777" w:rsidR="00394CE4" w:rsidRDefault="00394CE4" w:rsidP="00394CE4">
            <w:pPr>
              <w:pStyle w:val="NormalWeb"/>
              <w:cnfStyle w:val="000000000000" w:firstRow="0" w:lastRow="0" w:firstColumn="0" w:lastColumn="0" w:oddVBand="0" w:evenVBand="0" w:oddHBand="0" w:evenHBand="0" w:firstRowFirstColumn="0" w:firstRowLastColumn="0" w:lastRowFirstColumn="0" w:lastRowLastColumn="0"/>
            </w:pPr>
            <w:r>
              <w:t>17.33</w:t>
            </w:r>
          </w:p>
        </w:tc>
      </w:tr>
      <w:tr w:rsidR="00394CE4" w14:paraId="7354250F" w14:textId="77777777" w:rsidTr="00394CE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88" w:type="dxa"/>
          </w:tcPr>
          <w:p w14:paraId="6967A9FF" w14:textId="77777777" w:rsidR="00394CE4" w:rsidRPr="00535B2A" w:rsidRDefault="00394CE4" w:rsidP="00394CE4">
            <w:pPr>
              <w:pStyle w:val="NormalWeb"/>
              <w:rPr>
                <w:b w:val="0"/>
                <w:bCs w:val="0"/>
              </w:rPr>
            </w:pPr>
            <w:r w:rsidRPr="00535B2A">
              <w:rPr>
                <w:b w:val="0"/>
                <w:bCs w:val="0"/>
              </w:rPr>
              <w:t>2021</w:t>
            </w:r>
          </w:p>
        </w:tc>
        <w:tc>
          <w:tcPr>
            <w:tcW w:w="1842" w:type="dxa"/>
          </w:tcPr>
          <w:p w14:paraId="48F17CF8" w14:textId="77777777" w:rsidR="00394CE4" w:rsidRDefault="00394CE4" w:rsidP="00394CE4">
            <w:pPr>
              <w:pStyle w:val="NormalWeb"/>
              <w:cnfStyle w:val="000000100000" w:firstRow="0" w:lastRow="0" w:firstColumn="0" w:lastColumn="0" w:oddVBand="0" w:evenVBand="0" w:oddHBand="1" w:evenHBand="0" w:firstRowFirstColumn="0" w:firstRowLastColumn="0" w:lastRowFirstColumn="0" w:lastRowLastColumn="0"/>
            </w:pPr>
            <w:r>
              <w:t>18.5</w:t>
            </w:r>
          </w:p>
        </w:tc>
      </w:tr>
      <w:tr w:rsidR="00394CE4" w14:paraId="3B519C86" w14:textId="77777777" w:rsidTr="00394CE4">
        <w:trPr>
          <w:trHeight w:val="279"/>
        </w:trPr>
        <w:tc>
          <w:tcPr>
            <w:cnfStyle w:val="001000000000" w:firstRow="0" w:lastRow="0" w:firstColumn="1" w:lastColumn="0" w:oddVBand="0" w:evenVBand="0" w:oddHBand="0" w:evenHBand="0" w:firstRowFirstColumn="0" w:firstRowLastColumn="0" w:lastRowFirstColumn="0" w:lastRowLastColumn="0"/>
            <w:tcW w:w="988" w:type="dxa"/>
          </w:tcPr>
          <w:p w14:paraId="7E1EB106" w14:textId="77777777" w:rsidR="00394CE4" w:rsidRPr="00535B2A" w:rsidRDefault="00394CE4" w:rsidP="00394CE4">
            <w:pPr>
              <w:pStyle w:val="NormalWeb"/>
              <w:rPr>
                <w:b w:val="0"/>
                <w:bCs w:val="0"/>
              </w:rPr>
            </w:pPr>
            <w:r w:rsidRPr="00535B2A">
              <w:rPr>
                <w:b w:val="0"/>
                <w:bCs w:val="0"/>
              </w:rPr>
              <w:t>2022</w:t>
            </w:r>
          </w:p>
        </w:tc>
        <w:tc>
          <w:tcPr>
            <w:tcW w:w="1842" w:type="dxa"/>
          </w:tcPr>
          <w:p w14:paraId="7A7A27B1" w14:textId="77777777" w:rsidR="00394CE4" w:rsidRDefault="00394CE4" w:rsidP="00394CE4">
            <w:pPr>
              <w:pStyle w:val="NormalWeb"/>
              <w:cnfStyle w:val="000000000000" w:firstRow="0" w:lastRow="0" w:firstColumn="0" w:lastColumn="0" w:oddVBand="0" w:evenVBand="0" w:oddHBand="0" w:evenHBand="0" w:firstRowFirstColumn="0" w:firstRowLastColumn="0" w:lastRowFirstColumn="0" w:lastRowLastColumn="0"/>
            </w:pPr>
            <w:r>
              <w:t>20</w:t>
            </w:r>
          </w:p>
        </w:tc>
      </w:tr>
      <w:tr w:rsidR="00394CE4" w14:paraId="7D942C3B" w14:textId="77777777" w:rsidTr="00394CE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88" w:type="dxa"/>
          </w:tcPr>
          <w:p w14:paraId="44EE97D2" w14:textId="77777777" w:rsidR="00394CE4" w:rsidRPr="00535B2A" w:rsidRDefault="00394CE4" w:rsidP="00394CE4">
            <w:pPr>
              <w:pStyle w:val="NormalWeb"/>
              <w:rPr>
                <w:b w:val="0"/>
                <w:bCs w:val="0"/>
              </w:rPr>
            </w:pPr>
            <w:r w:rsidRPr="00535B2A">
              <w:rPr>
                <w:b w:val="0"/>
                <w:bCs w:val="0"/>
              </w:rPr>
              <w:t>2023</w:t>
            </w:r>
          </w:p>
        </w:tc>
        <w:tc>
          <w:tcPr>
            <w:tcW w:w="1842" w:type="dxa"/>
          </w:tcPr>
          <w:p w14:paraId="104336A6" w14:textId="77777777" w:rsidR="00394CE4" w:rsidRDefault="00394CE4" w:rsidP="00394CE4">
            <w:pPr>
              <w:pStyle w:val="NormalWeb"/>
              <w:cnfStyle w:val="000000100000" w:firstRow="0" w:lastRow="0" w:firstColumn="0" w:lastColumn="0" w:oddVBand="0" w:evenVBand="0" w:oddHBand="1" w:evenHBand="0" w:firstRowFirstColumn="0" w:firstRowLastColumn="0" w:lastRowFirstColumn="0" w:lastRowLastColumn="0"/>
            </w:pPr>
            <w:r>
              <w:t>21.5</w:t>
            </w:r>
          </w:p>
        </w:tc>
      </w:tr>
      <w:tr w:rsidR="00394CE4" w14:paraId="04BF4581" w14:textId="77777777" w:rsidTr="00394CE4">
        <w:trPr>
          <w:trHeight w:val="279"/>
        </w:trPr>
        <w:tc>
          <w:tcPr>
            <w:cnfStyle w:val="001000000000" w:firstRow="0" w:lastRow="0" w:firstColumn="1" w:lastColumn="0" w:oddVBand="0" w:evenVBand="0" w:oddHBand="0" w:evenHBand="0" w:firstRowFirstColumn="0" w:firstRowLastColumn="0" w:lastRowFirstColumn="0" w:lastRowLastColumn="0"/>
            <w:tcW w:w="988" w:type="dxa"/>
          </w:tcPr>
          <w:p w14:paraId="3871E0E6" w14:textId="77777777" w:rsidR="00394CE4" w:rsidRPr="00535B2A" w:rsidRDefault="00394CE4" w:rsidP="00394CE4">
            <w:pPr>
              <w:pStyle w:val="NormalWeb"/>
              <w:rPr>
                <w:b w:val="0"/>
                <w:bCs w:val="0"/>
              </w:rPr>
            </w:pPr>
            <w:r w:rsidRPr="00535B2A">
              <w:rPr>
                <w:b w:val="0"/>
                <w:bCs w:val="0"/>
              </w:rPr>
              <w:t>2024</w:t>
            </w:r>
          </w:p>
        </w:tc>
        <w:tc>
          <w:tcPr>
            <w:tcW w:w="1842" w:type="dxa"/>
          </w:tcPr>
          <w:p w14:paraId="03CDAF00" w14:textId="77777777" w:rsidR="00394CE4" w:rsidRDefault="00394CE4" w:rsidP="00394CE4">
            <w:pPr>
              <w:pStyle w:val="NormalWeb"/>
              <w:cnfStyle w:val="000000000000" w:firstRow="0" w:lastRow="0" w:firstColumn="0" w:lastColumn="0" w:oddVBand="0" w:evenVBand="0" w:oddHBand="0" w:evenHBand="0" w:firstRowFirstColumn="0" w:firstRowLastColumn="0" w:lastRowFirstColumn="0" w:lastRowLastColumn="0"/>
            </w:pPr>
            <w:r>
              <w:t>23</w:t>
            </w:r>
          </w:p>
        </w:tc>
      </w:tr>
      <w:tr w:rsidR="00394CE4" w14:paraId="00A6D95A" w14:textId="77777777" w:rsidTr="00394CE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88" w:type="dxa"/>
          </w:tcPr>
          <w:p w14:paraId="38DA29AD" w14:textId="77777777" w:rsidR="00394CE4" w:rsidRPr="00535B2A" w:rsidRDefault="00394CE4" w:rsidP="00394CE4">
            <w:pPr>
              <w:pStyle w:val="NormalWeb"/>
              <w:rPr>
                <w:b w:val="0"/>
                <w:bCs w:val="0"/>
              </w:rPr>
            </w:pPr>
            <w:r w:rsidRPr="00535B2A">
              <w:rPr>
                <w:b w:val="0"/>
                <w:bCs w:val="0"/>
              </w:rPr>
              <w:t>2025</w:t>
            </w:r>
          </w:p>
        </w:tc>
        <w:tc>
          <w:tcPr>
            <w:tcW w:w="1842" w:type="dxa"/>
          </w:tcPr>
          <w:p w14:paraId="247D9416" w14:textId="77777777" w:rsidR="00394CE4" w:rsidRDefault="00394CE4" w:rsidP="00394CE4">
            <w:pPr>
              <w:pStyle w:val="NormalWeb"/>
              <w:cnfStyle w:val="000000100000" w:firstRow="0" w:lastRow="0" w:firstColumn="0" w:lastColumn="0" w:oddVBand="0" w:evenVBand="0" w:oddHBand="1" w:evenHBand="0" w:firstRowFirstColumn="0" w:firstRowLastColumn="0" w:lastRowFirstColumn="0" w:lastRowLastColumn="0"/>
            </w:pPr>
            <w:r>
              <w:t>25.2</w:t>
            </w:r>
          </w:p>
        </w:tc>
      </w:tr>
      <w:tr w:rsidR="00394CE4" w14:paraId="211853A8" w14:textId="77777777" w:rsidTr="00394CE4">
        <w:trPr>
          <w:trHeight w:val="279"/>
        </w:trPr>
        <w:tc>
          <w:tcPr>
            <w:cnfStyle w:val="001000000000" w:firstRow="0" w:lastRow="0" w:firstColumn="1" w:lastColumn="0" w:oddVBand="0" w:evenVBand="0" w:oddHBand="0" w:evenHBand="0" w:firstRowFirstColumn="0" w:firstRowLastColumn="0" w:lastRowFirstColumn="0" w:lastRowLastColumn="0"/>
            <w:tcW w:w="988" w:type="dxa"/>
          </w:tcPr>
          <w:p w14:paraId="1BECFE81" w14:textId="77777777" w:rsidR="00394CE4" w:rsidRPr="00535B2A" w:rsidRDefault="00394CE4" w:rsidP="00394CE4">
            <w:pPr>
              <w:pStyle w:val="NormalWeb"/>
              <w:rPr>
                <w:b w:val="0"/>
                <w:bCs w:val="0"/>
              </w:rPr>
            </w:pPr>
            <w:r w:rsidRPr="00535B2A">
              <w:rPr>
                <w:b w:val="0"/>
                <w:bCs w:val="0"/>
              </w:rPr>
              <w:t>2026</w:t>
            </w:r>
          </w:p>
        </w:tc>
        <w:tc>
          <w:tcPr>
            <w:tcW w:w="1842" w:type="dxa"/>
          </w:tcPr>
          <w:p w14:paraId="6DEC662A" w14:textId="77777777" w:rsidR="00394CE4" w:rsidRDefault="00394CE4" w:rsidP="00394CE4">
            <w:pPr>
              <w:pStyle w:val="NormalWeb"/>
              <w:cnfStyle w:val="000000000000" w:firstRow="0" w:lastRow="0" w:firstColumn="0" w:lastColumn="0" w:oddVBand="0" w:evenVBand="0" w:oddHBand="0" w:evenHBand="0" w:firstRowFirstColumn="0" w:firstRowLastColumn="0" w:lastRowFirstColumn="0" w:lastRowLastColumn="0"/>
            </w:pPr>
            <w:r>
              <w:t>26.8</w:t>
            </w:r>
          </w:p>
        </w:tc>
      </w:tr>
      <w:tr w:rsidR="00394CE4" w14:paraId="3D561823" w14:textId="77777777" w:rsidTr="00394CE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88" w:type="dxa"/>
          </w:tcPr>
          <w:p w14:paraId="3D4E0F9A" w14:textId="77777777" w:rsidR="00394CE4" w:rsidRPr="00535B2A" w:rsidRDefault="00394CE4" w:rsidP="00394CE4">
            <w:pPr>
              <w:pStyle w:val="NormalWeb"/>
              <w:rPr>
                <w:b w:val="0"/>
                <w:bCs w:val="0"/>
              </w:rPr>
            </w:pPr>
            <w:r w:rsidRPr="00535B2A">
              <w:rPr>
                <w:b w:val="0"/>
                <w:bCs w:val="0"/>
              </w:rPr>
              <w:t>2027</w:t>
            </w:r>
          </w:p>
        </w:tc>
        <w:tc>
          <w:tcPr>
            <w:tcW w:w="1842" w:type="dxa"/>
          </w:tcPr>
          <w:p w14:paraId="76B949EE" w14:textId="77777777" w:rsidR="00394CE4" w:rsidRDefault="00394CE4" w:rsidP="00394CE4">
            <w:pPr>
              <w:pStyle w:val="NormalWeb"/>
              <w:cnfStyle w:val="000000100000" w:firstRow="0" w:lastRow="0" w:firstColumn="0" w:lastColumn="0" w:oddVBand="0" w:evenVBand="0" w:oddHBand="1" w:evenHBand="0" w:firstRowFirstColumn="0" w:firstRowLastColumn="0" w:lastRowFirstColumn="0" w:lastRowLastColumn="0"/>
            </w:pPr>
            <w:r>
              <w:t>28.9</w:t>
            </w:r>
          </w:p>
        </w:tc>
      </w:tr>
      <w:tr w:rsidR="00394CE4" w14:paraId="01E30426" w14:textId="77777777" w:rsidTr="00394CE4">
        <w:trPr>
          <w:trHeight w:val="279"/>
        </w:trPr>
        <w:tc>
          <w:tcPr>
            <w:cnfStyle w:val="001000000000" w:firstRow="0" w:lastRow="0" w:firstColumn="1" w:lastColumn="0" w:oddVBand="0" w:evenVBand="0" w:oddHBand="0" w:evenHBand="0" w:firstRowFirstColumn="0" w:firstRowLastColumn="0" w:lastRowFirstColumn="0" w:lastRowLastColumn="0"/>
            <w:tcW w:w="988" w:type="dxa"/>
          </w:tcPr>
          <w:p w14:paraId="2AE8C71D" w14:textId="77777777" w:rsidR="00394CE4" w:rsidRPr="00535B2A" w:rsidRDefault="00394CE4" w:rsidP="00394CE4">
            <w:pPr>
              <w:pStyle w:val="NormalWeb"/>
              <w:rPr>
                <w:b w:val="0"/>
                <w:bCs w:val="0"/>
              </w:rPr>
            </w:pPr>
            <w:r w:rsidRPr="00535B2A">
              <w:rPr>
                <w:b w:val="0"/>
                <w:bCs w:val="0"/>
              </w:rPr>
              <w:t>2028</w:t>
            </w:r>
          </w:p>
        </w:tc>
        <w:tc>
          <w:tcPr>
            <w:tcW w:w="1842" w:type="dxa"/>
          </w:tcPr>
          <w:p w14:paraId="3F2B798E" w14:textId="77777777" w:rsidR="00394CE4" w:rsidRDefault="00394CE4" w:rsidP="00394CE4">
            <w:pPr>
              <w:pStyle w:val="NormalWeb"/>
              <w:cnfStyle w:val="000000000000" w:firstRow="0" w:lastRow="0" w:firstColumn="0" w:lastColumn="0" w:oddVBand="0" w:evenVBand="0" w:oddHBand="0" w:evenHBand="0" w:firstRowFirstColumn="0" w:firstRowLastColumn="0" w:lastRowFirstColumn="0" w:lastRowLastColumn="0"/>
            </w:pPr>
            <w:r>
              <w:t>30.33</w:t>
            </w:r>
          </w:p>
        </w:tc>
      </w:tr>
    </w:tbl>
    <w:p w14:paraId="2082714A" w14:textId="65833381" w:rsidR="002535EE" w:rsidRDefault="002535EE" w:rsidP="00394CE4">
      <w:pPr>
        <w:rPr>
          <w:lang w:val="en-US"/>
        </w:rPr>
      </w:pPr>
    </w:p>
    <w:p w14:paraId="22B45AFE" w14:textId="2D531906" w:rsidR="002535EE" w:rsidRDefault="002535EE" w:rsidP="00535B2A">
      <w:pPr>
        <w:jc w:val="center"/>
        <w:rPr>
          <w:lang w:val="en-US"/>
        </w:rPr>
      </w:pPr>
    </w:p>
    <w:p w14:paraId="16C07D10" w14:textId="6F47A391" w:rsidR="002535EE" w:rsidRPr="00046697" w:rsidRDefault="002535EE" w:rsidP="002535EE">
      <w:pPr>
        <w:rPr>
          <w:rFonts w:ascii="Times New Roman" w:hAnsi="Times New Roman" w:cs="Times New Roman"/>
          <w:b/>
          <w:bCs/>
          <w:sz w:val="36"/>
          <w:szCs w:val="36"/>
          <w:u w:val="single"/>
          <w:lang w:val="en-US"/>
        </w:rPr>
      </w:pPr>
      <w:r w:rsidRPr="00046697">
        <w:rPr>
          <w:rFonts w:ascii="Times New Roman" w:hAnsi="Times New Roman" w:cs="Times New Roman"/>
          <w:b/>
          <w:bCs/>
          <w:sz w:val="36"/>
          <w:szCs w:val="36"/>
          <w:u w:val="single"/>
          <w:lang w:val="en-US"/>
        </w:rPr>
        <w:lastRenderedPageBreak/>
        <w:t>CHECKING AND SAVING ACCOUNT</w:t>
      </w:r>
    </w:p>
    <w:p w14:paraId="1715BE81" w14:textId="0E33F286" w:rsidR="002535EE" w:rsidRPr="003F2001" w:rsidRDefault="002535EE" w:rsidP="00046697">
      <w:pPr>
        <w:pStyle w:val="ListParagraph"/>
        <w:numPr>
          <w:ilvl w:val="0"/>
          <w:numId w:val="5"/>
        </w:numPr>
        <w:rPr>
          <w:rFonts w:ascii="Times New Roman" w:hAnsi="Times New Roman" w:cs="Times New Roman"/>
          <w:sz w:val="24"/>
          <w:szCs w:val="24"/>
        </w:rPr>
      </w:pPr>
      <w:r w:rsidRPr="003F2001">
        <w:rPr>
          <w:rFonts w:ascii="Times New Roman" w:hAnsi="Times New Roman" w:cs="Times New Roman"/>
          <w:sz w:val="24"/>
          <w:szCs w:val="24"/>
        </w:rPr>
        <w:t>Checking and savings accounts are two of the most basic bank accounts you can open, but they serve different purposes. A checking account is geared primarily toward meeting immediate financial needs, while a savings account is designed mostly for reaching long-term financial goals.</w:t>
      </w:r>
    </w:p>
    <w:p w14:paraId="7DCAE9C4" w14:textId="4197F576" w:rsidR="002535EE" w:rsidRPr="003F2001" w:rsidRDefault="00046697" w:rsidP="00046697">
      <w:pPr>
        <w:pStyle w:val="ListParagraph"/>
        <w:numPr>
          <w:ilvl w:val="0"/>
          <w:numId w:val="5"/>
        </w:numPr>
        <w:rPr>
          <w:rFonts w:ascii="Times New Roman" w:hAnsi="Times New Roman" w:cs="Times New Roman"/>
          <w:sz w:val="24"/>
          <w:szCs w:val="24"/>
        </w:rPr>
      </w:pPr>
      <w:r w:rsidRPr="003F2001">
        <w:rPr>
          <w:rFonts w:ascii="Times New Roman" w:hAnsi="Times New Roman" w:cs="Times New Roman"/>
          <w:sz w:val="24"/>
          <w:szCs w:val="24"/>
        </w:rPr>
        <w:t>T</w:t>
      </w:r>
      <w:r w:rsidR="002535EE" w:rsidRPr="003F2001">
        <w:rPr>
          <w:rFonts w:ascii="Times New Roman" w:hAnsi="Times New Roman" w:cs="Times New Roman"/>
          <w:sz w:val="24"/>
          <w:szCs w:val="24"/>
        </w:rPr>
        <w:t>he average national interest rate for an interest-bearing checking account was </w:t>
      </w:r>
      <w:hyperlink r:id="rId15" w:tgtFrame="_blank" w:history="1">
        <w:r w:rsidR="002535EE" w:rsidRPr="003F2001">
          <w:rPr>
            <w:rStyle w:val="Hyperlink"/>
            <w:rFonts w:ascii="Times New Roman" w:hAnsi="Times New Roman" w:cs="Times New Roman"/>
            <w:color w:val="auto"/>
            <w:sz w:val="24"/>
            <w:szCs w:val="24"/>
          </w:rPr>
          <w:t>0.07%</w:t>
        </w:r>
      </w:hyperlink>
      <w:r w:rsidR="002535EE" w:rsidRPr="003F2001">
        <w:rPr>
          <w:rFonts w:ascii="Times New Roman" w:hAnsi="Times New Roman" w:cs="Times New Roman"/>
          <w:sz w:val="24"/>
          <w:szCs w:val="24"/>
        </w:rPr>
        <w:t>, compared with 0.46% for a </w:t>
      </w:r>
      <w:hyperlink r:id="rId16" w:history="1">
        <w:r w:rsidR="002535EE" w:rsidRPr="003F2001">
          <w:rPr>
            <w:rStyle w:val="Hyperlink"/>
            <w:rFonts w:ascii="Times New Roman" w:hAnsi="Times New Roman" w:cs="Times New Roman"/>
            <w:color w:val="auto"/>
            <w:sz w:val="24"/>
            <w:szCs w:val="24"/>
          </w:rPr>
          <w:t>savings account</w:t>
        </w:r>
      </w:hyperlink>
      <w:r w:rsidR="002535EE" w:rsidRPr="003F2001">
        <w:rPr>
          <w:rFonts w:ascii="Times New Roman" w:hAnsi="Times New Roman" w:cs="Times New Roman"/>
          <w:sz w:val="24"/>
          <w:szCs w:val="24"/>
        </w:rPr>
        <w:t>.</w:t>
      </w:r>
    </w:p>
    <w:p w14:paraId="72F74F75" w14:textId="3CD79A9A" w:rsidR="00DA5538" w:rsidRPr="003F2001" w:rsidRDefault="00DA5538" w:rsidP="00DA5538">
      <w:pPr>
        <w:pStyle w:val="ListParagraph"/>
        <w:ind w:left="360"/>
        <w:rPr>
          <w:rFonts w:ascii="Times New Roman" w:hAnsi="Times New Roman" w:cs="Times New Roman"/>
          <w:sz w:val="24"/>
          <w:szCs w:val="24"/>
        </w:rPr>
      </w:pPr>
    </w:p>
    <w:p w14:paraId="703658CE" w14:textId="4E9EB877" w:rsidR="00DA5538" w:rsidRPr="003F2001" w:rsidRDefault="00DA5538" w:rsidP="00DA5538">
      <w:pPr>
        <w:pStyle w:val="ListParagraph"/>
        <w:ind w:left="360"/>
        <w:rPr>
          <w:rFonts w:ascii="Times New Roman" w:hAnsi="Times New Roman" w:cs="Times New Roman"/>
          <w:sz w:val="24"/>
          <w:szCs w:val="24"/>
          <w:u w:val="single"/>
        </w:rPr>
      </w:pPr>
      <w:r w:rsidRPr="003F2001">
        <w:rPr>
          <w:rFonts w:ascii="Times New Roman" w:hAnsi="Times New Roman" w:cs="Times New Roman"/>
          <w:sz w:val="24"/>
          <w:szCs w:val="24"/>
          <w:u w:val="single"/>
        </w:rPr>
        <w:t>OTHER ALTERNATIVES</w:t>
      </w:r>
    </w:p>
    <w:p w14:paraId="26B80E5B" w14:textId="77777777" w:rsidR="002535EE" w:rsidRPr="003F2001" w:rsidRDefault="002535EE" w:rsidP="00046697">
      <w:pPr>
        <w:pStyle w:val="NormalWeb"/>
        <w:numPr>
          <w:ilvl w:val="0"/>
          <w:numId w:val="5"/>
        </w:numPr>
        <w:spacing w:before="0" w:beforeAutospacing="0"/>
      </w:pPr>
      <w:r w:rsidRPr="003F2001">
        <w:t>A money market account often provides a higher interest rate than a traditional savings account while also allowing you to write checks. As of December 2023, the average national interest rate for a money market account stood at </w:t>
      </w:r>
      <w:hyperlink r:id="rId17" w:history="1">
        <w:r w:rsidRPr="003F2001">
          <w:rPr>
            <w:rStyle w:val="Hyperlink"/>
            <w:rFonts w:eastAsiaTheme="majorEastAsia"/>
            <w:color w:val="auto"/>
          </w:rPr>
          <w:t>0.64%</w:t>
        </w:r>
      </w:hyperlink>
      <w:r w:rsidRPr="003F2001">
        <w:t>, compared to 0.46% for a traditional savings account.</w:t>
      </w:r>
    </w:p>
    <w:p w14:paraId="7E0B875B" w14:textId="629DE5E4" w:rsidR="002535EE" w:rsidRPr="003F2001" w:rsidRDefault="002535EE" w:rsidP="00046697">
      <w:pPr>
        <w:pStyle w:val="NormalWeb"/>
        <w:numPr>
          <w:ilvl w:val="0"/>
          <w:numId w:val="5"/>
        </w:numPr>
        <w:spacing w:before="0" w:beforeAutospacing="0"/>
      </w:pPr>
      <w:r w:rsidRPr="003F2001">
        <w:t>If simply searching for a place to save money, look into a savings account known as a </w:t>
      </w:r>
      <w:hyperlink r:id="rId18" w:history="1">
        <w:r w:rsidRPr="003F2001">
          <w:rPr>
            <w:rStyle w:val="Hyperlink"/>
            <w:rFonts w:eastAsiaTheme="majorEastAsia"/>
            <w:color w:val="auto"/>
          </w:rPr>
          <w:t>certificate of deposit (CD)</w:t>
        </w:r>
      </w:hyperlink>
      <w:r w:rsidRPr="003F2001">
        <w:t xml:space="preserve">. In exchange for an interest rate that’s well above what </w:t>
      </w:r>
      <w:r w:rsidR="00DA5538" w:rsidRPr="003F2001">
        <w:t xml:space="preserve">we </w:t>
      </w:r>
      <w:r w:rsidRPr="003F2001">
        <w:t>get with a traditional savings account, you agree to lock up your money for a certain period (like six months or two years). You might face a financial penalty if you pull money out of a CD before that period ends.</w:t>
      </w:r>
    </w:p>
    <w:p w14:paraId="1B54A725" w14:textId="578CA566" w:rsidR="002535EE" w:rsidRPr="003F2001" w:rsidRDefault="002535EE" w:rsidP="00DA5538">
      <w:pPr>
        <w:pStyle w:val="NormalWeb"/>
        <w:numPr>
          <w:ilvl w:val="0"/>
          <w:numId w:val="5"/>
        </w:numPr>
        <w:spacing w:before="0" w:beforeAutospacing="0"/>
      </w:pPr>
      <w:r w:rsidRPr="003F2001">
        <w:t>Another option: </w:t>
      </w:r>
      <w:hyperlink r:id="rId19" w:history="1">
        <w:r w:rsidRPr="003F2001">
          <w:rPr>
            <w:rStyle w:val="Hyperlink"/>
            <w:rFonts w:eastAsiaTheme="majorEastAsia"/>
            <w:color w:val="auto"/>
          </w:rPr>
          <w:t>high-yield savings accounts</w:t>
        </w:r>
      </w:hyperlink>
      <w:r w:rsidRPr="003F2001">
        <w:t> and </w:t>
      </w:r>
      <w:hyperlink r:id="rId20" w:history="1">
        <w:r w:rsidRPr="003F2001">
          <w:rPr>
            <w:rStyle w:val="Hyperlink"/>
            <w:rFonts w:eastAsiaTheme="majorEastAsia"/>
            <w:color w:val="auto"/>
          </w:rPr>
          <w:t>high-yield checking accounts</w:t>
        </w:r>
      </w:hyperlink>
      <w:r w:rsidRPr="003F2001">
        <w:t>. High yield-checking accounts, in particular, are harder to come by</w:t>
      </w:r>
      <w:r w:rsidR="00DA5538" w:rsidRPr="003F2001">
        <w:t>.</w:t>
      </w:r>
    </w:p>
    <w:p w14:paraId="44ADC601" w14:textId="49B22B32" w:rsidR="00DA5538" w:rsidRPr="00DA5538" w:rsidRDefault="00DA5538" w:rsidP="00DA5538">
      <w:pPr>
        <w:pStyle w:val="NormalWeb"/>
        <w:spacing w:before="0" w:beforeAutospacing="0"/>
        <w:ind w:left="360"/>
        <w:rPr>
          <w:color w:val="000000"/>
          <w:u w:val="single"/>
        </w:rPr>
      </w:pPr>
      <w:r w:rsidRPr="00DA5538">
        <w:rPr>
          <w:color w:val="000000"/>
          <w:u w:val="single"/>
        </w:rPr>
        <w:t>SOME ACTS FOR BETTER IMPLEMENTATION OF ACCOUNTS:</w:t>
      </w:r>
    </w:p>
    <w:p w14:paraId="4DA35E8E" w14:textId="77777777" w:rsidR="00CA31CC" w:rsidRPr="00DA5538" w:rsidRDefault="00CA31CC" w:rsidP="00DA5538">
      <w:pPr>
        <w:pStyle w:val="ListParagraph"/>
        <w:numPr>
          <w:ilvl w:val="0"/>
          <w:numId w:val="5"/>
        </w:numPr>
        <w:rPr>
          <w:rFonts w:ascii="Times New Roman" w:hAnsi="Times New Roman" w:cs="Times New Roman"/>
          <w:color w:val="333333"/>
          <w:sz w:val="24"/>
          <w:szCs w:val="24"/>
          <w:shd w:val="clear" w:color="auto" w:fill="FFFFFF"/>
        </w:rPr>
      </w:pPr>
      <w:r w:rsidRPr="00DA5538">
        <w:rPr>
          <w:rFonts w:ascii="Times New Roman" w:hAnsi="Times New Roman" w:cs="Times New Roman"/>
          <w:color w:val="333333"/>
          <w:sz w:val="24"/>
          <w:szCs w:val="24"/>
          <w:shd w:val="clear" w:color="auto" w:fill="FFFFFF"/>
        </w:rPr>
        <w:t>According to the Federal Reserve’s report on the Economic Well-Being of U.S. Households in 2021, 81% of families are fully banked, 13% are underbanked and 6% are unbanked.</w:t>
      </w:r>
      <w:hyperlink r:id="rId21" w:history="1">
        <w:r w:rsidRPr="00DA5538">
          <w:rPr>
            <w:rStyle w:val="Hyperlink"/>
            <w:rFonts w:ascii="Times New Roman" w:hAnsi="Times New Roman" w:cs="Times New Roman"/>
            <w:color w:val="395BB6"/>
            <w:sz w:val="24"/>
            <w:szCs w:val="24"/>
            <w:u w:val="none"/>
            <w:shd w:val="clear" w:color="auto" w:fill="FFFFFF"/>
            <w:vertAlign w:val="superscript"/>
          </w:rPr>
          <w:t>[2]</w:t>
        </w:r>
      </w:hyperlink>
      <w:r w:rsidRPr="00DA5538">
        <w:rPr>
          <w:rFonts w:ascii="Times New Roman" w:hAnsi="Times New Roman" w:cs="Times New Roman"/>
          <w:color w:val="333333"/>
          <w:sz w:val="24"/>
          <w:szCs w:val="24"/>
          <w:shd w:val="clear" w:color="auto" w:fill="FFFFFF"/>
        </w:rPr>
        <w:t> Interestingly, 21.7% of unbanked households indicate they lack a bank account because they don’t have enough money to meet the minimum balance requirements. The second most cited reason was a lack of trust in banks at 13.2%.</w:t>
      </w:r>
    </w:p>
    <w:p w14:paraId="65AFF737" w14:textId="4EDB4999" w:rsidR="00543411" w:rsidRPr="00DA5538" w:rsidRDefault="00543411" w:rsidP="00DA5538">
      <w:pPr>
        <w:pStyle w:val="ListParagraph"/>
        <w:numPr>
          <w:ilvl w:val="0"/>
          <w:numId w:val="5"/>
        </w:numPr>
        <w:rPr>
          <w:rFonts w:ascii="Times New Roman" w:eastAsia="Times New Roman" w:hAnsi="Times New Roman" w:cs="Times New Roman"/>
          <w:color w:val="1B1B1B"/>
          <w:kern w:val="0"/>
          <w:sz w:val="24"/>
          <w:szCs w:val="24"/>
          <w:lang w:eastAsia="en-IN"/>
          <w14:ligatures w14:val="none"/>
        </w:rPr>
      </w:pPr>
      <w:r w:rsidRPr="00DA5538">
        <w:rPr>
          <w:rFonts w:ascii="Times New Roman" w:eastAsia="Times New Roman" w:hAnsi="Times New Roman" w:cs="Times New Roman"/>
          <w:color w:val="1B1B1B"/>
          <w:kern w:val="0"/>
          <w:sz w:val="24"/>
          <w:szCs w:val="24"/>
          <w:lang w:eastAsia="en-IN"/>
          <w14:ligatures w14:val="none"/>
        </w:rPr>
        <w:t>A new federal law known as the </w:t>
      </w:r>
      <w:r w:rsidRPr="00DA5538">
        <w:rPr>
          <w:rFonts w:ascii="Times New Roman" w:eastAsia="Times New Roman" w:hAnsi="Times New Roman" w:cs="Times New Roman"/>
          <w:b/>
          <w:bCs/>
          <w:color w:val="1B1B1B"/>
          <w:kern w:val="0"/>
          <w:sz w:val="24"/>
          <w:szCs w:val="24"/>
          <w:lang w:eastAsia="en-IN"/>
          <w14:ligatures w14:val="none"/>
        </w:rPr>
        <w:t>"Check 21 Act"</w:t>
      </w:r>
      <w:r w:rsidRPr="00DA5538">
        <w:rPr>
          <w:rFonts w:ascii="Times New Roman" w:eastAsia="Times New Roman" w:hAnsi="Times New Roman" w:cs="Times New Roman"/>
          <w:color w:val="1B1B1B"/>
          <w:kern w:val="0"/>
          <w:sz w:val="24"/>
          <w:szCs w:val="24"/>
          <w:lang w:eastAsia="en-IN"/>
          <w14:ligatures w14:val="none"/>
        </w:rPr>
        <w:t> makes it easier for banks to create and send electronic images of paper checks. Even before Check 21, banks were allowed to process checks electronically when all the banks in the process agreed. Under Check 21, any bank may create a special paper copy—called a "substitute check"—using images of the front and back of an original check. If any bank in the process requires a paper check, another bank can send a substitute check in place of the original.</w:t>
      </w:r>
    </w:p>
    <w:p w14:paraId="4D1D3604" w14:textId="785899C5" w:rsidR="00176BC0" w:rsidRPr="00DA5538" w:rsidRDefault="00176BC0" w:rsidP="00DA553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5538">
        <w:rPr>
          <w:rFonts w:ascii="Times New Roman" w:eastAsia="Times New Roman" w:hAnsi="Times New Roman" w:cs="Times New Roman"/>
          <w:b/>
          <w:bCs/>
          <w:kern w:val="0"/>
          <w:sz w:val="24"/>
          <w:szCs w:val="24"/>
          <w:lang w:eastAsia="en-IN"/>
          <w14:ligatures w14:val="none"/>
        </w:rPr>
        <w:t>Electronic Fund Transfer Act (EFTA) of 1978</w:t>
      </w:r>
      <w:r w:rsidRPr="00DA5538">
        <w:rPr>
          <w:rFonts w:ascii="Times New Roman" w:eastAsia="Times New Roman" w:hAnsi="Times New Roman" w:cs="Times New Roman"/>
          <w:kern w:val="0"/>
          <w:sz w:val="24"/>
          <w:szCs w:val="24"/>
          <w:lang w:eastAsia="en-IN"/>
          <w14:ligatures w14:val="none"/>
        </w:rPr>
        <w:t xml:space="preserve"> protects consumers in electronic fund transfers, including ATM transactions, direct deposits, and online banking. Provides rights and liabilities of consumers and banks, including error resolution procedures and unauthorized transaction protections.</w:t>
      </w:r>
    </w:p>
    <w:p w14:paraId="4FECEC27" w14:textId="393C2D50" w:rsidR="00176BC0" w:rsidRDefault="00176BC0" w:rsidP="00DA553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5538">
        <w:rPr>
          <w:rFonts w:ascii="Times New Roman" w:eastAsia="Times New Roman" w:hAnsi="Times New Roman" w:cs="Times New Roman"/>
          <w:b/>
          <w:bCs/>
          <w:kern w:val="0"/>
          <w:sz w:val="24"/>
          <w:szCs w:val="24"/>
          <w:lang w:eastAsia="en-IN"/>
          <w14:ligatures w14:val="none"/>
        </w:rPr>
        <w:t>Truth in Savings Act (TISA) of 1991 r</w:t>
      </w:r>
      <w:r w:rsidRPr="00DA5538">
        <w:rPr>
          <w:rFonts w:ascii="Times New Roman" w:eastAsia="Times New Roman" w:hAnsi="Times New Roman" w:cs="Times New Roman"/>
          <w:kern w:val="0"/>
          <w:sz w:val="24"/>
          <w:szCs w:val="24"/>
          <w:lang w:eastAsia="en-IN"/>
          <w14:ligatures w14:val="none"/>
        </w:rPr>
        <w:t xml:space="preserve">equires banks to provide clear and uniform information about interest rates, fees, and other terms associated with deposit accounts. </w:t>
      </w:r>
      <w:r w:rsidR="003F2001" w:rsidRPr="00DA5538">
        <w:rPr>
          <w:rFonts w:ascii="Times New Roman" w:eastAsia="Times New Roman" w:hAnsi="Times New Roman" w:cs="Times New Roman"/>
          <w:kern w:val="0"/>
          <w:sz w:val="24"/>
          <w:szCs w:val="24"/>
          <w:lang w:eastAsia="en-IN"/>
          <w14:ligatures w14:val="none"/>
        </w:rPr>
        <w:t>Its</w:t>
      </w:r>
      <w:r w:rsidRPr="00DA5538">
        <w:rPr>
          <w:rFonts w:ascii="Times New Roman" w:eastAsia="Times New Roman" w:hAnsi="Times New Roman" w:cs="Times New Roman"/>
          <w:kern w:val="0"/>
          <w:sz w:val="24"/>
          <w:szCs w:val="24"/>
          <w:lang w:eastAsia="en-IN"/>
          <w14:ligatures w14:val="none"/>
        </w:rPr>
        <w:t xml:space="preserve"> </w:t>
      </w:r>
      <w:r w:rsidRPr="00DA5538">
        <w:rPr>
          <w:rFonts w:ascii="Times New Roman" w:eastAsia="Times New Roman" w:hAnsi="Times New Roman" w:cs="Times New Roman"/>
          <w:b/>
          <w:bCs/>
          <w:kern w:val="0"/>
          <w:sz w:val="24"/>
          <w:szCs w:val="24"/>
          <w:lang w:eastAsia="en-IN"/>
          <w14:ligatures w14:val="none"/>
        </w:rPr>
        <w:t>Impact</w:t>
      </w:r>
      <w:r w:rsidRPr="00DA5538">
        <w:rPr>
          <w:rFonts w:ascii="Times New Roman" w:eastAsia="Times New Roman" w:hAnsi="Times New Roman" w:cs="Times New Roman"/>
          <w:kern w:val="0"/>
          <w:sz w:val="24"/>
          <w:szCs w:val="24"/>
          <w:lang w:eastAsia="en-IN"/>
          <w14:ligatures w14:val="none"/>
        </w:rPr>
        <w:t xml:space="preserve"> is that it ensures consumers are fully informed about the terms of their savings and checking accounts, allowing for better comparison and decision-making.</w:t>
      </w:r>
    </w:p>
    <w:p w14:paraId="2011EB78" w14:textId="77777777" w:rsidR="00300916" w:rsidRDefault="00300916" w:rsidP="003009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373558" w14:textId="77777777" w:rsidR="00300916" w:rsidRPr="00300916" w:rsidRDefault="00300916" w:rsidP="003009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bl>
      <w:tblPr>
        <w:tblStyle w:val="PlainTable1"/>
        <w:tblW w:w="9141" w:type="dxa"/>
        <w:tblLook w:val="04A0" w:firstRow="1" w:lastRow="0" w:firstColumn="1" w:lastColumn="0" w:noHBand="0" w:noVBand="1"/>
      </w:tblPr>
      <w:tblGrid>
        <w:gridCol w:w="4180"/>
        <w:gridCol w:w="2566"/>
        <w:gridCol w:w="2395"/>
      </w:tblGrid>
      <w:tr w:rsidR="00300916" w14:paraId="5129387B" w14:textId="77777777" w:rsidTr="00B00A4C">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180" w:type="dxa"/>
          </w:tcPr>
          <w:p w14:paraId="311927A0" w14:textId="77777777" w:rsidR="00300916" w:rsidRPr="00300916" w:rsidRDefault="00300916" w:rsidP="00B00A4C">
            <w:pPr>
              <w:pStyle w:val="ListParagraph"/>
              <w:spacing w:before="100" w:beforeAutospacing="1" w:after="100" w:afterAutospacing="1"/>
              <w:ind w:left="0"/>
              <w:jc w:val="center"/>
              <w:rPr>
                <w:rFonts w:ascii="Times New Roman" w:eastAsia="Times New Roman" w:hAnsi="Times New Roman" w:cs="Times New Roman"/>
                <w:kern w:val="0"/>
                <w:lang w:eastAsia="en-IN"/>
                <w14:ligatures w14:val="none"/>
              </w:rPr>
            </w:pPr>
          </w:p>
        </w:tc>
        <w:tc>
          <w:tcPr>
            <w:tcW w:w="2566" w:type="dxa"/>
          </w:tcPr>
          <w:p w14:paraId="2D11E318" w14:textId="20F95BD2" w:rsidR="00300916" w:rsidRPr="00300916" w:rsidRDefault="00300916" w:rsidP="00300916">
            <w:pPr>
              <w:pStyle w:val="ListParagraph"/>
              <w:spacing w:before="100" w:beforeAutospacing="1" w:after="100" w:afterAutospacing="1"/>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Checking Accounts</w:t>
            </w:r>
          </w:p>
        </w:tc>
        <w:tc>
          <w:tcPr>
            <w:tcW w:w="2395" w:type="dxa"/>
          </w:tcPr>
          <w:p w14:paraId="2241CB83" w14:textId="013587EF" w:rsidR="00300916" w:rsidRPr="00300916" w:rsidRDefault="00300916" w:rsidP="00300916">
            <w:pPr>
              <w:pStyle w:val="ListParagraph"/>
              <w:spacing w:before="100" w:beforeAutospacing="1" w:after="100" w:afterAutospacing="1"/>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Savings Accounts</w:t>
            </w:r>
          </w:p>
        </w:tc>
      </w:tr>
      <w:tr w:rsidR="00300916" w14:paraId="21E964E9" w14:textId="77777777" w:rsidTr="00B00A4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180" w:type="dxa"/>
          </w:tcPr>
          <w:p w14:paraId="3568A2FF" w14:textId="146CEB29" w:rsidR="00300916" w:rsidRPr="00300916" w:rsidRDefault="00300916" w:rsidP="00300916">
            <w:pPr>
              <w:pStyle w:val="ListParagraph"/>
              <w:spacing w:before="100" w:beforeAutospacing="1" w:after="100" w:afterAutospacing="1"/>
              <w:ind w:left="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Ownership (% of Households)</w:t>
            </w:r>
          </w:p>
        </w:tc>
        <w:tc>
          <w:tcPr>
            <w:tcW w:w="2566" w:type="dxa"/>
          </w:tcPr>
          <w:p w14:paraId="0A41E216" w14:textId="3B5C4EA7" w:rsidR="00300916" w:rsidRPr="00300916" w:rsidRDefault="00300916" w:rsidP="00300916">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95% (2022)</w:t>
            </w:r>
          </w:p>
        </w:tc>
        <w:tc>
          <w:tcPr>
            <w:tcW w:w="2395" w:type="dxa"/>
          </w:tcPr>
          <w:p w14:paraId="1C8B2A7B" w14:textId="19F4AB55" w:rsidR="00300916" w:rsidRPr="00300916" w:rsidRDefault="00300916" w:rsidP="00300916">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81% (2022)</w:t>
            </w:r>
          </w:p>
        </w:tc>
      </w:tr>
      <w:tr w:rsidR="00300916" w14:paraId="6B13FCDC" w14:textId="77777777" w:rsidTr="00B00A4C">
        <w:trPr>
          <w:trHeight w:val="277"/>
        </w:trPr>
        <w:tc>
          <w:tcPr>
            <w:cnfStyle w:val="001000000000" w:firstRow="0" w:lastRow="0" w:firstColumn="1" w:lastColumn="0" w:oddVBand="0" w:evenVBand="0" w:oddHBand="0" w:evenHBand="0" w:firstRowFirstColumn="0" w:firstRowLastColumn="0" w:lastRowFirstColumn="0" w:lastRowLastColumn="0"/>
            <w:tcW w:w="4180" w:type="dxa"/>
          </w:tcPr>
          <w:p w14:paraId="11D10947" w14:textId="0BB26A3E" w:rsidR="00300916" w:rsidRPr="00300916" w:rsidRDefault="00300916" w:rsidP="00300916">
            <w:pPr>
              <w:pStyle w:val="ListParagraph"/>
              <w:spacing w:before="100" w:beforeAutospacing="1" w:after="100" w:afterAutospacing="1"/>
              <w:ind w:left="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Average Balance</w:t>
            </w:r>
          </w:p>
        </w:tc>
        <w:tc>
          <w:tcPr>
            <w:tcW w:w="2566" w:type="dxa"/>
          </w:tcPr>
          <w:p w14:paraId="1B5D98F9" w14:textId="1455A9B8" w:rsidR="00300916" w:rsidRPr="00300916" w:rsidRDefault="00300916" w:rsidP="00300916">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$5,300 (2022)</w:t>
            </w:r>
          </w:p>
        </w:tc>
        <w:tc>
          <w:tcPr>
            <w:tcW w:w="2395" w:type="dxa"/>
          </w:tcPr>
          <w:p w14:paraId="70C25A6D" w14:textId="64346350" w:rsidR="00300916" w:rsidRPr="00300916" w:rsidRDefault="00300916" w:rsidP="00300916">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$41,600 (2022)</w:t>
            </w:r>
          </w:p>
        </w:tc>
      </w:tr>
      <w:tr w:rsidR="00300916" w14:paraId="5CCCEE27" w14:textId="77777777" w:rsidTr="00B00A4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180" w:type="dxa"/>
          </w:tcPr>
          <w:p w14:paraId="78D86819" w14:textId="414D6253" w:rsidR="00300916" w:rsidRPr="00300916" w:rsidRDefault="00300916" w:rsidP="00300916">
            <w:pPr>
              <w:pStyle w:val="ListParagraph"/>
              <w:spacing w:before="100" w:beforeAutospacing="1" w:after="100" w:afterAutospacing="1"/>
              <w:ind w:left="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Median Balance</w:t>
            </w:r>
          </w:p>
        </w:tc>
        <w:tc>
          <w:tcPr>
            <w:tcW w:w="2566" w:type="dxa"/>
          </w:tcPr>
          <w:p w14:paraId="211E81BE" w14:textId="6370AA6C" w:rsidR="00300916" w:rsidRPr="00300916" w:rsidRDefault="00300916" w:rsidP="00300916">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$2,000 (2022)</w:t>
            </w:r>
          </w:p>
        </w:tc>
        <w:tc>
          <w:tcPr>
            <w:tcW w:w="2395" w:type="dxa"/>
          </w:tcPr>
          <w:p w14:paraId="2A6416D7" w14:textId="7D1D9A12" w:rsidR="00300916" w:rsidRPr="00300916" w:rsidRDefault="00300916" w:rsidP="00300916">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$5,300 (2022)</w:t>
            </w:r>
          </w:p>
        </w:tc>
      </w:tr>
      <w:tr w:rsidR="00300916" w14:paraId="5F0D45ED" w14:textId="77777777" w:rsidTr="00B00A4C">
        <w:trPr>
          <w:trHeight w:val="277"/>
        </w:trPr>
        <w:tc>
          <w:tcPr>
            <w:cnfStyle w:val="001000000000" w:firstRow="0" w:lastRow="0" w:firstColumn="1" w:lastColumn="0" w:oddVBand="0" w:evenVBand="0" w:oddHBand="0" w:evenHBand="0" w:firstRowFirstColumn="0" w:firstRowLastColumn="0" w:lastRowFirstColumn="0" w:lastRowLastColumn="0"/>
            <w:tcW w:w="4180" w:type="dxa"/>
          </w:tcPr>
          <w:p w14:paraId="3CD922EA" w14:textId="5B348879" w:rsidR="00300916" w:rsidRPr="00300916" w:rsidRDefault="00300916" w:rsidP="00300916">
            <w:pPr>
              <w:pStyle w:val="ListParagraph"/>
              <w:spacing w:before="100" w:beforeAutospacing="1" w:after="100" w:afterAutospacing="1"/>
              <w:ind w:left="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Average Monthly Fees</w:t>
            </w:r>
          </w:p>
        </w:tc>
        <w:tc>
          <w:tcPr>
            <w:tcW w:w="2566" w:type="dxa"/>
          </w:tcPr>
          <w:p w14:paraId="711D2F31" w14:textId="4F905AEE" w:rsidR="00300916" w:rsidRPr="00300916" w:rsidRDefault="00300916" w:rsidP="00300916">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$5-$12 (2023)</w:t>
            </w:r>
          </w:p>
        </w:tc>
        <w:tc>
          <w:tcPr>
            <w:tcW w:w="2395" w:type="dxa"/>
          </w:tcPr>
          <w:p w14:paraId="07A84FE2" w14:textId="1F65DC12" w:rsidR="00300916" w:rsidRPr="00300916" w:rsidRDefault="00300916" w:rsidP="00300916">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$0-$5 (2022)</w:t>
            </w:r>
          </w:p>
        </w:tc>
      </w:tr>
      <w:tr w:rsidR="00300916" w14:paraId="448FFC2B" w14:textId="77777777" w:rsidTr="00B00A4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180" w:type="dxa"/>
          </w:tcPr>
          <w:p w14:paraId="1B40711D" w14:textId="6C418DF0" w:rsidR="00300916" w:rsidRPr="00300916" w:rsidRDefault="00300916" w:rsidP="00300916">
            <w:pPr>
              <w:pStyle w:val="ListParagraph"/>
              <w:spacing w:before="100" w:beforeAutospacing="1" w:after="100" w:afterAutospacing="1"/>
              <w:ind w:left="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Interest Rates (Annual)</w:t>
            </w:r>
          </w:p>
        </w:tc>
        <w:tc>
          <w:tcPr>
            <w:tcW w:w="2566" w:type="dxa"/>
          </w:tcPr>
          <w:p w14:paraId="12401B1D" w14:textId="445F32EB" w:rsidR="00300916" w:rsidRPr="00300916" w:rsidRDefault="00300916" w:rsidP="00300916">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0.01%-0.03% (2023)</w:t>
            </w:r>
          </w:p>
        </w:tc>
        <w:tc>
          <w:tcPr>
            <w:tcW w:w="2395" w:type="dxa"/>
          </w:tcPr>
          <w:p w14:paraId="405CD624" w14:textId="27162F63" w:rsidR="00300916" w:rsidRPr="00300916" w:rsidRDefault="00300916" w:rsidP="00300916">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0.04%-0.50% (2023)</w:t>
            </w:r>
          </w:p>
        </w:tc>
      </w:tr>
      <w:tr w:rsidR="00300916" w14:paraId="613BEE03" w14:textId="77777777" w:rsidTr="00B00A4C">
        <w:trPr>
          <w:trHeight w:val="264"/>
        </w:trPr>
        <w:tc>
          <w:tcPr>
            <w:cnfStyle w:val="001000000000" w:firstRow="0" w:lastRow="0" w:firstColumn="1" w:lastColumn="0" w:oddVBand="0" w:evenVBand="0" w:oddHBand="0" w:evenHBand="0" w:firstRowFirstColumn="0" w:firstRowLastColumn="0" w:lastRowFirstColumn="0" w:lastRowLastColumn="0"/>
            <w:tcW w:w="4180" w:type="dxa"/>
          </w:tcPr>
          <w:p w14:paraId="62C9D656" w14:textId="1940B4AF" w:rsidR="00300916" w:rsidRPr="00300916" w:rsidRDefault="00300916" w:rsidP="00300916">
            <w:pPr>
              <w:pStyle w:val="ListParagraph"/>
              <w:spacing w:before="100" w:beforeAutospacing="1" w:after="100" w:afterAutospacing="1"/>
              <w:ind w:left="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Overdraft fees (Per incident)</w:t>
            </w:r>
          </w:p>
        </w:tc>
        <w:tc>
          <w:tcPr>
            <w:tcW w:w="2566" w:type="dxa"/>
          </w:tcPr>
          <w:p w14:paraId="74307D7A" w14:textId="55DA5263" w:rsidR="00300916" w:rsidRPr="00300916" w:rsidRDefault="00300916" w:rsidP="00300916">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$30-$35 (2023)</w:t>
            </w:r>
          </w:p>
        </w:tc>
        <w:tc>
          <w:tcPr>
            <w:tcW w:w="2395" w:type="dxa"/>
          </w:tcPr>
          <w:p w14:paraId="034AA22B" w14:textId="55C02749" w:rsidR="00300916" w:rsidRPr="00300916" w:rsidRDefault="00300916" w:rsidP="00300916">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N/A</w:t>
            </w:r>
          </w:p>
        </w:tc>
      </w:tr>
      <w:tr w:rsidR="00300916" w14:paraId="44C3CD69" w14:textId="77777777" w:rsidTr="00B00A4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180" w:type="dxa"/>
          </w:tcPr>
          <w:p w14:paraId="5326D13E" w14:textId="544E3E68" w:rsidR="00300916" w:rsidRPr="00300916" w:rsidRDefault="00300916" w:rsidP="00300916">
            <w:pPr>
              <w:pStyle w:val="ListParagraph"/>
              <w:spacing w:before="100" w:beforeAutospacing="1" w:after="100" w:afterAutospacing="1"/>
              <w:ind w:left="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Online banking usage</w:t>
            </w:r>
          </w:p>
        </w:tc>
        <w:tc>
          <w:tcPr>
            <w:tcW w:w="2566" w:type="dxa"/>
          </w:tcPr>
          <w:p w14:paraId="13361470" w14:textId="41C81D39" w:rsidR="00300916" w:rsidRPr="00300916" w:rsidRDefault="00300916" w:rsidP="00300916">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77% (2022)</w:t>
            </w:r>
          </w:p>
        </w:tc>
        <w:tc>
          <w:tcPr>
            <w:tcW w:w="2395" w:type="dxa"/>
          </w:tcPr>
          <w:p w14:paraId="1CBAC928" w14:textId="711102DE" w:rsidR="00300916" w:rsidRPr="00300916" w:rsidRDefault="00300916" w:rsidP="00300916">
            <w:pPr>
              <w:pStyle w:val="ListParagraph"/>
              <w:spacing w:before="100" w:beforeAutospacing="1" w:after="100" w:afterAutospacing="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65% (2022)</w:t>
            </w:r>
          </w:p>
        </w:tc>
      </w:tr>
      <w:tr w:rsidR="00300916" w14:paraId="1B106595" w14:textId="77777777" w:rsidTr="00B00A4C">
        <w:trPr>
          <w:trHeight w:val="277"/>
        </w:trPr>
        <w:tc>
          <w:tcPr>
            <w:cnfStyle w:val="001000000000" w:firstRow="0" w:lastRow="0" w:firstColumn="1" w:lastColumn="0" w:oddVBand="0" w:evenVBand="0" w:oddHBand="0" w:evenHBand="0" w:firstRowFirstColumn="0" w:firstRowLastColumn="0" w:lastRowFirstColumn="0" w:lastRowLastColumn="0"/>
            <w:tcW w:w="4180" w:type="dxa"/>
          </w:tcPr>
          <w:p w14:paraId="2A023FC8" w14:textId="2B9C0082" w:rsidR="00300916" w:rsidRPr="00300916" w:rsidRDefault="00300916" w:rsidP="00300916">
            <w:pPr>
              <w:pStyle w:val="ListParagraph"/>
              <w:spacing w:before="100" w:beforeAutospacing="1" w:after="100" w:afterAutospacing="1"/>
              <w:ind w:left="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Account Closure Rate</w:t>
            </w:r>
          </w:p>
        </w:tc>
        <w:tc>
          <w:tcPr>
            <w:tcW w:w="2566" w:type="dxa"/>
          </w:tcPr>
          <w:p w14:paraId="3355A71C" w14:textId="3101E04D" w:rsidR="00300916" w:rsidRPr="00300916" w:rsidRDefault="00300916" w:rsidP="00300916">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6% (2022)</w:t>
            </w:r>
          </w:p>
        </w:tc>
        <w:tc>
          <w:tcPr>
            <w:tcW w:w="2395" w:type="dxa"/>
          </w:tcPr>
          <w:p w14:paraId="77F8B3A3" w14:textId="032E5849" w:rsidR="00300916" w:rsidRPr="00300916" w:rsidRDefault="00300916" w:rsidP="00300916">
            <w:pPr>
              <w:pStyle w:val="ListParagraph"/>
              <w:spacing w:before="100" w:beforeAutospacing="1" w:after="100" w:afterAutospacing="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300916">
              <w:rPr>
                <w:rFonts w:ascii="Times New Roman" w:eastAsia="Times New Roman" w:hAnsi="Times New Roman" w:cs="Times New Roman"/>
                <w:kern w:val="0"/>
                <w:lang w:eastAsia="en-IN"/>
                <w14:ligatures w14:val="none"/>
              </w:rPr>
              <w:t>5% (2022)</w:t>
            </w:r>
          </w:p>
        </w:tc>
      </w:tr>
    </w:tbl>
    <w:p w14:paraId="558C9893" w14:textId="2F3B1DE2" w:rsidR="00176BC0" w:rsidRPr="00176BC0" w:rsidRDefault="00046697" w:rsidP="00B00A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697">
        <w:rPr>
          <w:rFonts w:ascii="Times New Roman" w:eastAsia="Times New Roman" w:hAnsi="Times New Roman" w:cs="Times New Roman"/>
          <w:noProof/>
          <w:kern w:val="0"/>
          <w:sz w:val="24"/>
          <w:szCs w:val="24"/>
          <w:lang w:eastAsia="en-IN"/>
          <w14:ligatures w14:val="none"/>
        </w:rPr>
        <w:drawing>
          <wp:inline distT="0" distB="0" distL="0" distR="0" wp14:anchorId="09F63FE5" wp14:editId="7B61FE60">
            <wp:extent cx="5326380" cy="2918351"/>
            <wp:effectExtent l="0" t="0" r="7620" b="0"/>
            <wp:docPr id="133015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51075" name=""/>
                    <pic:cNvPicPr/>
                  </pic:nvPicPr>
                  <pic:blipFill>
                    <a:blip r:embed="rId22"/>
                    <a:stretch>
                      <a:fillRect/>
                    </a:stretch>
                  </pic:blipFill>
                  <pic:spPr>
                    <a:xfrm>
                      <a:off x="0" y="0"/>
                      <a:ext cx="5398504" cy="2957868"/>
                    </a:xfrm>
                    <a:prstGeom prst="rect">
                      <a:avLst/>
                    </a:prstGeom>
                  </pic:spPr>
                </pic:pic>
              </a:graphicData>
            </a:graphic>
          </wp:inline>
        </w:drawing>
      </w:r>
    </w:p>
    <w:p w14:paraId="60ABCC92" w14:textId="77777777" w:rsidR="00176BC0" w:rsidRPr="00543411" w:rsidRDefault="00176BC0" w:rsidP="00543411">
      <w:pPr>
        <w:rPr>
          <w:rFonts w:ascii="Georgia" w:hAnsi="Georgia"/>
          <w:color w:val="333333"/>
          <w:sz w:val="27"/>
          <w:szCs w:val="27"/>
        </w:rPr>
      </w:pPr>
    </w:p>
    <w:p w14:paraId="07CC69D5" w14:textId="77777777" w:rsidR="00543411" w:rsidRPr="00415EFC" w:rsidRDefault="00543411" w:rsidP="002535EE">
      <w:pPr>
        <w:rPr>
          <w:lang w:val="en-US"/>
        </w:rPr>
      </w:pPr>
    </w:p>
    <w:sectPr w:rsidR="00543411" w:rsidRPr="00415E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B4736" w14:textId="77777777" w:rsidR="00610736" w:rsidRDefault="00610736" w:rsidP="00394CE4">
      <w:pPr>
        <w:spacing w:after="0" w:line="240" w:lineRule="auto"/>
      </w:pPr>
      <w:r>
        <w:separator/>
      </w:r>
    </w:p>
  </w:endnote>
  <w:endnote w:type="continuationSeparator" w:id="0">
    <w:p w14:paraId="077FEC97" w14:textId="77777777" w:rsidR="00610736" w:rsidRDefault="00610736" w:rsidP="0039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74A50" w14:textId="77777777" w:rsidR="00610736" w:rsidRDefault="00610736" w:rsidP="00394CE4">
      <w:pPr>
        <w:spacing w:after="0" w:line="240" w:lineRule="auto"/>
      </w:pPr>
      <w:r>
        <w:separator/>
      </w:r>
    </w:p>
  </w:footnote>
  <w:footnote w:type="continuationSeparator" w:id="0">
    <w:p w14:paraId="6238E310" w14:textId="77777777" w:rsidR="00610736" w:rsidRDefault="00610736" w:rsidP="00394C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6D64"/>
    <w:multiLevelType w:val="hybridMultilevel"/>
    <w:tmpl w:val="B8C603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435933"/>
    <w:multiLevelType w:val="hybridMultilevel"/>
    <w:tmpl w:val="96664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F96A49"/>
    <w:multiLevelType w:val="multilevel"/>
    <w:tmpl w:val="88220C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E31DE"/>
    <w:multiLevelType w:val="hybridMultilevel"/>
    <w:tmpl w:val="A5BE152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2E5E770E"/>
    <w:multiLevelType w:val="multilevel"/>
    <w:tmpl w:val="4DA0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D0666"/>
    <w:multiLevelType w:val="hybridMultilevel"/>
    <w:tmpl w:val="43AEE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644BC0"/>
    <w:multiLevelType w:val="hybridMultilevel"/>
    <w:tmpl w:val="D326F4A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7" w15:restartNumberingAfterBreak="0">
    <w:nsid w:val="51270B9A"/>
    <w:multiLevelType w:val="hybridMultilevel"/>
    <w:tmpl w:val="73FA9D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6055714"/>
    <w:multiLevelType w:val="hybridMultilevel"/>
    <w:tmpl w:val="DEBC8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CE139D"/>
    <w:multiLevelType w:val="multilevel"/>
    <w:tmpl w:val="49EA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A7E64"/>
    <w:multiLevelType w:val="multilevel"/>
    <w:tmpl w:val="46EA0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4108916">
    <w:abstractNumId w:val="10"/>
  </w:num>
  <w:num w:numId="2" w16cid:durableId="438448194">
    <w:abstractNumId w:val="1"/>
  </w:num>
  <w:num w:numId="3" w16cid:durableId="1685397200">
    <w:abstractNumId w:val="8"/>
  </w:num>
  <w:num w:numId="4" w16cid:durableId="1516577244">
    <w:abstractNumId w:val="3"/>
  </w:num>
  <w:num w:numId="5" w16cid:durableId="1387291225">
    <w:abstractNumId w:val="6"/>
  </w:num>
  <w:num w:numId="6" w16cid:durableId="1877886777">
    <w:abstractNumId w:val="2"/>
  </w:num>
  <w:num w:numId="7" w16cid:durableId="436755113">
    <w:abstractNumId w:val="4"/>
  </w:num>
  <w:num w:numId="8" w16cid:durableId="1006714807">
    <w:abstractNumId w:val="9"/>
  </w:num>
  <w:num w:numId="9" w16cid:durableId="1912814235">
    <w:abstractNumId w:val="0"/>
  </w:num>
  <w:num w:numId="10" w16cid:durableId="2045211483">
    <w:abstractNumId w:val="5"/>
  </w:num>
  <w:num w:numId="11" w16cid:durableId="2643084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FC"/>
    <w:rsid w:val="00001581"/>
    <w:rsid w:val="00017174"/>
    <w:rsid w:val="00046697"/>
    <w:rsid w:val="00176BC0"/>
    <w:rsid w:val="002535EE"/>
    <w:rsid w:val="0025721A"/>
    <w:rsid w:val="0029353D"/>
    <w:rsid w:val="00300916"/>
    <w:rsid w:val="00394CE4"/>
    <w:rsid w:val="003F2001"/>
    <w:rsid w:val="00415EFC"/>
    <w:rsid w:val="00535B2A"/>
    <w:rsid w:val="00543411"/>
    <w:rsid w:val="00543D45"/>
    <w:rsid w:val="005762B9"/>
    <w:rsid w:val="00610736"/>
    <w:rsid w:val="00615911"/>
    <w:rsid w:val="0065158A"/>
    <w:rsid w:val="008739B1"/>
    <w:rsid w:val="00B00A4C"/>
    <w:rsid w:val="00CA31CC"/>
    <w:rsid w:val="00DA5538"/>
    <w:rsid w:val="00DC1652"/>
    <w:rsid w:val="00EF008B"/>
    <w:rsid w:val="00EF5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FD6A"/>
  <w15:chartTrackingRefBased/>
  <w15:docId w15:val="{E88A1507-B726-49F1-8C04-014EB899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5E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next w:val="Normal"/>
    <w:link w:val="Heading4Char"/>
    <w:uiPriority w:val="9"/>
    <w:semiHidden/>
    <w:unhideWhenUsed/>
    <w:qFormat/>
    <w:rsid w:val="00EF57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EFC"/>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543D45"/>
    <w:rPr>
      <w:color w:val="0000FF"/>
      <w:u w:val="single"/>
    </w:rPr>
  </w:style>
  <w:style w:type="character" w:customStyle="1" w:styleId="Heading4Char">
    <w:name w:val="Heading 4 Char"/>
    <w:basedOn w:val="DefaultParagraphFont"/>
    <w:link w:val="Heading4"/>
    <w:uiPriority w:val="9"/>
    <w:semiHidden/>
    <w:rsid w:val="00EF579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F5791"/>
    <w:rPr>
      <w:b/>
      <w:bCs/>
    </w:rPr>
  </w:style>
  <w:style w:type="character" w:customStyle="1" w:styleId="line-clamp-1">
    <w:name w:val="line-clamp-1"/>
    <w:basedOn w:val="DefaultParagraphFont"/>
    <w:rsid w:val="00EF5791"/>
  </w:style>
  <w:style w:type="paragraph" w:styleId="NormalWeb">
    <w:name w:val="Normal (Web)"/>
    <w:basedOn w:val="Normal"/>
    <w:uiPriority w:val="99"/>
    <w:unhideWhenUsed/>
    <w:rsid w:val="002935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9353D"/>
    <w:pPr>
      <w:ind w:left="720"/>
      <w:contextualSpacing/>
    </w:pPr>
  </w:style>
  <w:style w:type="paragraph" w:styleId="NoSpacing">
    <w:name w:val="No Spacing"/>
    <w:uiPriority w:val="1"/>
    <w:qFormat/>
    <w:rsid w:val="0029353D"/>
    <w:pPr>
      <w:spacing w:after="0" w:line="240" w:lineRule="auto"/>
    </w:pPr>
  </w:style>
  <w:style w:type="table" w:styleId="PlainTable1">
    <w:name w:val="Plain Table 1"/>
    <w:basedOn w:val="TableNormal"/>
    <w:uiPriority w:val="41"/>
    <w:rsid w:val="002935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35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4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CE4"/>
  </w:style>
  <w:style w:type="paragraph" w:styleId="Footer">
    <w:name w:val="footer"/>
    <w:basedOn w:val="Normal"/>
    <w:link w:val="FooterChar"/>
    <w:uiPriority w:val="99"/>
    <w:unhideWhenUsed/>
    <w:rsid w:val="00394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78485">
      <w:bodyDiv w:val="1"/>
      <w:marLeft w:val="0"/>
      <w:marRight w:val="0"/>
      <w:marTop w:val="0"/>
      <w:marBottom w:val="0"/>
      <w:divBdr>
        <w:top w:val="none" w:sz="0" w:space="0" w:color="auto"/>
        <w:left w:val="none" w:sz="0" w:space="0" w:color="auto"/>
        <w:bottom w:val="none" w:sz="0" w:space="0" w:color="auto"/>
        <w:right w:val="none" w:sz="0" w:space="0" w:color="auto"/>
      </w:divBdr>
    </w:div>
    <w:div w:id="202644279">
      <w:bodyDiv w:val="1"/>
      <w:marLeft w:val="0"/>
      <w:marRight w:val="0"/>
      <w:marTop w:val="0"/>
      <w:marBottom w:val="0"/>
      <w:divBdr>
        <w:top w:val="none" w:sz="0" w:space="0" w:color="auto"/>
        <w:left w:val="none" w:sz="0" w:space="0" w:color="auto"/>
        <w:bottom w:val="none" w:sz="0" w:space="0" w:color="auto"/>
        <w:right w:val="none" w:sz="0" w:space="0" w:color="auto"/>
      </w:divBdr>
    </w:div>
    <w:div w:id="291178362">
      <w:bodyDiv w:val="1"/>
      <w:marLeft w:val="0"/>
      <w:marRight w:val="0"/>
      <w:marTop w:val="0"/>
      <w:marBottom w:val="0"/>
      <w:divBdr>
        <w:top w:val="none" w:sz="0" w:space="0" w:color="auto"/>
        <w:left w:val="none" w:sz="0" w:space="0" w:color="auto"/>
        <w:bottom w:val="none" w:sz="0" w:space="0" w:color="auto"/>
        <w:right w:val="none" w:sz="0" w:space="0" w:color="auto"/>
      </w:divBdr>
    </w:div>
    <w:div w:id="344789214">
      <w:bodyDiv w:val="1"/>
      <w:marLeft w:val="0"/>
      <w:marRight w:val="0"/>
      <w:marTop w:val="0"/>
      <w:marBottom w:val="0"/>
      <w:divBdr>
        <w:top w:val="none" w:sz="0" w:space="0" w:color="auto"/>
        <w:left w:val="none" w:sz="0" w:space="0" w:color="auto"/>
        <w:bottom w:val="none" w:sz="0" w:space="0" w:color="auto"/>
        <w:right w:val="none" w:sz="0" w:space="0" w:color="auto"/>
      </w:divBdr>
    </w:div>
    <w:div w:id="354576518">
      <w:bodyDiv w:val="1"/>
      <w:marLeft w:val="0"/>
      <w:marRight w:val="0"/>
      <w:marTop w:val="0"/>
      <w:marBottom w:val="0"/>
      <w:divBdr>
        <w:top w:val="none" w:sz="0" w:space="0" w:color="auto"/>
        <w:left w:val="none" w:sz="0" w:space="0" w:color="auto"/>
        <w:bottom w:val="none" w:sz="0" w:space="0" w:color="auto"/>
        <w:right w:val="none" w:sz="0" w:space="0" w:color="auto"/>
      </w:divBdr>
    </w:div>
    <w:div w:id="472868813">
      <w:bodyDiv w:val="1"/>
      <w:marLeft w:val="0"/>
      <w:marRight w:val="0"/>
      <w:marTop w:val="0"/>
      <w:marBottom w:val="0"/>
      <w:divBdr>
        <w:top w:val="none" w:sz="0" w:space="0" w:color="auto"/>
        <w:left w:val="none" w:sz="0" w:space="0" w:color="auto"/>
        <w:bottom w:val="none" w:sz="0" w:space="0" w:color="auto"/>
        <w:right w:val="none" w:sz="0" w:space="0" w:color="auto"/>
      </w:divBdr>
    </w:div>
    <w:div w:id="481895283">
      <w:bodyDiv w:val="1"/>
      <w:marLeft w:val="0"/>
      <w:marRight w:val="0"/>
      <w:marTop w:val="0"/>
      <w:marBottom w:val="0"/>
      <w:divBdr>
        <w:top w:val="none" w:sz="0" w:space="0" w:color="auto"/>
        <w:left w:val="none" w:sz="0" w:space="0" w:color="auto"/>
        <w:bottom w:val="none" w:sz="0" w:space="0" w:color="auto"/>
        <w:right w:val="none" w:sz="0" w:space="0" w:color="auto"/>
      </w:divBdr>
    </w:div>
    <w:div w:id="531457402">
      <w:bodyDiv w:val="1"/>
      <w:marLeft w:val="0"/>
      <w:marRight w:val="0"/>
      <w:marTop w:val="0"/>
      <w:marBottom w:val="0"/>
      <w:divBdr>
        <w:top w:val="none" w:sz="0" w:space="0" w:color="auto"/>
        <w:left w:val="none" w:sz="0" w:space="0" w:color="auto"/>
        <w:bottom w:val="none" w:sz="0" w:space="0" w:color="auto"/>
        <w:right w:val="none" w:sz="0" w:space="0" w:color="auto"/>
      </w:divBdr>
    </w:div>
    <w:div w:id="613025975">
      <w:bodyDiv w:val="1"/>
      <w:marLeft w:val="0"/>
      <w:marRight w:val="0"/>
      <w:marTop w:val="0"/>
      <w:marBottom w:val="0"/>
      <w:divBdr>
        <w:top w:val="none" w:sz="0" w:space="0" w:color="auto"/>
        <w:left w:val="none" w:sz="0" w:space="0" w:color="auto"/>
        <w:bottom w:val="none" w:sz="0" w:space="0" w:color="auto"/>
        <w:right w:val="none" w:sz="0" w:space="0" w:color="auto"/>
      </w:divBdr>
    </w:div>
    <w:div w:id="740446542">
      <w:bodyDiv w:val="1"/>
      <w:marLeft w:val="0"/>
      <w:marRight w:val="0"/>
      <w:marTop w:val="0"/>
      <w:marBottom w:val="0"/>
      <w:divBdr>
        <w:top w:val="none" w:sz="0" w:space="0" w:color="auto"/>
        <w:left w:val="none" w:sz="0" w:space="0" w:color="auto"/>
        <w:bottom w:val="none" w:sz="0" w:space="0" w:color="auto"/>
        <w:right w:val="none" w:sz="0" w:space="0" w:color="auto"/>
      </w:divBdr>
    </w:div>
    <w:div w:id="845171455">
      <w:bodyDiv w:val="1"/>
      <w:marLeft w:val="0"/>
      <w:marRight w:val="0"/>
      <w:marTop w:val="0"/>
      <w:marBottom w:val="0"/>
      <w:divBdr>
        <w:top w:val="none" w:sz="0" w:space="0" w:color="auto"/>
        <w:left w:val="none" w:sz="0" w:space="0" w:color="auto"/>
        <w:bottom w:val="none" w:sz="0" w:space="0" w:color="auto"/>
        <w:right w:val="none" w:sz="0" w:space="0" w:color="auto"/>
      </w:divBdr>
    </w:div>
    <w:div w:id="1379931841">
      <w:bodyDiv w:val="1"/>
      <w:marLeft w:val="0"/>
      <w:marRight w:val="0"/>
      <w:marTop w:val="0"/>
      <w:marBottom w:val="0"/>
      <w:divBdr>
        <w:top w:val="none" w:sz="0" w:space="0" w:color="auto"/>
        <w:left w:val="none" w:sz="0" w:space="0" w:color="auto"/>
        <w:bottom w:val="none" w:sz="0" w:space="0" w:color="auto"/>
        <w:right w:val="none" w:sz="0" w:space="0" w:color="auto"/>
      </w:divBdr>
      <w:divsChild>
        <w:div w:id="1245995009">
          <w:marLeft w:val="0"/>
          <w:marRight w:val="0"/>
          <w:marTop w:val="0"/>
          <w:marBottom w:val="0"/>
          <w:divBdr>
            <w:top w:val="none" w:sz="0" w:space="0" w:color="auto"/>
            <w:left w:val="none" w:sz="0" w:space="0" w:color="auto"/>
            <w:bottom w:val="none" w:sz="0" w:space="0" w:color="auto"/>
            <w:right w:val="none" w:sz="0" w:space="0" w:color="auto"/>
          </w:divBdr>
          <w:divsChild>
            <w:div w:id="1232422001">
              <w:marLeft w:val="0"/>
              <w:marRight w:val="0"/>
              <w:marTop w:val="0"/>
              <w:marBottom w:val="0"/>
              <w:divBdr>
                <w:top w:val="none" w:sz="0" w:space="0" w:color="auto"/>
                <w:left w:val="none" w:sz="0" w:space="0" w:color="auto"/>
                <w:bottom w:val="none" w:sz="0" w:space="0" w:color="auto"/>
                <w:right w:val="none" w:sz="0" w:space="0" w:color="auto"/>
              </w:divBdr>
              <w:divsChild>
                <w:div w:id="1937513869">
                  <w:marLeft w:val="0"/>
                  <w:marRight w:val="0"/>
                  <w:marTop w:val="0"/>
                  <w:marBottom w:val="0"/>
                  <w:divBdr>
                    <w:top w:val="none" w:sz="0" w:space="0" w:color="auto"/>
                    <w:left w:val="none" w:sz="0" w:space="0" w:color="auto"/>
                    <w:bottom w:val="none" w:sz="0" w:space="0" w:color="auto"/>
                    <w:right w:val="none" w:sz="0" w:space="0" w:color="auto"/>
                  </w:divBdr>
                  <w:divsChild>
                    <w:div w:id="4365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19664">
          <w:marLeft w:val="0"/>
          <w:marRight w:val="0"/>
          <w:marTop w:val="0"/>
          <w:marBottom w:val="0"/>
          <w:divBdr>
            <w:top w:val="none" w:sz="0" w:space="0" w:color="auto"/>
            <w:left w:val="none" w:sz="0" w:space="0" w:color="auto"/>
            <w:bottom w:val="none" w:sz="0" w:space="0" w:color="auto"/>
            <w:right w:val="none" w:sz="0" w:space="0" w:color="auto"/>
          </w:divBdr>
          <w:divsChild>
            <w:div w:id="2042631913">
              <w:marLeft w:val="0"/>
              <w:marRight w:val="0"/>
              <w:marTop w:val="0"/>
              <w:marBottom w:val="0"/>
              <w:divBdr>
                <w:top w:val="none" w:sz="0" w:space="0" w:color="auto"/>
                <w:left w:val="none" w:sz="0" w:space="0" w:color="auto"/>
                <w:bottom w:val="none" w:sz="0" w:space="0" w:color="auto"/>
                <w:right w:val="none" w:sz="0" w:space="0" w:color="auto"/>
              </w:divBdr>
              <w:divsChild>
                <w:div w:id="1915508935">
                  <w:marLeft w:val="0"/>
                  <w:marRight w:val="0"/>
                  <w:marTop w:val="0"/>
                  <w:marBottom w:val="0"/>
                  <w:divBdr>
                    <w:top w:val="none" w:sz="0" w:space="0" w:color="auto"/>
                    <w:left w:val="none" w:sz="0" w:space="0" w:color="auto"/>
                    <w:bottom w:val="none" w:sz="0" w:space="0" w:color="auto"/>
                    <w:right w:val="none" w:sz="0" w:space="0" w:color="auto"/>
                  </w:divBdr>
                  <w:divsChild>
                    <w:div w:id="4657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49443">
      <w:bodyDiv w:val="1"/>
      <w:marLeft w:val="0"/>
      <w:marRight w:val="0"/>
      <w:marTop w:val="0"/>
      <w:marBottom w:val="0"/>
      <w:divBdr>
        <w:top w:val="none" w:sz="0" w:space="0" w:color="auto"/>
        <w:left w:val="none" w:sz="0" w:space="0" w:color="auto"/>
        <w:bottom w:val="none" w:sz="0" w:space="0" w:color="auto"/>
        <w:right w:val="none" w:sz="0" w:space="0" w:color="auto"/>
      </w:divBdr>
    </w:div>
    <w:div w:id="1681738859">
      <w:bodyDiv w:val="1"/>
      <w:marLeft w:val="0"/>
      <w:marRight w:val="0"/>
      <w:marTop w:val="0"/>
      <w:marBottom w:val="0"/>
      <w:divBdr>
        <w:top w:val="none" w:sz="0" w:space="0" w:color="auto"/>
        <w:left w:val="none" w:sz="0" w:space="0" w:color="auto"/>
        <w:bottom w:val="none" w:sz="0" w:space="0" w:color="auto"/>
        <w:right w:val="none" w:sz="0" w:space="0" w:color="auto"/>
      </w:divBdr>
    </w:div>
    <w:div w:id="1721055474">
      <w:bodyDiv w:val="1"/>
      <w:marLeft w:val="0"/>
      <w:marRight w:val="0"/>
      <w:marTop w:val="0"/>
      <w:marBottom w:val="0"/>
      <w:divBdr>
        <w:top w:val="none" w:sz="0" w:space="0" w:color="auto"/>
        <w:left w:val="none" w:sz="0" w:space="0" w:color="auto"/>
        <w:bottom w:val="none" w:sz="0" w:space="0" w:color="auto"/>
        <w:right w:val="none" w:sz="0" w:space="0" w:color="auto"/>
      </w:divBdr>
    </w:div>
    <w:div w:id="18548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cleusresearch.com/wp-content/uploads/2018/05/o128-CRM-pays-back-8.71-for-every-dollar-spent.pdf" TargetMode="External"/><Relationship Id="rId13" Type="http://schemas.openxmlformats.org/officeDocument/2006/relationships/image" Target="media/image2.png"/><Relationship Id="rId18" Type="http://schemas.openxmlformats.org/officeDocument/2006/relationships/hyperlink" Target="https://www.newsweek.com/vault/banking/cds/what-is-a-certificate-of-deposit/" TargetMode="External"/><Relationship Id="rId3" Type="http://schemas.openxmlformats.org/officeDocument/2006/relationships/settings" Target="settings.xml"/><Relationship Id="rId21" Type="http://schemas.openxmlformats.org/officeDocument/2006/relationships/hyperlink" Target="javascript:%20void(0)" TargetMode="External"/><Relationship Id="rId7" Type="http://schemas.openxmlformats.org/officeDocument/2006/relationships/hyperlink" Target="https://www.tekshapers.com/blog/Important-Role-of-CRM-in-Banking-Sector" TargetMode="External"/><Relationship Id="rId12" Type="http://schemas.microsoft.com/office/2007/relationships/hdphoto" Target="media/hdphoto1.wdp"/><Relationship Id="rId17" Type="http://schemas.openxmlformats.org/officeDocument/2006/relationships/hyperlink" Target="https://www.fdic.gov/resources/bankers/national-rates/index.html" TargetMode="External"/><Relationship Id="rId2" Type="http://schemas.openxmlformats.org/officeDocument/2006/relationships/styles" Target="styles.xml"/><Relationship Id="rId16" Type="http://schemas.openxmlformats.org/officeDocument/2006/relationships/hyperlink" Target="https://www.newsweek.com/vault/banking/savings/average-interest-rate-for-savings-accounts/" TargetMode="External"/><Relationship Id="rId20" Type="http://schemas.openxmlformats.org/officeDocument/2006/relationships/hyperlink" Target="https://www.newsweek.com/vault/banking/checking/best-high-yield-checking-accou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fdic.gov/resources/bankers/national-rates/index.html" TargetMode="External"/><Relationship Id="rId23" Type="http://schemas.openxmlformats.org/officeDocument/2006/relationships/fontTable" Target="fontTable.xml"/><Relationship Id="rId10" Type="http://schemas.openxmlformats.org/officeDocument/2006/relationships/hyperlink" Target="https://crm.org/crmland/18-key-benefits-of-crm" TargetMode="External"/><Relationship Id="rId19" Type="http://schemas.openxmlformats.org/officeDocument/2006/relationships/hyperlink" Target="https://www.newsweek.com/vault/banking/savings/best-high-yield-savings-accounts/" TargetMode="External"/><Relationship Id="rId4" Type="http://schemas.openxmlformats.org/officeDocument/2006/relationships/webSettings" Target="webSettings.xml"/><Relationship Id="rId9" Type="http://schemas.openxmlformats.org/officeDocument/2006/relationships/hyperlink" Target="https://www.forbes.com/sites/louiscolumbus/2018/07/08/how-to-improve-customer-experiences-with-real-time-analytics/?sh=2f0f00426e82" TargetMode="External"/><Relationship Id="rId14" Type="http://schemas.microsoft.com/office/2007/relationships/hdphoto" Target="media/hdphoto2.wdp"/><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1</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3</cp:revision>
  <dcterms:created xsi:type="dcterms:W3CDTF">2024-06-22T12:00:00Z</dcterms:created>
  <dcterms:modified xsi:type="dcterms:W3CDTF">2024-06-24T07:01:00Z</dcterms:modified>
</cp:coreProperties>
</file>