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4F56E" w14:textId="2A98EE84" w:rsidR="00001581" w:rsidRPr="00F46E7E" w:rsidRDefault="00397E27">
      <w:pPr>
        <w:rPr>
          <w:rFonts w:ascii="Times New Roman" w:hAnsi="Times New Roman" w:cs="Times New Roman"/>
          <w:b/>
          <w:bCs/>
          <w:sz w:val="28"/>
          <w:szCs w:val="28"/>
          <w:u w:val="single"/>
          <w:lang w:val="en-US"/>
        </w:rPr>
      </w:pPr>
      <w:r w:rsidRPr="00F46E7E">
        <w:rPr>
          <w:rFonts w:ascii="Times New Roman" w:hAnsi="Times New Roman" w:cs="Times New Roman"/>
          <w:b/>
          <w:bCs/>
          <w:sz w:val="28"/>
          <w:szCs w:val="28"/>
          <w:u w:val="single"/>
          <w:lang w:val="en-US"/>
        </w:rPr>
        <w:t>Core Banking System</w:t>
      </w:r>
    </w:p>
    <w:p w14:paraId="2A6706B1" w14:textId="4B904028" w:rsidR="001838D0" w:rsidRDefault="001838D0" w:rsidP="00F46E7E">
      <w:pPr>
        <w:pStyle w:val="ListParagraph"/>
        <w:numPr>
          <w:ilvl w:val="0"/>
          <w:numId w:val="3"/>
        </w:numPr>
        <w:rPr>
          <w:rFonts w:ascii="Times New Roman" w:hAnsi="Times New Roman" w:cs="Times New Roman"/>
          <w:sz w:val="24"/>
          <w:szCs w:val="24"/>
          <w:lang w:val="en-US"/>
        </w:rPr>
      </w:pPr>
      <w:r w:rsidRPr="00F46E7E">
        <w:rPr>
          <w:rFonts w:ascii="Times New Roman" w:hAnsi="Times New Roman" w:cs="Times New Roman"/>
          <w:sz w:val="24"/>
          <w:szCs w:val="24"/>
          <w:lang w:val="en-US"/>
        </w:rPr>
        <w:t xml:space="preserve">Banks more easily invest in front-end customer engagement technology while the value of front-end systems succeed or fail based on back-end system capability </w:t>
      </w:r>
      <w:r w:rsidR="00721318" w:rsidRPr="00F46E7E">
        <w:rPr>
          <w:rFonts w:ascii="Times New Roman" w:hAnsi="Times New Roman" w:cs="Times New Roman"/>
          <w:sz w:val="24"/>
          <w:szCs w:val="24"/>
          <w:lang w:val="en-US"/>
        </w:rPr>
        <w:t>and these back</w:t>
      </w:r>
      <w:r w:rsidR="00F46E7E">
        <w:rPr>
          <w:rFonts w:ascii="Times New Roman" w:hAnsi="Times New Roman" w:cs="Times New Roman"/>
          <w:sz w:val="24"/>
          <w:szCs w:val="24"/>
          <w:lang w:val="en-US"/>
        </w:rPr>
        <w:t>-</w:t>
      </w:r>
      <w:r w:rsidR="00721318" w:rsidRPr="00F46E7E">
        <w:rPr>
          <w:rFonts w:ascii="Times New Roman" w:hAnsi="Times New Roman" w:cs="Times New Roman"/>
          <w:sz w:val="24"/>
          <w:szCs w:val="24"/>
          <w:lang w:val="en-US"/>
        </w:rPr>
        <w:t>end platforms are defined as core banking system that</w:t>
      </w:r>
      <w:r w:rsidR="00B80F39">
        <w:rPr>
          <w:rFonts w:ascii="Times New Roman" w:hAnsi="Times New Roman" w:cs="Times New Roman"/>
          <w:sz w:val="24"/>
          <w:szCs w:val="24"/>
          <w:lang w:val="en-US"/>
        </w:rPr>
        <w:t xml:space="preserve"> </w:t>
      </w:r>
      <w:r w:rsidR="004E0ED5">
        <w:rPr>
          <w:rFonts w:ascii="Times New Roman" w:hAnsi="Times New Roman" w:cs="Times New Roman"/>
          <w:sz w:val="24"/>
          <w:szCs w:val="24"/>
          <w:lang w:val="en-US"/>
        </w:rPr>
        <w:t xml:space="preserve">provide </w:t>
      </w:r>
      <w:r w:rsidR="004E0ED5" w:rsidRPr="00F46E7E">
        <w:rPr>
          <w:rFonts w:ascii="Times New Roman" w:hAnsi="Times New Roman" w:cs="Times New Roman"/>
          <w:sz w:val="24"/>
          <w:szCs w:val="24"/>
          <w:lang w:val="en-US"/>
        </w:rPr>
        <w:t>bank</w:t>
      </w:r>
      <w:r w:rsidR="00721318" w:rsidRPr="00F46E7E">
        <w:rPr>
          <w:rFonts w:ascii="Times New Roman" w:hAnsi="Times New Roman" w:cs="Times New Roman"/>
          <w:sz w:val="24"/>
          <w:szCs w:val="24"/>
          <w:lang w:val="en-US"/>
        </w:rPr>
        <w:t xml:space="preserve"> to deliver operations like loan management, withdrawals, deposits and payments in real time. </w:t>
      </w:r>
    </w:p>
    <w:p w14:paraId="40D5A99B" w14:textId="77777777" w:rsidR="00F46E7E" w:rsidRDefault="00F46E7E" w:rsidP="00F46E7E">
      <w:pPr>
        <w:pStyle w:val="ListParagraph"/>
        <w:numPr>
          <w:ilvl w:val="0"/>
          <w:numId w:val="3"/>
        </w:numPr>
        <w:spacing w:after="0" w:line="330" w:lineRule="atLeast"/>
        <w:rPr>
          <w:rFonts w:ascii="Times New Roman" w:eastAsia="Times New Roman" w:hAnsi="Times New Roman" w:cs="Times New Roman"/>
          <w:color w:val="000000" w:themeColor="text1"/>
          <w:sz w:val="24"/>
          <w:szCs w:val="24"/>
          <w:lang w:eastAsia="en-IN"/>
        </w:rPr>
      </w:pPr>
      <w:hyperlink r:id="rId5" w:tgtFrame="_blank" w:history="1">
        <w:r w:rsidRPr="00F46E7E">
          <w:rPr>
            <w:rFonts w:ascii="Times New Roman" w:eastAsia="Times New Roman" w:hAnsi="Times New Roman" w:cs="Times New Roman"/>
            <w:b/>
            <w:bCs/>
            <w:color w:val="000000" w:themeColor="text1"/>
            <w:sz w:val="24"/>
            <w:szCs w:val="24"/>
            <w:lang w:eastAsia="en-IN"/>
          </w:rPr>
          <w:t>The three layers of a core banking system are</w:t>
        </w:r>
      </w:hyperlink>
      <w:r w:rsidRPr="00F46E7E">
        <w:rPr>
          <w:rFonts w:ascii="Times New Roman" w:eastAsia="Times New Roman" w:hAnsi="Times New Roman" w:cs="Times New Roman"/>
          <w:color w:val="000000" w:themeColor="text1"/>
          <w:sz w:val="24"/>
          <w:szCs w:val="24"/>
          <w:lang w:eastAsia="en-IN"/>
        </w:rPr>
        <w:t>:</w:t>
      </w:r>
    </w:p>
    <w:p w14:paraId="520A5BBE" w14:textId="77777777" w:rsidR="00F46E7E" w:rsidRPr="00F46E7E" w:rsidRDefault="00F46E7E" w:rsidP="00F46E7E">
      <w:pPr>
        <w:pStyle w:val="ListParagraph"/>
        <w:numPr>
          <w:ilvl w:val="0"/>
          <w:numId w:val="11"/>
        </w:numPr>
        <w:spacing w:after="0" w:line="330" w:lineRule="atLeast"/>
        <w:rPr>
          <w:rFonts w:ascii="Times New Roman" w:eastAsia="Times New Roman" w:hAnsi="Times New Roman" w:cs="Times New Roman"/>
          <w:color w:val="000000" w:themeColor="text1"/>
          <w:sz w:val="24"/>
          <w:szCs w:val="24"/>
          <w:lang w:eastAsia="en-IN"/>
        </w:rPr>
      </w:pPr>
      <w:r w:rsidRPr="00F46E7E">
        <w:rPr>
          <w:rFonts w:ascii="Times New Roman" w:eastAsia="Times New Roman" w:hAnsi="Times New Roman" w:cs="Times New Roman"/>
          <w:color w:val="111111"/>
          <w:sz w:val="24"/>
          <w:szCs w:val="24"/>
          <w:lang w:eastAsia="en-IN"/>
        </w:rPr>
        <w:t>Data layer: stores all the bank’s data, including customer information, transaction details, and account data, securely.</w:t>
      </w:r>
    </w:p>
    <w:p w14:paraId="0E993960" w14:textId="77777777" w:rsidR="00F46E7E" w:rsidRPr="00F46E7E" w:rsidRDefault="00F46E7E" w:rsidP="00F46E7E">
      <w:pPr>
        <w:pStyle w:val="ListParagraph"/>
        <w:numPr>
          <w:ilvl w:val="0"/>
          <w:numId w:val="11"/>
        </w:numPr>
        <w:spacing w:after="0" w:line="330" w:lineRule="atLeast"/>
        <w:rPr>
          <w:rFonts w:ascii="Times New Roman" w:eastAsia="Times New Roman" w:hAnsi="Times New Roman" w:cs="Times New Roman"/>
          <w:color w:val="000000" w:themeColor="text1"/>
          <w:sz w:val="24"/>
          <w:szCs w:val="24"/>
          <w:lang w:eastAsia="en-IN"/>
        </w:rPr>
      </w:pPr>
      <w:r w:rsidRPr="00F46E7E">
        <w:rPr>
          <w:rFonts w:ascii="Times New Roman" w:eastAsia="Times New Roman" w:hAnsi="Times New Roman" w:cs="Times New Roman"/>
          <w:color w:val="111111"/>
          <w:sz w:val="24"/>
          <w:szCs w:val="24"/>
          <w:lang w:eastAsia="en-IN"/>
        </w:rPr>
        <w:t>Business logic layer: contains the core functionality of the banking system.</w:t>
      </w:r>
    </w:p>
    <w:p w14:paraId="24FBD818" w14:textId="726E5AAB" w:rsidR="00F46E7E" w:rsidRPr="00F46E7E" w:rsidRDefault="00F46E7E" w:rsidP="00F46E7E">
      <w:pPr>
        <w:pStyle w:val="ListParagraph"/>
        <w:numPr>
          <w:ilvl w:val="0"/>
          <w:numId w:val="11"/>
        </w:numPr>
        <w:spacing w:after="0" w:line="330" w:lineRule="atLeast"/>
        <w:rPr>
          <w:rFonts w:ascii="Times New Roman" w:eastAsia="Times New Roman" w:hAnsi="Times New Roman" w:cs="Times New Roman"/>
          <w:color w:val="000000" w:themeColor="text1"/>
          <w:sz w:val="24"/>
          <w:szCs w:val="24"/>
          <w:lang w:eastAsia="en-IN"/>
        </w:rPr>
      </w:pPr>
      <w:r w:rsidRPr="00F46E7E">
        <w:rPr>
          <w:rFonts w:ascii="Times New Roman" w:eastAsia="Times New Roman" w:hAnsi="Times New Roman" w:cs="Times New Roman"/>
          <w:color w:val="111111"/>
          <w:sz w:val="24"/>
          <w:szCs w:val="24"/>
          <w:lang w:eastAsia="en-IN"/>
        </w:rPr>
        <w:t>Application layer: sits above the business logic and interacts directly with the end-users, bank employees, or customers using digital platforms.</w:t>
      </w:r>
    </w:p>
    <w:p w14:paraId="4D714DD3" w14:textId="77777777" w:rsidR="00F46E7E" w:rsidRPr="00F46E7E" w:rsidRDefault="00F46E7E" w:rsidP="00F46E7E">
      <w:pPr>
        <w:pStyle w:val="ListParagraph"/>
        <w:numPr>
          <w:ilvl w:val="0"/>
          <w:numId w:val="3"/>
        </w:numPr>
        <w:rPr>
          <w:rFonts w:ascii="Times New Roman" w:hAnsi="Times New Roman" w:cs="Times New Roman"/>
          <w:sz w:val="24"/>
          <w:szCs w:val="24"/>
          <w:lang w:eastAsia="en-IN"/>
        </w:rPr>
      </w:pPr>
      <w:r w:rsidRPr="00F46E7E">
        <w:rPr>
          <w:rFonts w:ascii="Times New Roman" w:eastAsia="Times New Roman" w:hAnsi="Times New Roman" w:cs="Times New Roman"/>
          <w:sz w:val="24"/>
          <w:szCs w:val="24"/>
          <w:lang w:eastAsia="en-IN"/>
        </w:rPr>
        <w:t>C</w:t>
      </w:r>
      <w:r w:rsidR="00397E27" w:rsidRPr="00F46E7E">
        <w:rPr>
          <w:rFonts w:ascii="Times New Roman" w:eastAsia="Times New Roman" w:hAnsi="Times New Roman" w:cs="Times New Roman"/>
          <w:sz w:val="24"/>
          <w:szCs w:val="24"/>
          <w:lang w:eastAsia="en-IN"/>
        </w:rPr>
        <w:t>ore banking systems can fall into the following categories:</w:t>
      </w:r>
    </w:p>
    <w:p w14:paraId="782D27B9" w14:textId="6181D911" w:rsidR="00397E27" w:rsidRPr="00F46E7E" w:rsidRDefault="00397E27" w:rsidP="00F46E7E">
      <w:pPr>
        <w:pStyle w:val="ListParagraph"/>
        <w:numPr>
          <w:ilvl w:val="0"/>
          <w:numId w:val="4"/>
        </w:numPr>
        <w:rPr>
          <w:rFonts w:ascii="Times New Roman" w:eastAsia="Times New Roman" w:hAnsi="Times New Roman" w:cs="Times New Roman"/>
          <w:sz w:val="24"/>
          <w:szCs w:val="24"/>
          <w:lang w:eastAsia="en-IN"/>
        </w:rPr>
      </w:pPr>
      <w:r w:rsidRPr="00F46E7E">
        <w:rPr>
          <w:rFonts w:ascii="Times New Roman" w:eastAsia="Times New Roman" w:hAnsi="Times New Roman" w:cs="Times New Roman"/>
          <w:b/>
          <w:bCs/>
          <w:sz w:val="24"/>
          <w:szCs w:val="24"/>
          <w:lang w:eastAsia="en-IN"/>
        </w:rPr>
        <w:t>On-premise solution</w:t>
      </w:r>
      <w:r w:rsidRPr="00F46E7E">
        <w:rPr>
          <w:rFonts w:ascii="Times New Roman" w:eastAsia="Times New Roman" w:hAnsi="Times New Roman" w:cs="Times New Roman"/>
          <w:sz w:val="24"/>
          <w:szCs w:val="24"/>
          <w:lang w:eastAsia="en-IN"/>
        </w:rPr>
        <w:t>. This system works on a locally-hosted infrastructure, providing the bank administration with several customization options.</w:t>
      </w:r>
    </w:p>
    <w:p w14:paraId="20938710" w14:textId="574A9803" w:rsidR="00721318" w:rsidRPr="00F46E7E" w:rsidRDefault="00397E27" w:rsidP="00F46E7E">
      <w:pPr>
        <w:pStyle w:val="ListParagraph"/>
        <w:numPr>
          <w:ilvl w:val="0"/>
          <w:numId w:val="4"/>
        </w:numPr>
        <w:rPr>
          <w:rFonts w:ascii="Times New Roman" w:eastAsia="Times New Roman" w:hAnsi="Times New Roman" w:cs="Times New Roman"/>
          <w:sz w:val="24"/>
          <w:szCs w:val="24"/>
          <w:lang w:eastAsia="en-IN"/>
        </w:rPr>
      </w:pPr>
      <w:r w:rsidRPr="00F46E7E">
        <w:rPr>
          <w:rFonts w:ascii="Times New Roman" w:eastAsia="Times New Roman" w:hAnsi="Times New Roman" w:cs="Times New Roman"/>
          <w:b/>
          <w:bCs/>
          <w:sz w:val="24"/>
          <w:szCs w:val="24"/>
          <w:lang w:eastAsia="en-IN"/>
        </w:rPr>
        <w:t>Cloud-based core banking software – </w:t>
      </w:r>
      <w:r w:rsidRPr="00F46E7E">
        <w:rPr>
          <w:rFonts w:ascii="Times New Roman" w:eastAsia="Times New Roman" w:hAnsi="Times New Roman" w:cs="Times New Roman"/>
          <w:sz w:val="24"/>
          <w:szCs w:val="24"/>
          <w:lang w:eastAsia="en-IN"/>
        </w:rPr>
        <w:t>as the name suggests, it is hosted on the cloud. Sometimes, a cloud vendor offers the application as a Cloud as a Service (CaaS) on a pay-per-use basis. Other times, companies can move their local servers to the cloud to enjoy more flexibility</w:t>
      </w:r>
      <w:r w:rsidR="00A37CA5">
        <w:rPr>
          <w:rFonts w:ascii="Times New Roman" w:hAnsi="Times New Roman" w:cs="Times New Roman"/>
          <w:sz w:val="24"/>
          <w:szCs w:val="24"/>
          <w:lang w:eastAsia="en-IN"/>
        </w:rPr>
        <w:t>.</w:t>
      </w:r>
    </w:p>
    <w:p w14:paraId="6B643826" w14:textId="40667089" w:rsidR="00A37CA5" w:rsidRPr="00A37CA5" w:rsidRDefault="00A37CA5" w:rsidP="00A37CA5">
      <w:pPr>
        <w:pStyle w:val="ListParagraph"/>
        <w:numPr>
          <w:ilvl w:val="0"/>
          <w:numId w:val="3"/>
        </w:numPr>
        <w:rPr>
          <w:rStyle w:val="Strong"/>
          <w:rFonts w:ascii="Times New Roman" w:hAnsi="Times New Roman" w:cs="Times New Roman"/>
          <w:b w:val="0"/>
          <w:bCs w:val="0"/>
          <w:sz w:val="24"/>
          <w:szCs w:val="24"/>
          <w:lang w:eastAsia="en-IN"/>
        </w:rPr>
      </w:pPr>
      <w:r w:rsidRPr="00A37CA5">
        <w:rPr>
          <w:rStyle w:val="Strong"/>
          <w:rFonts w:ascii="Times New Roman" w:hAnsi="Times New Roman" w:cs="Times New Roman"/>
          <w:b w:val="0"/>
          <w:bCs w:val="0"/>
          <w:sz w:val="24"/>
          <w:szCs w:val="24"/>
        </w:rPr>
        <w:t>When a customer withdraws money from a branch or an ATM, the application sends a request to the centralized data center, which then processes the request and authenticates the operation.</w:t>
      </w:r>
    </w:p>
    <w:p w14:paraId="35446E65" w14:textId="6191BD45" w:rsidR="00397E27" w:rsidRPr="00B80F39" w:rsidRDefault="00721318" w:rsidP="00B80F39">
      <w:pPr>
        <w:pStyle w:val="ListParagraph"/>
        <w:numPr>
          <w:ilvl w:val="0"/>
          <w:numId w:val="5"/>
        </w:numPr>
        <w:rPr>
          <w:rFonts w:ascii="Times New Roman" w:hAnsi="Times New Roman" w:cs="Times New Roman"/>
          <w:sz w:val="24"/>
          <w:szCs w:val="24"/>
          <w:lang w:eastAsia="en-IN"/>
        </w:rPr>
      </w:pPr>
      <w:r w:rsidRPr="00F46E7E">
        <w:rPr>
          <w:rFonts w:ascii="Times New Roman" w:eastAsia="Times New Roman" w:hAnsi="Times New Roman" w:cs="Times New Roman"/>
          <w:sz w:val="24"/>
          <w:szCs w:val="24"/>
          <w:lang w:eastAsia="en-IN"/>
        </w:rPr>
        <w:t>According to the IBM X-force 2021 report, 22.4% of cyber-attacks were targeted toward financial and insurance organizations.</w:t>
      </w:r>
      <w:r w:rsidR="00B80F39">
        <w:rPr>
          <w:rFonts w:ascii="Times New Roman" w:hAnsi="Times New Roman" w:cs="Times New Roman"/>
          <w:sz w:val="24"/>
          <w:szCs w:val="24"/>
          <w:lang w:eastAsia="en-IN"/>
        </w:rPr>
        <w:t xml:space="preserve"> </w:t>
      </w:r>
      <w:r w:rsidR="00397E27" w:rsidRPr="00B80F39">
        <w:rPr>
          <w:rFonts w:ascii="Times New Roman" w:hAnsi="Times New Roman" w:cs="Times New Roman"/>
          <w:color w:val="10233A"/>
          <w:sz w:val="24"/>
          <w:szCs w:val="24"/>
          <w:shd w:val="clear" w:color="auto" w:fill="FFFFFF"/>
        </w:rPr>
        <w:t>Despite the few limitations bank still needs a core banking platform to streamline operations and maximize ROI.</w:t>
      </w:r>
    </w:p>
    <w:p w14:paraId="41C642AD" w14:textId="53D305C8" w:rsidR="00721318" w:rsidRPr="00F46E7E" w:rsidRDefault="00721318" w:rsidP="00F46E7E">
      <w:pPr>
        <w:pStyle w:val="ListParagraph"/>
        <w:numPr>
          <w:ilvl w:val="0"/>
          <w:numId w:val="5"/>
        </w:numPr>
        <w:rPr>
          <w:rFonts w:ascii="Times New Roman" w:hAnsi="Times New Roman" w:cs="Times New Roman"/>
          <w:sz w:val="24"/>
          <w:szCs w:val="24"/>
          <w:lang w:val="en-US"/>
        </w:rPr>
      </w:pPr>
      <w:r w:rsidRPr="00F46E7E">
        <w:rPr>
          <w:rFonts w:ascii="Times New Roman" w:hAnsi="Times New Roman" w:cs="Times New Roman"/>
          <w:sz w:val="24"/>
          <w:szCs w:val="24"/>
          <w:lang w:val="en-US"/>
        </w:rPr>
        <w:t>The market is projected to grow from USD 17.00 billion in 2024 to USD 62.75 billion by 2032, exhibiting a CAGR of 17.7% during the forecast period.</w:t>
      </w:r>
    </w:p>
    <w:p w14:paraId="4AA24812" w14:textId="77777777" w:rsidR="00721318" w:rsidRPr="00F46E7E" w:rsidRDefault="00721318" w:rsidP="00F46E7E">
      <w:pPr>
        <w:pStyle w:val="ListParagraph"/>
        <w:numPr>
          <w:ilvl w:val="0"/>
          <w:numId w:val="5"/>
        </w:numPr>
        <w:rPr>
          <w:rFonts w:ascii="Times New Roman" w:hAnsi="Times New Roman" w:cs="Times New Roman"/>
          <w:sz w:val="24"/>
          <w:szCs w:val="24"/>
          <w:lang w:val="en-US"/>
        </w:rPr>
      </w:pPr>
      <w:r w:rsidRPr="00F46E7E">
        <w:rPr>
          <w:rFonts w:ascii="Times New Roman" w:hAnsi="Times New Roman" w:cs="Times New Roman"/>
          <w:sz w:val="24"/>
          <w:szCs w:val="24"/>
          <w:lang w:val="en-US"/>
        </w:rPr>
        <w:t>Fiserv, Inc., Finastra, Fidelity National Information Services, Inc. (FIS), and Nymbus, among others are some of the key players in the U.S. fintech industry.</w:t>
      </w:r>
    </w:p>
    <w:p w14:paraId="3B99BE35" w14:textId="77777777" w:rsidR="00721318" w:rsidRPr="00F46E7E" w:rsidRDefault="00721318" w:rsidP="00F46E7E">
      <w:pPr>
        <w:pStyle w:val="ListParagraph"/>
        <w:numPr>
          <w:ilvl w:val="0"/>
          <w:numId w:val="5"/>
        </w:numPr>
        <w:rPr>
          <w:rFonts w:ascii="Times New Roman" w:hAnsi="Times New Roman" w:cs="Times New Roman"/>
          <w:sz w:val="24"/>
          <w:szCs w:val="24"/>
          <w:lang w:val="en-US"/>
        </w:rPr>
      </w:pPr>
      <w:r w:rsidRPr="00F46E7E">
        <w:rPr>
          <w:rFonts w:ascii="Times New Roman" w:hAnsi="Times New Roman" w:cs="Times New Roman"/>
          <w:sz w:val="24"/>
          <w:szCs w:val="24"/>
          <w:lang w:val="en-US"/>
        </w:rPr>
        <w:t>KEY INDUSTRY DEVELOPMENTS</w:t>
      </w:r>
    </w:p>
    <w:p w14:paraId="1422CD80" w14:textId="77777777" w:rsidR="00721318" w:rsidRPr="00F46E7E" w:rsidRDefault="00721318" w:rsidP="00F46E7E">
      <w:pPr>
        <w:pStyle w:val="ListParagraph"/>
        <w:numPr>
          <w:ilvl w:val="0"/>
          <w:numId w:val="6"/>
        </w:numPr>
        <w:rPr>
          <w:rFonts w:ascii="Times New Roman" w:hAnsi="Times New Roman" w:cs="Times New Roman"/>
          <w:sz w:val="24"/>
          <w:szCs w:val="24"/>
          <w:lang w:val="en-US"/>
        </w:rPr>
      </w:pPr>
      <w:r w:rsidRPr="00F46E7E">
        <w:rPr>
          <w:rFonts w:ascii="Times New Roman" w:hAnsi="Times New Roman" w:cs="Times New Roman"/>
          <w:sz w:val="24"/>
          <w:szCs w:val="24"/>
          <w:lang w:val="en-US"/>
        </w:rPr>
        <w:t>October 2022: Zenus Bank, which is a U.S.-based digital challenger bank serving non-U.S. citizens, partnered with Finxact, a subsidiary of Fiserv. The partnership resulted in the deployment of a core banking platform, which offers and manages U.S. bank accounts to millions of people across the globe.</w:t>
      </w:r>
    </w:p>
    <w:p w14:paraId="475FAD6F" w14:textId="5C7B5CA9" w:rsidR="00721318" w:rsidRPr="00F46E7E" w:rsidRDefault="00721318" w:rsidP="00F46E7E">
      <w:pPr>
        <w:pStyle w:val="ListParagraph"/>
        <w:numPr>
          <w:ilvl w:val="0"/>
          <w:numId w:val="6"/>
        </w:numPr>
        <w:rPr>
          <w:rFonts w:ascii="Times New Roman" w:hAnsi="Times New Roman" w:cs="Times New Roman"/>
          <w:sz w:val="24"/>
          <w:szCs w:val="24"/>
          <w:lang w:val="en-US"/>
        </w:rPr>
      </w:pPr>
      <w:r w:rsidRPr="00F46E7E">
        <w:rPr>
          <w:rFonts w:ascii="Times New Roman" w:hAnsi="Times New Roman" w:cs="Times New Roman"/>
          <w:sz w:val="24"/>
          <w:szCs w:val="24"/>
          <w:lang w:val="en-US"/>
        </w:rPr>
        <w:t>September 2022 – New York based financial service provider named Stash, launched Stash Core, which was a proprietary core banking platform.</w:t>
      </w:r>
    </w:p>
    <w:p w14:paraId="7B06CF50" w14:textId="21BF09D7" w:rsidR="00721318" w:rsidRPr="00F46E7E" w:rsidRDefault="00721318" w:rsidP="00F46E7E">
      <w:pPr>
        <w:pStyle w:val="ListParagraph"/>
        <w:numPr>
          <w:ilvl w:val="0"/>
          <w:numId w:val="7"/>
        </w:numPr>
        <w:rPr>
          <w:rFonts w:ascii="Times New Roman" w:hAnsi="Times New Roman" w:cs="Times New Roman"/>
          <w:sz w:val="24"/>
          <w:szCs w:val="24"/>
          <w:lang w:val="en-US"/>
        </w:rPr>
      </w:pPr>
      <w:r w:rsidRPr="00F46E7E">
        <w:rPr>
          <w:rFonts w:ascii="Times New Roman" w:hAnsi="Times New Roman" w:cs="Times New Roman"/>
          <w:sz w:val="24"/>
          <w:szCs w:val="24"/>
          <w:lang w:val="en-US"/>
        </w:rPr>
        <w:t>Large banks segment is expected to have the highest market share due to their massive user base and capabilities to manage immense amount of data, even in tough times such as the pandemic.</w:t>
      </w:r>
    </w:p>
    <w:p w14:paraId="67833892" w14:textId="21CBB2D0" w:rsidR="00721318" w:rsidRDefault="00F46E7E" w:rsidP="00F46E7E">
      <w:pPr>
        <w:pStyle w:val="ListParagraph"/>
        <w:numPr>
          <w:ilvl w:val="0"/>
          <w:numId w:val="7"/>
        </w:numPr>
        <w:rPr>
          <w:rFonts w:ascii="Times New Roman" w:hAnsi="Times New Roman" w:cs="Times New Roman"/>
          <w:sz w:val="24"/>
          <w:szCs w:val="24"/>
          <w:lang w:val="en-US"/>
        </w:rPr>
      </w:pPr>
      <w:r w:rsidRPr="00F46E7E">
        <w:rPr>
          <w:rFonts w:ascii="Times New Roman" w:hAnsi="Times New Roman" w:cs="Times New Roman"/>
          <w:sz w:val="24"/>
          <w:szCs w:val="24"/>
          <w:lang w:val="en-US"/>
        </w:rPr>
        <w:t>The corporate banking segment is projected to have the largest market share during the forecast period.</w:t>
      </w:r>
    </w:p>
    <w:p w14:paraId="7136ED08" w14:textId="7767D64E" w:rsidR="00A37CA5" w:rsidRPr="00A37CA5" w:rsidRDefault="00A37CA5" w:rsidP="00F46E7E">
      <w:pPr>
        <w:pStyle w:val="ListParagraph"/>
        <w:numPr>
          <w:ilvl w:val="0"/>
          <w:numId w:val="7"/>
        </w:numPr>
        <w:rPr>
          <w:rFonts w:ascii="Times New Roman" w:hAnsi="Times New Roman" w:cs="Times New Roman"/>
          <w:sz w:val="28"/>
          <w:szCs w:val="28"/>
          <w:lang w:val="en-US"/>
        </w:rPr>
      </w:pPr>
      <w:r w:rsidRPr="00A37CA5">
        <w:rPr>
          <w:rFonts w:ascii="Times New Roman" w:hAnsi="Times New Roman" w:cs="Times New Roman"/>
          <w:color w:val="363636"/>
          <w:sz w:val="24"/>
          <w:szCs w:val="24"/>
          <w:shd w:val="clear" w:color="auto" w:fill="FFFFFF"/>
        </w:rPr>
        <w:t>The North American region dominated the market for core banking software in 2022 and accounted for over 27.0% share of global revenue. </w:t>
      </w:r>
    </w:p>
    <w:p w14:paraId="004457C6" w14:textId="15B51A85" w:rsidR="00A37CA5" w:rsidRPr="00A37CA5" w:rsidRDefault="00A37CA5" w:rsidP="00F46E7E">
      <w:pPr>
        <w:pStyle w:val="ListParagraph"/>
        <w:numPr>
          <w:ilvl w:val="0"/>
          <w:numId w:val="7"/>
        </w:numPr>
        <w:rPr>
          <w:rFonts w:ascii="Times New Roman" w:hAnsi="Times New Roman" w:cs="Times New Roman"/>
          <w:sz w:val="32"/>
          <w:szCs w:val="32"/>
          <w:lang w:val="en-US"/>
        </w:rPr>
      </w:pPr>
      <w:r w:rsidRPr="00A37CA5">
        <w:rPr>
          <w:rFonts w:ascii="Times New Roman" w:eastAsia="Times New Roman" w:hAnsi="Times New Roman" w:cs="Times New Roman"/>
          <w:sz w:val="24"/>
          <w:szCs w:val="24"/>
          <w:lang w:eastAsia="en-IN"/>
        </w:rPr>
        <w:t>Revenue forecast in 2030</w:t>
      </w:r>
      <w:r w:rsidRPr="00A37CA5">
        <w:rPr>
          <w:rFonts w:ascii="Times New Roman" w:hAnsi="Times New Roman" w:cs="Times New Roman"/>
          <w:sz w:val="24"/>
          <w:szCs w:val="24"/>
          <w:lang w:eastAsia="en-IN"/>
        </w:rPr>
        <w:t xml:space="preserve"> is $21.61 billion.</w:t>
      </w:r>
    </w:p>
    <w:p w14:paraId="2F1FDDD5" w14:textId="14B9A764" w:rsidR="00084020" w:rsidRPr="00084020" w:rsidRDefault="00084020" w:rsidP="00084020">
      <w:pPr>
        <w:rPr>
          <w:rFonts w:ascii="Times New Roman" w:hAnsi="Times New Roman" w:cs="Times New Roman"/>
          <w:sz w:val="24"/>
          <w:szCs w:val="24"/>
          <w:lang w:val="en-US"/>
        </w:rPr>
      </w:pPr>
      <w:r>
        <w:rPr>
          <w:noProof/>
        </w:rPr>
        <w:lastRenderedPageBreak/>
        <w:drawing>
          <wp:anchor distT="0" distB="0" distL="114300" distR="114300" simplePos="0" relativeHeight="251658240" behindDoc="0" locked="0" layoutInCell="1" allowOverlap="1" wp14:anchorId="3157520A" wp14:editId="208FEC18">
            <wp:simplePos x="0" y="0"/>
            <wp:positionH relativeFrom="column">
              <wp:posOffset>1622425</wp:posOffset>
            </wp:positionH>
            <wp:positionV relativeFrom="paragraph">
              <wp:posOffset>279469</wp:posOffset>
            </wp:positionV>
            <wp:extent cx="4291330" cy="2701925"/>
            <wp:effectExtent l="0" t="0" r="13970" b="3175"/>
            <wp:wrapSquare wrapText="bothSides"/>
            <wp:docPr id="2106069508" name="Chart 1">
              <a:extLst xmlns:a="http://schemas.openxmlformats.org/drawingml/2006/main">
                <a:ext uri="{FF2B5EF4-FFF2-40B4-BE49-F238E27FC236}">
                  <a16:creationId xmlns:a16="http://schemas.microsoft.com/office/drawing/2014/main" id="{C2ED6AED-5086-D8C6-55DB-56948227E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bl>
      <w:tblPr>
        <w:tblW w:w="2190" w:type="dxa"/>
        <w:tblLook w:val="04A0" w:firstRow="1" w:lastRow="0" w:firstColumn="1" w:lastColumn="0" w:noHBand="0" w:noVBand="1"/>
      </w:tblPr>
      <w:tblGrid>
        <w:gridCol w:w="1095"/>
        <w:gridCol w:w="1095"/>
      </w:tblGrid>
      <w:tr w:rsidR="00084020" w:rsidRPr="00084020" w14:paraId="3E477C45" w14:textId="77777777" w:rsidTr="00084020">
        <w:trPr>
          <w:trHeight w:val="677"/>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8E787"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Year</w:t>
            </w:r>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1BC70CEC"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Market Size (USD Billion)</w:t>
            </w:r>
          </w:p>
        </w:tc>
      </w:tr>
      <w:tr w:rsidR="00084020" w:rsidRPr="00084020" w14:paraId="7D518668"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5777484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2021</w:t>
            </w:r>
          </w:p>
        </w:tc>
        <w:tc>
          <w:tcPr>
            <w:tcW w:w="1095" w:type="dxa"/>
            <w:tcBorders>
              <w:top w:val="nil"/>
              <w:left w:val="nil"/>
              <w:bottom w:val="single" w:sz="4" w:space="0" w:color="auto"/>
              <w:right w:val="single" w:sz="4" w:space="0" w:color="auto"/>
            </w:tcBorders>
            <w:shd w:val="clear" w:color="auto" w:fill="auto"/>
            <w:vAlign w:val="center"/>
            <w:hideMark/>
          </w:tcPr>
          <w:p w14:paraId="161D4E4C"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3.53</w:t>
            </w:r>
          </w:p>
        </w:tc>
      </w:tr>
      <w:tr w:rsidR="00084020" w:rsidRPr="00084020" w14:paraId="31E17191"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3B9E4AF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2022</w:t>
            </w:r>
          </w:p>
        </w:tc>
        <w:tc>
          <w:tcPr>
            <w:tcW w:w="1095" w:type="dxa"/>
            <w:tcBorders>
              <w:top w:val="nil"/>
              <w:left w:val="nil"/>
              <w:bottom w:val="single" w:sz="4" w:space="0" w:color="auto"/>
              <w:right w:val="single" w:sz="4" w:space="0" w:color="auto"/>
            </w:tcBorders>
            <w:shd w:val="clear" w:color="auto" w:fill="auto"/>
            <w:vAlign w:val="center"/>
            <w:hideMark/>
          </w:tcPr>
          <w:p w14:paraId="42AE403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4.03</w:t>
            </w:r>
          </w:p>
        </w:tc>
      </w:tr>
      <w:tr w:rsidR="00084020" w:rsidRPr="00084020" w14:paraId="473C439A"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30CE926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2023</w:t>
            </w:r>
          </w:p>
        </w:tc>
        <w:tc>
          <w:tcPr>
            <w:tcW w:w="1095" w:type="dxa"/>
            <w:tcBorders>
              <w:top w:val="nil"/>
              <w:left w:val="nil"/>
              <w:bottom w:val="single" w:sz="4" w:space="0" w:color="auto"/>
              <w:right w:val="single" w:sz="4" w:space="0" w:color="auto"/>
            </w:tcBorders>
            <w:shd w:val="clear" w:color="auto" w:fill="auto"/>
            <w:vAlign w:val="center"/>
            <w:hideMark/>
          </w:tcPr>
          <w:p w14:paraId="7FD270B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4.5</w:t>
            </w:r>
          </w:p>
        </w:tc>
      </w:tr>
      <w:tr w:rsidR="00084020" w:rsidRPr="00084020" w14:paraId="64920B25"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6DFA3A4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2024</w:t>
            </w:r>
          </w:p>
        </w:tc>
        <w:tc>
          <w:tcPr>
            <w:tcW w:w="1095" w:type="dxa"/>
            <w:tcBorders>
              <w:top w:val="nil"/>
              <w:left w:val="nil"/>
              <w:bottom w:val="single" w:sz="4" w:space="0" w:color="auto"/>
              <w:right w:val="single" w:sz="4" w:space="0" w:color="auto"/>
            </w:tcBorders>
            <w:shd w:val="clear" w:color="auto" w:fill="auto"/>
            <w:vAlign w:val="center"/>
            <w:hideMark/>
          </w:tcPr>
          <w:p w14:paraId="339B36CC"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5</w:t>
            </w:r>
          </w:p>
        </w:tc>
      </w:tr>
      <w:tr w:rsidR="00084020" w:rsidRPr="00084020" w14:paraId="30DB4897"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51C27EE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2025</w:t>
            </w:r>
          </w:p>
        </w:tc>
        <w:tc>
          <w:tcPr>
            <w:tcW w:w="1095" w:type="dxa"/>
            <w:tcBorders>
              <w:top w:val="nil"/>
              <w:left w:val="nil"/>
              <w:bottom w:val="single" w:sz="4" w:space="0" w:color="auto"/>
              <w:right w:val="single" w:sz="4" w:space="0" w:color="auto"/>
            </w:tcBorders>
            <w:shd w:val="clear" w:color="auto" w:fill="auto"/>
            <w:vAlign w:val="center"/>
            <w:hideMark/>
          </w:tcPr>
          <w:p w14:paraId="2D8A61E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5.7</w:t>
            </w:r>
          </w:p>
        </w:tc>
      </w:tr>
      <w:tr w:rsidR="00084020" w:rsidRPr="00084020" w14:paraId="26B67373"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677CA8FD"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2026</w:t>
            </w:r>
          </w:p>
        </w:tc>
        <w:tc>
          <w:tcPr>
            <w:tcW w:w="1095" w:type="dxa"/>
            <w:tcBorders>
              <w:top w:val="nil"/>
              <w:left w:val="nil"/>
              <w:bottom w:val="single" w:sz="4" w:space="0" w:color="auto"/>
              <w:right w:val="single" w:sz="4" w:space="0" w:color="auto"/>
            </w:tcBorders>
            <w:shd w:val="clear" w:color="auto" w:fill="auto"/>
            <w:vAlign w:val="center"/>
            <w:hideMark/>
          </w:tcPr>
          <w:p w14:paraId="346BCD7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6.4</w:t>
            </w:r>
          </w:p>
        </w:tc>
      </w:tr>
      <w:tr w:rsidR="00084020" w:rsidRPr="00084020" w14:paraId="3BC33FEF"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4077CA1C"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2027</w:t>
            </w:r>
          </w:p>
        </w:tc>
        <w:tc>
          <w:tcPr>
            <w:tcW w:w="1095" w:type="dxa"/>
            <w:tcBorders>
              <w:top w:val="nil"/>
              <w:left w:val="nil"/>
              <w:bottom w:val="single" w:sz="4" w:space="0" w:color="auto"/>
              <w:right w:val="single" w:sz="4" w:space="0" w:color="auto"/>
            </w:tcBorders>
            <w:shd w:val="clear" w:color="auto" w:fill="auto"/>
            <w:vAlign w:val="center"/>
            <w:hideMark/>
          </w:tcPr>
          <w:p w14:paraId="4E916B03"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7.2</w:t>
            </w:r>
          </w:p>
        </w:tc>
      </w:tr>
      <w:tr w:rsidR="00084020" w:rsidRPr="00084020" w14:paraId="4910AD63"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4C78989A"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2028</w:t>
            </w:r>
          </w:p>
        </w:tc>
        <w:tc>
          <w:tcPr>
            <w:tcW w:w="1095" w:type="dxa"/>
            <w:tcBorders>
              <w:top w:val="nil"/>
              <w:left w:val="nil"/>
              <w:bottom w:val="single" w:sz="4" w:space="0" w:color="auto"/>
              <w:right w:val="single" w:sz="4" w:space="0" w:color="auto"/>
            </w:tcBorders>
            <w:shd w:val="clear" w:color="auto" w:fill="auto"/>
            <w:vAlign w:val="center"/>
            <w:hideMark/>
          </w:tcPr>
          <w:p w14:paraId="4983318C"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8.2</w:t>
            </w:r>
          </w:p>
        </w:tc>
      </w:tr>
      <w:tr w:rsidR="00084020" w:rsidRPr="00084020" w14:paraId="6EDE1BBA"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1FD88D87"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2029</w:t>
            </w:r>
          </w:p>
        </w:tc>
        <w:tc>
          <w:tcPr>
            <w:tcW w:w="1095" w:type="dxa"/>
            <w:tcBorders>
              <w:top w:val="nil"/>
              <w:left w:val="nil"/>
              <w:bottom w:val="single" w:sz="4" w:space="0" w:color="auto"/>
              <w:right w:val="single" w:sz="4" w:space="0" w:color="auto"/>
            </w:tcBorders>
            <w:shd w:val="clear" w:color="auto" w:fill="auto"/>
            <w:vAlign w:val="center"/>
            <w:hideMark/>
          </w:tcPr>
          <w:p w14:paraId="51BA305C"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9.3</w:t>
            </w:r>
          </w:p>
        </w:tc>
      </w:tr>
      <w:tr w:rsidR="00084020" w:rsidRPr="00084020" w14:paraId="787B3AB0" w14:textId="77777777" w:rsidTr="00084020">
        <w:trPr>
          <w:trHeight w:val="323"/>
        </w:trPr>
        <w:tc>
          <w:tcPr>
            <w:tcW w:w="1095" w:type="dxa"/>
            <w:tcBorders>
              <w:top w:val="nil"/>
              <w:left w:val="single" w:sz="4" w:space="0" w:color="auto"/>
              <w:bottom w:val="single" w:sz="4" w:space="0" w:color="auto"/>
              <w:right w:val="single" w:sz="4" w:space="0" w:color="auto"/>
            </w:tcBorders>
            <w:shd w:val="clear" w:color="auto" w:fill="auto"/>
            <w:vAlign w:val="center"/>
            <w:hideMark/>
          </w:tcPr>
          <w:p w14:paraId="59DA946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2030</w:t>
            </w:r>
          </w:p>
        </w:tc>
        <w:tc>
          <w:tcPr>
            <w:tcW w:w="1095" w:type="dxa"/>
            <w:tcBorders>
              <w:top w:val="nil"/>
              <w:left w:val="nil"/>
              <w:bottom w:val="single" w:sz="4" w:space="0" w:color="auto"/>
              <w:right w:val="single" w:sz="4" w:space="0" w:color="auto"/>
            </w:tcBorders>
            <w:shd w:val="clear" w:color="auto" w:fill="auto"/>
            <w:vAlign w:val="center"/>
            <w:hideMark/>
          </w:tcPr>
          <w:p w14:paraId="317BE133"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10.5</w:t>
            </w:r>
          </w:p>
        </w:tc>
      </w:tr>
    </w:tbl>
    <w:p w14:paraId="14CD7F67" w14:textId="77777777" w:rsidR="00084020" w:rsidRDefault="00084020" w:rsidP="00084020">
      <w:pPr>
        <w:rPr>
          <w:rFonts w:ascii="Times New Roman" w:hAnsi="Times New Roman" w:cs="Times New Roman"/>
          <w:sz w:val="24"/>
          <w:szCs w:val="24"/>
          <w:lang w:val="en-US"/>
        </w:rPr>
      </w:pPr>
    </w:p>
    <w:tbl>
      <w:tblPr>
        <w:tblW w:w="9062" w:type="dxa"/>
        <w:tblLook w:val="04A0" w:firstRow="1" w:lastRow="0" w:firstColumn="1" w:lastColumn="0" w:noHBand="0" w:noVBand="1"/>
      </w:tblPr>
      <w:tblGrid>
        <w:gridCol w:w="1310"/>
        <w:gridCol w:w="1462"/>
        <w:gridCol w:w="1819"/>
        <w:gridCol w:w="1443"/>
        <w:gridCol w:w="1585"/>
        <w:gridCol w:w="1443"/>
      </w:tblGrid>
      <w:tr w:rsidR="00084020" w:rsidRPr="00084020" w14:paraId="4E7A929F" w14:textId="77777777" w:rsidTr="00084020">
        <w:trPr>
          <w:trHeight w:val="1127"/>
        </w:trPr>
        <w:tc>
          <w:tcPr>
            <w:tcW w:w="13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33543"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Year</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75F0051"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Total Market Size (USD Billion)</w:t>
            </w:r>
          </w:p>
        </w:tc>
        <w:tc>
          <w:tcPr>
            <w:tcW w:w="1819" w:type="dxa"/>
            <w:tcBorders>
              <w:top w:val="single" w:sz="4" w:space="0" w:color="auto"/>
              <w:left w:val="nil"/>
              <w:bottom w:val="single" w:sz="4" w:space="0" w:color="auto"/>
              <w:right w:val="single" w:sz="4" w:space="0" w:color="auto"/>
            </w:tcBorders>
            <w:shd w:val="clear" w:color="auto" w:fill="auto"/>
            <w:vAlign w:val="center"/>
            <w:hideMark/>
          </w:tcPr>
          <w:p w14:paraId="529BE703"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Enterprise Customer Solutions (USD Billion)</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41FA31C9"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Loans (USD Billion)</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14:paraId="3654C1BD"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Deposits (USD Billion)</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14:paraId="6C9941B4" w14:textId="77777777" w:rsidR="00084020" w:rsidRPr="00084020" w:rsidRDefault="00084020" w:rsidP="00084020">
            <w:pPr>
              <w:spacing w:after="0" w:line="240" w:lineRule="auto"/>
              <w:jc w:val="center"/>
              <w:rPr>
                <w:rFonts w:ascii="Calibri" w:eastAsia="Times New Roman" w:hAnsi="Calibri" w:cs="Calibri"/>
                <w:b/>
                <w:bCs/>
                <w:color w:val="000000"/>
                <w:lang w:eastAsia="en-IN"/>
              </w:rPr>
            </w:pPr>
            <w:r w:rsidRPr="00084020">
              <w:rPr>
                <w:rFonts w:ascii="Calibri" w:eastAsia="Times New Roman" w:hAnsi="Calibri" w:cs="Calibri"/>
                <w:b/>
                <w:bCs/>
                <w:color w:val="000000"/>
                <w:lang w:eastAsia="en-IN"/>
              </w:rPr>
              <w:t>Others (USD Billion)</w:t>
            </w:r>
          </w:p>
        </w:tc>
      </w:tr>
      <w:tr w:rsidR="00084020" w:rsidRPr="00084020" w14:paraId="31AE7377"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4F57BDE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2020</w:t>
            </w:r>
          </w:p>
        </w:tc>
        <w:tc>
          <w:tcPr>
            <w:tcW w:w="1462" w:type="dxa"/>
            <w:tcBorders>
              <w:top w:val="nil"/>
              <w:left w:val="nil"/>
              <w:bottom w:val="single" w:sz="4" w:space="0" w:color="auto"/>
              <w:right w:val="single" w:sz="4" w:space="0" w:color="auto"/>
            </w:tcBorders>
            <w:shd w:val="clear" w:color="auto" w:fill="auto"/>
            <w:vAlign w:val="center"/>
            <w:hideMark/>
          </w:tcPr>
          <w:p w14:paraId="741CD5C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1.6</w:t>
            </w:r>
          </w:p>
        </w:tc>
        <w:tc>
          <w:tcPr>
            <w:tcW w:w="1819" w:type="dxa"/>
            <w:tcBorders>
              <w:top w:val="nil"/>
              <w:left w:val="nil"/>
              <w:bottom w:val="single" w:sz="4" w:space="0" w:color="auto"/>
              <w:right w:val="single" w:sz="4" w:space="0" w:color="auto"/>
            </w:tcBorders>
            <w:shd w:val="clear" w:color="auto" w:fill="auto"/>
            <w:vAlign w:val="center"/>
            <w:hideMark/>
          </w:tcPr>
          <w:p w14:paraId="1141259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0.45</w:t>
            </w:r>
          </w:p>
        </w:tc>
        <w:tc>
          <w:tcPr>
            <w:tcW w:w="1443" w:type="dxa"/>
            <w:tcBorders>
              <w:top w:val="nil"/>
              <w:left w:val="nil"/>
              <w:bottom w:val="single" w:sz="4" w:space="0" w:color="auto"/>
              <w:right w:val="single" w:sz="4" w:space="0" w:color="auto"/>
            </w:tcBorders>
            <w:shd w:val="clear" w:color="auto" w:fill="auto"/>
            <w:vAlign w:val="center"/>
            <w:hideMark/>
          </w:tcPr>
          <w:p w14:paraId="0B4C72B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w:t>
            </w:r>
          </w:p>
        </w:tc>
        <w:tc>
          <w:tcPr>
            <w:tcW w:w="1585" w:type="dxa"/>
            <w:tcBorders>
              <w:top w:val="nil"/>
              <w:left w:val="nil"/>
              <w:bottom w:val="single" w:sz="4" w:space="0" w:color="auto"/>
              <w:right w:val="single" w:sz="4" w:space="0" w:color="auto"/>
            </w:tcBorders>
            <w:shd w:val="clear" w:color="auto" w:fill="auto"/>
            <w:vAlign w:val="center"/>
            <w:hideMark/>
          </w:tcPr>
          <w:p w14:paraId="0ED9B44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w:t>
            </w:r>
          </w:p>
        </w:tc>
        <w:tc>
          <w:tcPr>
            <w:tcW w:w="1443" w:type="dxa"/>
            <w:tcBorders>
              <w:top w:val="nil"/>
              <w:left w:val="nil"/>
              <w:bottom w:val="single" w:sz="4" w:space="0" w:color="auto"/>
              <w:right w:val="single" w:sz="4" w:space="0" w:color="auto"/>
            </w:tcBorders>
            <w:shd w:val="clear" w:color="auto" w:fill="auto"/>
            <w:vAlign w:val="center"/>
            <w:hideMark/>
          </w:tcPr>
          <w:p w14:paraId="50E6649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0.25</w:t>
            </w:r>
          </w:p>
        </w:tc>
      </w:tr>
      <w:tr w:rsidR="00084020" w:rsidRPr="00084020" w14:paraId="2EA451C9"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0C9057F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2021</w:t>
            </w:r>
          </w:p>
        </w:tc>
        <w:tc>
          <w:tcPr>
            <w:tcW w:w="1462" w:type="dxa"/>
            <w:tcBorders>
              <w:top w:val="nil"/>
              <w:left w:val="nil"/>
              <w:bottom w:val="single" w:sz="4" w:space="0" w:color="auto"/>
              <w:right w:val="single" w:sz="4" w:space="0" w:color="auto"/>
            </w:tcBorders>
            <w:shd w:val="clear" w:color="auto" w:fill="auto"/>
            <w:vAlign w:val="center"/>
            <w:hideMark/>
          </w:tcPr>
          <w:p w14:paraId="188AD63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1.62</w:t>
            </w:r>
          </w:p>
        </w:tc>
        <w:tc>
          <w:tcPr>
            <w:tcW w:w="1819" w:type="dxa"/>
            <w:tcBorders>
              <w:top w:val="nil"/>
              <w:left w:val="nil"/>
              <w:bottom w:val="single" w:sz="4" w:space="0" w:color="auto"/>
              <w:right w:val="single" w:sz="4" w:space="0" w:color="auto"/>
            </w:tcBorders>
            <w:shd w:val="clear" w:color="auto" w:fill="auto"/>
            <w:vAlign w:val="center"/>
            <w:hideMark/>
          </w:tcPr>
          <w:p w14:paraId="214842F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0.46</w:t>
            </w:r>
          </w:p>
        </w:tc>
        <w:tc>
          <w:tcPr>
            <w:tcW w:w="1443" w:type="dxa"/>
            <w:tcBorders>
              <w:top w:val="nil"/>
              <w:left w:val="nil"/>
              <w:bottom w:val="single" w:sz="4" w:space="0" w:color="auto"/>
              <w:right w:val="single" w:sz="4" w:space="0" w:color="auto"/>
            </w:tcBorders>
            <w:shd w:val="clear" w:color="auto" w:fill="auto"/>
            <w:vAlign w:val="center"/>
            <w:hideMark/>
          </w:tcPr>
          <w:p w14:paraId="6C3DA87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0.51</w:t>
            </w:r>
          </w:p>
        </w:tc>
        <w:tc>
          <w:tcPr>
            <w:tcW w:w="1585" w:type="dxa"/>
            <w:tcBorders>
              <w:top w:val="nil"/>
              <w:left w:val="nil"/>
              <w:bottom w:val="single" w:sz="4" w:space="0" w:color="auto"/>
              <w:right w:val="single" w:sz="4" w:space="0" w:color="auto"/>
            </w:tcBorders>
            <w:shd w:val="clear" w:color="auto" w:fill="auto"/>
            <w:vAlign w:val="center"/>
            <w:hideMark/>
          </w:tcPr>
          <w:p w14:paraId="1473BF0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w:t>
            </w:r>
          </w:p>
        </w:tc>
        <w:tc>
          <w:tcPr>
            <w:tcW w:w="1443" w:type="dxa"/>
            <w:tcBorders>
              <w:top w:val="nil"/>
              <w:left w:val="nil"/>
              <w:bottom w:val="single" w:sz="4" w:space="0" w:color="auto"/>
              <w:right w:val="single" w:sz="4" w:space="0" w:color="auto"/>
            </w:tcBorders>
            <w:shd w:val="clear" w:color="auto" w:fill="auto"/>
            <w:vAlign w:val="center"/>
            <w:hideMark/>
          </w:tcPr>
          <w:p w14:paraId="37756B5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0.25</w:t>
            </w:r>
          </w:p>
        </w:tc>
      </w:tr>
      <w:tr w:rsidR="00084020" w:rsidRPr="00084020" w14:paraId="0352032D"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70E249A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2022</w:t>
            </w:r>
          </w:p>
        </w:tc>
        <w:tc>
          <w:tcPr>
            <w:tcW w:w="1462" w:type="dxa"/>
            <w:tcBorders>
              <w:top w:val="nil"/>
              <w:left w:val="nil"/>
              <w:bottom w:val="single" w:sz="4" w:space="0" w:color="auto"/>
              <w:right w:val="single" w:sz="4" w:space="0" w:color="auto"/>
            </w:tcBorders>
            <w:shd w:val="clear" w:color="auto" w:fill="auto"/>
            <w:vAlign w:val="center"/>
            <w:hideMark/>
          </w:tcPr>
          <w:p w14:paraId="3431AB3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1.8</w:t>
            </w:r>
          </w:p>
        </w:tc>
        <w:tc>
          <w:tcPr>
            <w:tcW w:w="1819" w:type="dxa"/>
            <w:tcBorders>
              <w:top w:val="nil"/>
              <w:left w:val="nil"/>
              <w:bottom w:val="single" w:sz="4" w:space="0" w:color="auto"/>
              <w:right w:val="single" w:sz="4" w:space="0" w:color="auto"/>
            </w:tcBorders>
            <w:shd w:val="clear" w:color="auto" w:fill="auto"/>
            <w:vAlign w:val="center"/>
            <w:hideMark/>
          </w:tcPr>
          <w:p w14:paraId="70826BDE"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w:t>
            </w:r>
          </w:p>
        </w:tc>
        <w:tc>
          <w:tcPr>
            <w:tcW w:w="1443" w:type="dxa"/>
            <w:tcBorders>
              <w:top w:val="nil"/>
              <w:left w:val="nil"/>
              <w:bottom w:val="single" w:sz="4" w:space="0" w:color="auto"/>
              <w:right w:val="single" w:sz="4" w:space="0" w:color="auto"/>
            </w:tcBorders>
            <w:shd w:val="clear" w:color="auto" w:fill="auto"/>
            <w:vAlign w:val="center"/>
            <w:hideMark/>
          </w:tcPr>
          <w:p w14:paraId="56710C6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0.57</w:t>
            </w:r>
          </w:p>
        </w:tc>
        <w:tc>
          <w:tcPr>
            <w:tcW w:w="1585" w:type="dxa"/>
            <w:tcBorders>
              <w:top w:val="nil"/>
              <w:left w:val="nil"/>
              <w:bottom w:val="single" w:sz="4" w:space="0" w:color="auto"/>
              <w:right w:val="single" w:sz="4" w:space="0" w:color="auto"/>
            </w:tcBorders>
            <w:shd w:val="clear" w:color="auto" w:fill="auto"/>
            <w:vAlign w:val="center"/>
            <w:hideMark/>
          </w:tcPr>
          <w:p w14:paraId="49F57C7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0.45</w:t>
            </w:r>
          </w:p>
        </w:tc>
        <w:tc>
          <w:tcPr>
            <w:tcW w:w="1443" w:type="dxa"/>
            <w:tcBorders>
              <w:top w:val="nil"/>
              <w:left w:val="nil"/>
              <w:bottom w:val="single" w:sz="4" w:space="0" w:color="auto"/>
              <w:right w:val="single" w:sz="4" w:space="0" w:color="auto"/>
            </w:tcBorders>
            <w:shd w:val="clear" w:color="auto" w:fill="auto"/>
            <w:vAlign w:val="center"/>
            <w:hideMark/>
          </w:tcPr>
          <w:p w14:paraId="69B5ED0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0.28</w:t>
            </w:r>
          </w:p>
        </w:tc>
      </w:tr>
      <w:tr w:rsidR="00084020" w:rsidRPr="00084020" w14:paraId="2254F990"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7C50979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2023</w:t>
            </w:r>
          </w:p>
        </w:tc>
        <w:tc>
          <w:tcPr>
            <w:tcW w:w="1462" w:type="dxa"/>
            <w:tcBorders>
              <w:top w:val="nil"/>
              <w:left w:val="nil"/>
              <w:bottom w:val="single" w:sz="4" w:space="0" w:color="auto"/>
              <w:right w:val="single" w:sz="4" w:space="0" w:color="auto"/>
            </w:tcBorders>
            <w:shd w:val="clear" w:color="auto" w:fill="auto"/>
            <w:vAlign w:val="center"/>
            <w:hideMark/>
          </w:tcPr>
          <w:p w14:paraId="3AD41EDA"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w:t>
            </w:r>
          </w:p>
        </w:tc>
        <w:tc>
          <w:tcPr>
            <w:tcW w:w="1819" w:type="dxa"/>
            <w:tcBorders>
              <w:top w:val="nil"/>
              <w:left w:val="nil"/>
              <w:bottom w:val="single" w:sz="4" w:space="0" w:color="auto"/>
              <w:right w:val="single" w:sz="4" w:space="0" w:color="auto"/>
            </w:tcBorders>
            <w:shd w:val="clear" w:color="auto" w:fill="auto"/>
            <w:vAlign w:val="center"/>
            <w:hideMark/>
          </w:tcPr>
          <w:p w14:paraId="76B0550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0.55</w:t>
            </w:r>
          </w:p>
        </w:tc>
        <w:tc>
          <w:tcPr>
            <w:tcW w:w="1443" w:type="dxa"/>
            <w:tcBorders>
              <w:top w:val="nil"/>
              <w:left w:val="nil"/>
              <w:bottom w:val="single" w:sz="4" w:space="0" w:color="auto"/>
              <w:right w:val="single" w:sz="4" w:space="0" w:color="auto"/>
            </w:tcBorders>
            <w:shd w:val="clear" w:color="auto" w:fill="auto"/>
            <w:vAlign w:val="center"/>
            <w:hideMark/>
          </w:tcPr>
          <w:p w14:paraId="65B9EFF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0.63</w:t>
            </w:r>
          </w:p>
        </w:tc>
        <w:tc>
          <w:tcPr>
            <w:tcW w:w="1585" w:type="dxa"/>
            <w:tcBorders>
              <w:top w:val="nil"/>
              <w:left w:val="nil"/>
              <w:bottom w:val="single" w:sz="4" w:space="0" w:color="auto"/>
              <w:right w:val="single" w:sz="4" w:space="0" w:color="auto"/>
            </w:tcBorders>
            <w:shd w:val="clear" w:color="auto" w:fill="auto"/>
            <w:vAlign w:val="center"/>
            <w:hideMark/>
          </w:tcPr>
          <w:p w14:paraId="2937A01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w:t>
            </w:r>
          </w:p>
        </w:tc>
        <w:tc>
          <w:tcPr>
            <w:tcW w:w="1443" w:type="dxa"/>
            <w:tcBorders>
              <w:top w:val="nil"/>
              <w:left w:val="nil"/>
              <w:bottom w:val="single" w:sz="4" w:space="0" w:color="auto"/>
              <w:right w:val="single" w:sz="4" w:space="0" w:color="auto"/>
            </w:tcBorders>
            <w:shd w:val="clear" w:color="auto" w:fill="auto"/>
            <w:vAlign w:val="center"/>
            <w:hideMark/>
          </w:tcPr>
          <w:p w14:paraId="56053F2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0.32</w:t>
            </w:r>
          </w:p>
        </w:tc>
      </w:tr>
      <w:tr w:rsidR="00084020" w:rsidRPr="00084020" w14:paraId="14088361"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30F6D1D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2024</w:t>
            </w:r>
          </w:p>
        </w:tc>
        <w:tc>
          <w:tcPr>
            <w:tcW w:w="1462" w:type="dxa"/>
            <w:tcBorders>
              <w:top w:val="nil"/>
              <w:left w:val="nil"/>
              <w:bottom w:val="single" w:sz="4" w:space="0" w:color="auto"/>
              <w:right w:val="single" w:sz="4" w:space="0" w:color="auto"/>
            </w:tcBorders>
            <w:shd w:val="clear" w:color="auto" w:fill="auto"/>
            <w:vAlign w:val="center"/>
            <w:hideMark/>
          </w:tcPr>
          <w:p w14:paraId="07DD1EB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2.25</w:t>
            </w:r>
          </w:p>
        </w:tc>
        <w:tc>
          <w:tcPr>
            <w:tcW w:w="1819" w:type="dxa"/>
            <w:tcBorders>
              <w:top w:val="nil"/>
              <w:left w:val="nil"/>
              <w:bottom w:val="single" w:sz="4" w:space="0" w:color="auto"/>
              <w:right w:val="single" w:sz="4" w:space="0" w:color="auto"/>
            </w:tcBorders>
            <w:shd w:val="clear" w:color="auto" w:fill="auto"/>
            <w:vAlign w:val="center"/>
            <w:hideMark/>
          </w:tcPr>
          <w:p w14:paraId="48F024C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0.63</w:t>
            </w:r>
          </w:p>
        </w:tc>
        <w:tc>
          <w:tcPr>
            <w:tcW w:w="1443" w:type="dxa"/>
            <w:tcBorders>
              <w:top w:val="nil"/>
              <w:left w:val="nil"/>
              <w:bottom w:val="single" w:sz="4" w:space="0" w:color="auto"/>
              <w:right w:val="single" w:sz="4" w:space="0" w:color="auto"/>
            </w:tcBorders>
            <w:shd w:val="clear" w:color="auto" w:fill="auto"/>
            <w:vAlign w:val="center"/>
            <w:hideMark/>
          </w:tcPr>
          <w:p w14:paraId="3FBEC48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w:t>
            </w:r>
          </w:p>
        </w:tc>
        <w:tc>
          <w:tcPr>
            <w:tcW w:w="1585" w:type="dxa"/>
            <w:tcBorders>
              <w:top w:val="nil"/>
              <w:left w:val="nil"/>
              <w:bottom w:val="single" w:sz="4" w:space="0" w:color="auto"/>
              <w:right w:val="single" w:sz="4" w:space="0" w:color="auto"/>
            </w:tcBorders>
            <w:shd w:val="clear" w:color="auto" w:fill="auto"/>
            <w:vAlign w:val="center"/>
            <w:hideMark/>
          </w:tcPr>
          <w:p w14:paraId="14861C4D"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0.56</w:t>
            </w:r>
          </w:p>
        </w:tc>
        <w:tc>
          <w:tcPr>
            <w:tcW w:w="1443" w:type="dxa"/>
            <w:tcBorders>
              <w:top w:val="nil"/>
              <w:left w:val="nil"/>
              <w:bottom w:val="single" w:sz="4" w:space="0" w:color="auto"/>
              <w:right w:val="single" w:sz="4" w:space="0" w:color="auto"/>
            </w:tcBorders>
            <w:shd w:val="clear" w:color="auto" w:fill="auto"/>
            <w:vAlign w:val="center"/>
            <w:hideMark/>
          </w:tcPr>
          <w:p w14:paraId="77F884B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0.36</w:t>
            </w:r>
          </w:p>
        </w:tc>
      </w:tr>
      <w:tr w:rsidR="00084020" w:rsidRPr="00084020" w14:paraId="2A795C78"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25A4CF8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2025</w:t>
            </w:r>
          </w:p>
        </w:tc>
        <w:tc>
          <w:tcPr>
            <w:tcW w:w="1462" w:type="dxa"/>
            <w:tcBorders>
              <w:top w:val="nil"/>
              <w:left w:val="nil"/>
              <w:bottom w:val="single" w:sz="4" w:space="0" w:color="auto"/>
              <w:right w:val="single" w:sz="4" w:space="0" w:color="auto"/>
            </w:tcBorders>
            <w:shd w:val="clear" w:color="auto" w:fill="auto"/>
            <w:vAlign w:val="center"/>
            <w:hideMark/>
          </w:tcPr>
          <w:p w14:paraId="3EB9EC6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2.5</w:t>
            </w:r>
          </w:p>
        </w:tc>
        <w:tc>
          <w:tcPr>
            <w:tcW w:w="1819" w:type="dxa"/>
            <w:tcBorders>
              <w:top w:val="nil"/>
              <w:left w:val="nil"/>
              <w:bottom w:val="single" w:sz="4" w:space="0" w:color="auto"/>
              <w:right w:val="single" w:sz="4" w:space="0" w:color="auto"/>
            </w:tcBorders>
            <w:shd w:val="clear" w:color="auto" w:fill="auto"/>
            <w:vAlign w:val="center"/>
            <w:hideMark/>
          </w:tcPr>
          <w:p w14:paraId="7DAEB8AD"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w:t>
            </w:r>
          </w:p>
        </w:tc>
        <w:tc>
          <w:tcPr>
            <w:tcW w:w="1443" w:type="dxa"/>
            <w:tcBorders>
              <w:top w:val="nil"/>
              <w:left w:val="nil"/>
              <w:bottom w:val="single" w:sz="4" w:space="0" w:color="auto"/>
              <w:right w:val="single" w:sz="4" w:space="0" w:color="auto"/>
            </w:tcBorders>
            <w:shd w:val="clear" w:color="auto" w:fill="auto"/>
            <w:vAlign w:val="center"/>
            <w:hideMark/>
          </w:tcPr>
          <w:p w14:paraId="32EFCAD2"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0.77</w:t>
            </w:r>
          </w:p>
        </w:tc>
        <w:tc>
          <w:tcPr>
            <w:tcW w:w="1585" w:type="dxa"/>
            <w:tcBorders>
              <w:top w:val="nil"/>
              <w:left w:val="nil"/>
              <w:bottom w:val="single" w:sz="4" w:space="0" w:color="auto"/>
              <w:right w:val="single" w:sz="4" w:space="0" w:color="auto"/>
            </w:tcBorders>
            <w:shd w:val="clear" w:color="auto" w:fill="auto"/>
            <w:vAlign w:val="center"/>
            <w:hideMark/>
          </w:tcPr>
          <w:p w14:paraId="3444AB7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0.63</w:t>
            </w:r>
          </w:p>
        </w:tc>
        <w:tc>
          <w:tcPr>
            <w:tcW w:w="1443" w:type="dxa"/>
            <w:tcBorders>
              <w:top w:val="nil"/>
              <w:left w:val="nil"/>
              <w:bottom w:val="single" w:sz="4" w:space="0" w:color="auto"/>
              <w:right w:val="single" w:sz="4" w:space="0" w:color="auto"/>
            </w:tcBorders>
            <w:shd w:val="clear" w:color="auto" w:fill="auto"/>
            <w:vAlign w:val="center"/>
            <w:hideMark/>
          </w:tcPr>
          <w:p w14:paraId="4971B6A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w:t>
            </w:r>
          </w:p>
        </w:tc>
      </w:tr>
      <w:tr w:rsidR="00084020" w:rsidRPr="00084020" w14:paraId="6E3039A4"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0CDD30BA"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2026</w:t>
            </w:r>
          </w:p>
        </w:tc>
        <w:tc>
          <w:tcPr>
            <w:tcW w:w="1462" w:type="dxa"/>
            <w:tcBorders>
              <w:top w:val="nil"/>
              <w:left w:val="nil"/>
              <w:bottom w:val="single" w:sz="4" w:space="0" w:color="auto"/>
              <w:right w:val="single" w:sz="4" w:space="0" w:color="auto"/>
            </w:tcBorders>
            <w:shd w:val="clear" w:color="auto" w:fill="auto"/>
            <w:vAlign w:val="center"/>
            <w:hideMark/>
          </w:tcPr>
          <w:p w14:paraId="1CA30DD7"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2.75</w:t>
            </w:r>
          </w:p>
        </w:tc>
        <w:tc>
          <w:tcPr>
            <w:tcW w:w="1819" w:type="dxa"/>
            <w:tcBorders>
              <w:top w:val="nil"/>
              <w:left w:val="nil"/>
              <w:bottom w:val="single" w:sz="4" w:space="0" w:color="auto"/>
              <w:right w:val="single" w:sz="4" w:space="0" w:color="auto"/>
            </w:tcBorders>
            <w:shd w:val="clear" w:color="auto" w:fill="auto"/>
            <w:vAlign w:val="center"/>
            <w:hideMark/>
          </w:tcPr>
          <w:p w14:paraId="3656A26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0.77</w:t>
            </w:r>
          </w:p>
        </w:tc>
        <w:tc>
          <w:tcPr>
            <w:tcW w:w="1443" w:type="dxa"/>
            <w:tcBorders>
              <w:top w:val="nil"/>
              <w:left w:val="nil"/>
              <w:bottom w:val="single" w:sz="4" w:space="0" w:color="auto"/>
              <w:right w:val="single" w:sz="4" w:space="0" w:color="auto"/>
            </w:tcBorders>
            <w:shd w:val="clear" w:color="auto" w:fill="auto"/>
            <w:vAlign w:val="center"/>
            <w:hideMark/>
          </w:tcPr>
          <w:p w14:paraId="34A15D8D"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0.84</w:t>
            </w:r>
          </w:p>
        </w:tc>
        <w:tc>
          <w:tcPr>
            <w:tcW w:w="1585" w:type="dxa"/>
            <w:tcBorders>
              <w:top w:val="nil"/>
              <w:left w:val="nil"/>
              <w:bottom w:val="single" w:sz="4" w:space="0" w:color="auto"/>
              <w:right w:val="single" w:sz="4" w:space="0" w:color="auto"/>
            </w:tcBorders>
            <w:shd w:val="clear" w:color="auto" w:fill="auto"/>
            <w:vAlign w:val="center"/>
            <w:hideMark/>
          </w:tcPr>
          <w:p w14:paraId="2D8EC80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w:t>
            </w:r>
          </w:p>
        </w:tc>
        <w:tc>
          <w:tcPr>
            <w:tcW w:w="1443" w:type="dxa"/>
            <w:tcBorders>
              <w:top w:val="nil"/>
              <w:left w:val="nil"/>
              <w:bottom w:val="single" w:sz="4" w:space="0" w:color="auto"/>
              <w:right w:val="single" w:sz="4" w:space="0" w:color="auto"/>
            </w:tcBorders>
            <w:shd w:val="clear" w:color="auto" w:fill="auto"/>
            <w:vAlign w:val="center"/>
            <w:hideMark/>
          </w:tcPr>
          <w:p w14:paraId="599CC4A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0.44</w:t>
            </w:r>
          </w:p>
        </w:tc>
      </w:tr>
      <w:tr w:rsidR="00084020" w:rsidRPr="00084020" w14:paraId="6ED52897"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4B202AA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2027</w:t>
            </w:r>
          </w:p>
        </w:tc>
        <w:tc>
          <w:tcPr>
            <w:tcW w:w="1462" w:type="dxa"/>
            <w:tcBorders>
              <w:top w:val="nil"/>
              <w:left w:val="nil"/>
              <w:bottom w:val="single" w:sz="4" w:space="0" w:color="auto"/>
              <w:right w:val="single" w:sz="4" w:space="0" w:color="auto"/>
            </w:tcBorders>
            <w:shd w:val="clear" w:color="auto" w:fill="auto"/>
            <w:vAlign w:val="center"/>
            <w:hideMark/>
          </w:tcPr>
          <w:p w14:paraId="2C11666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3</w:t>
            </w:r>
          </w:p>
        </w:tc>
        <w:tc>
          <w:tcPr>
            <w:tcW w:w="1819" w:type="dxa"/>
            <w:tcBorders>
              <w:top w:val="nil"/>
              <w:left w:val="nil"/>
              <w:bottom w:val="single" w:sz="4" w:space="0" w:color="auto"/>
              <w:right w:val="single" w:sz="4" w:space="0" w:color="auto"/>
            </w:tcBorders>
            <w:shd w:val="clear" w:color="auto" w:fill="auto"/>
            <w:vAlign w:val="center"/>
            <w:hideMark/>
          </w:tcPr>
          <w:p w14:paraId="3291F1BB"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0.84</w:t>
            </w:r>
          </w:p>
        </w:tc>
        <w:tc>
          <w:tcPr>
            <w:tcW w:w="1443" w:type="dxa"/>
            <w:tcBorders>
              <w:top w:val="nil"/>
              <w:left w:val="nil"/>
              <w:bottom w:val="single" w:sz="4" w:space="0" w:color="auto"/>
              <w:right w:val="single" w:sz="4" w:space="0" w:color="auto"/>
            </w:tcBorders>
            <w:shd w:val="clear" w:color="auto" w:fill="auto"/>
            <w:vAlign w:val="center"/>
            <w:hideMark/>
          </w:tcPr>
          <w:p w14:paraId="23F35FE3"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0.91</w:t>
            </w:r>
          </w:p>
        </w:tc>
        <w:tc>
          <w:tcPr>
            <w:tcW w:w="1585" w:type="dxa"/>
            <w:tcBorders>
              <w:top w:val="nil"/>
              <w:left w:val="nil"/>
              <w:bottom w:val="single" w:sz="4" w:space="0" w:color="auto"/>
              <w:right w:val="single" w:sz="4" w:space="0" w:color="auto"/>
            </w:tcBorders>
            <w:shd w:val="clear" w:color="auto" w:fill="auto"/>
            <w:vAlign w:val="center"/>
            <w:hideMark/>
          </w:tcPr>
          <w:p w14:paraId="4AB24FD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0.76</w:t>
            </w:r>
          </w:p>
        </w:tc>
        <w:tc>
          <w:tcPr>
            <w:tcW w:w="1443" w:type="dxa"/>
            <w:tcBorders>
              <w:top w:val="nil"/>
              <w:left w:val="nil"/>
              <w:bottom w:val="single" w:sz="4" w:space="0" w:color="auto"/>
              <w:right w:val="single" w:sz="4" w:space="0" w:color="auto"/>
            </w:tcBorders>
            <w:shd w:val="clear" w:color="auto" w:fill="auto"/>
            <w:vAlign w:val="center"/>
            <w:hideMark/>
          </w:tcPr>
          <w:p w14:paraId="35ADFD2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0.49</w:t>
            </w:r>
          </w:p>
        </w:tc>
      </w:tr>
      <w:tr w:rsidR="00084020" w:rsidRPr="00084020" w14:paraId="3501CE5A"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028312E2"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2028</w:t>
            </w:r>
          </w:p>
        </w:tc>
        <w:tc>
          <w:tcPr>
            <w:tcW w:w="1462" w:type="dxa"/>
            <w:tcBorders>
              <w:top w:val="nil"/>
              <w:left w:val="nil"/>
              <w:bottom w:val="single" w:sz="4" w:space="0" w:color="auto"/>
              <w:right w:val="single" w:sz="4" w:space="0" w:color="auto"/>
            </w:tcBorders>
            <w:shd w:val="clear" w:color="auto" w:fill="auto"/>
            <w:vAlign w:val="center"/>
            <w:hideMark/>
          </w:tcPr>
          <w:p w14:paraId="79781C7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3.25</w:t>
            </w:r>
          </w:p>
        </w:tc>
        <w:tc>
          <w:tcPr>
            <w:tcW w:w="1819" w:type="dxa"/>
            <w:tcBorders>
              <w:top w:val="nil"/>
              <w:left w:val="nil"/>
              <w:bottom w:val="single" w:sz="4" w:space="0" w:color="auto"/>
              <w:right w:val="single" w:sz="4" w:space="0" w:color="auto"/>
            </w:tcBorders>
            <w:shd w:val="clear" w:color="auto" w:fill="auto"/>
            <w:vAlign w:val="center"/>
            <w:hideMark/>
          </w:tcPr>
          <w:p w14:paraId="0FE94CE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0.91</w:t>
            </w:r>
          </w:p>
        </w:tc>
        <w:tc>
          <w:tcPr>
            <w:tcW w:w="1443" w:type="dxa"/>
            <w:tcBorders>
              <w:top w:val="nil"/>
              <w:left w:val="nil"/>
              <w:bottom w:val="single" w:sz="4" w:space="0" w:color="auto"/>
              <w:right w:val="single" w:sz="4" w:space="0" w:color="auto"/>
            </w:tcBorders>
            <w:shd w:val="clear" w:color="auto" w:fill="auto"/>
            <w:vAlign w:val="center"/>
            <w:hideMark/>
          </w:tcPr>
          <w:p w14:paraId="043785D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0.98</w:t>
            </w:r>
          </w:p>
        </w:tc>
        <w:tc>
          <w:tcPr>
            <w:tcW w:w="1585" w:type="dxa"/>
            <w:tcBorders>
              <w:top w:val="nil"/>
              <w:left w:val="nil"/>
              <w:bottom w:val="single" w:sz="4" w:space="0" w:color="auto"/>
              <w:right w:val="single" w:sz="4" w:space="0" w:color="auto"/>
            </w:tcBorders>
            <w:shd w:val="clear" w:color="auto" w:fill="auto"/>
            <w:vAlign w:val="center"/>
            <w:hideMark/>
          </w:tcPr>
          <w:p w14:paraId="61168017"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0.83</w:t>
            </w:r>
          </w:p>
        </w:tc>
        <w:tc>
          <w:tcPr>
            <w:tcW w:w="1443" w:type="dxa"/>
            <w:tcBorders>
              <w:top w:val="nil"/>
              <w:left w:val="nil"/>
              <w:bottom w:val="single" w:sz="4" w:space="0" w:color="auto"/>
              <w:right w:val="single" w:sz="4" w:space="0" w:color="auto"/>
            </w:tcBorders>
            <w:shd w:val="clear" w:color="auto" w:fill="auto"/>
            <w:vAlign w:val="center"/>
            <w:hideMark/>
          </w:tcPr>
          <w:p w14:paraId="373CDD47"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0.53</w:t>
            </w:r>
          </w:p>
        </w:tc>
      </w:tr>
      <w:tr w:rsidR="00084020" w:rsidRPr="00084020" w14:paraId="38FC59FB"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2156193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2029</w:t>
            </w:r>
          </w:p>
        </w:tc>
        <w:tc>
          <w:tcPr>
            <w:tcW w:w="1462" w:type="dxa"/>
            <w:tcBorders>
              <w:top w:val="nil"/>
              <w:left w:val="nil"/>
              <w:bottom w:val="single" w:sz="4" w:space="0" w:color="auto"/>
              <w:right w:val="single" w:sz="4" w:space="0" w:color="auto"/>
            </w:tcBorders>
            <w:shd w:val="clear" w:color="auto" w:fill="auto"/>
            <w:vAlign w:val="center"/>
            <w:hideMark/>
          </w:tcPr>
          <w:p w14:paraId="7F11B6CE"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3.5</w:t>
            </w:r>
          </w:p>
        </w:tc>
        <w:tc>
          <w:tcPr>
            <w:tcW w:w="1819" w:type="dxa"/>
            <w:tcBorders>
              <w:top w:val="nil"/>
              <w:left w:val="nil"/>
              <w:bottom w:val="single" w:sz="4" w:space="0" w:color="auto"/>
              <w:right w:val="single" w:sz="4" w:space="0" w:color="auto"/>
            </w:tcBorders>
            <w:shd w:val="clear" w:color="auto" w:fill="auto"/>
            <w:vAlign w:val="center"/>
            <w:hideMark/>
          </w:tcPr>
          <w:p w14:paraId="659EF1A6"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0.98</w:t>
            </w:r>
          </w:p>
        </w:tc>
        <w:tc>
          <w:tcPr>
            <w:tcW w:w="1443" w:type="dxa"/>
            <w:tcBorders>
              <w:top w:val="nil"/>
              <w:left w:val="nil"/>
              <w:bottom w:val="single" w:sz="4" w:space="0" w:color="auto"/>
              <w:right w:val="single" w:sz="4" w:space="0" w:color="auto"/>
            </w:tcBorders>
            <w:shd w:val="clear" w:color="auto" w:fill="auto"/>
            <w:vAlign w:val="center"/>
            <w:hideMark/>
          </w:tcPr>
          <w:p w14:paraId="1DA94E0A"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1.05</w:t>
            </w:r>
          </w:p>
        </w:tc>
        <w:tc>
          <w:tcPr>
            <w:tcW w:w="1585" w:type="dxa"/>
            <w:tcBorders>
              <w:top w:val="nil"/>
              <w:left w:val="nil"/>
              <w:bottom w:val="single" w:sz="4" w:space="0" w:color="auto"/>
              <w:right w:val="single" w:sz="4" w:space="0" w:color="auto"/>
            </w:tcBorders>
            <w:shd w:val="clear" w:color="auto" w:fill="auto"/>
            <w:vAlign w:val="center"/>
            <w:hideMark/>
          </w:tcPr>
          <w:p w14:paraId="03239C38"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w:t>
            </w:r>
          </w:p>
        </w:tc>
        <w:tc>
          <w:tcPr>
            <w:tcW w:w="1443" w:type="dxa"/>
            <w:tcBorders>
              <w:top w:val="nil"/>
              <w:left w:val="nil"/>
              <w:bottom w:val="single" w:sz="4" w:space="0" w:color="auto"/>
              <w:right w:val="single" w:sz="4" w:space="0" w:color="auto"/>
            </w:tcBorders>
            <w:shd w:val="clear" w:color="auto" w:fill="auto"/>
            <w:vAlign w:val="center"/>
            <w:hideMark/>
          </w:tcPr>
          <w:p w14:paraId="082CC7D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0.57</w:t>
            </w:r>
          </w:p>
        </w:tc>
      </w:tr>
      <w:tr w:rsidR="00084020" w:rsidRPr="00084020" w14:paraId="3AA85CA7" w14:textId="77777777" w:rsidTr="00084020">
        <w:trPr>
          <w:trHeight w:val="222"/>
        </w:trPr>
        <w:tc>
          <w:tcPr>
            <w:tcW w:w="1310" w:type="dxa"/>
            <w:tcBorders>
              <w:top w:val="nil"/>
              <w:left w:val="single" w:sz="4" w:space="0" w:color="auto"/>
              <w:bottom w:val="single" w:sz="4" w:space="0" w:color="auto"/>
              <w:right w:val="single" w:sz="4" w:space="0" w:color="auto"/>
            </w:tcBorders>
            <w:shd w:val="clear" w:color="auto" w:fill="auto"/>
            <w:vAlign w:val="center"/>
            <w:hideMark/>
          </w:tcPr>
          <w:p w14:paraId="4414C3D9"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2030</w:t>
            </w:r>
          </w:p>
        </w:tc>
        <w:tc>
          <w:tcPr>
            <w:tcW w:w="1462" w:type="dxa"/>
            <w:tcBorders>
              <w:top w:val="nil"/>
              <w:left w:val="nil"/>
              <w:bottom w:val="single" w:sz="4" w:space="0" w:color="auto"/>
              <w:right w:val="single" w:sz="4" w:space="0" w:color="auto"/>
            </w:tcBorders>
            <w:shd w:val="clear" w:color="auto" w:fill="auto"/>
            <w:vAlign w:val="center"/>
            <w:hideMark/>
          </w:tcPr>
          <w:p w14:paraId="6BAA25EF"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3.75</w:t>
            </w:r>
          </w:p>
        </w:tc>
        <w:tc>
          <w:tcPr>
            <w:tcW w:w="1819" w:type="dxa"/>
            <w:tcBorders>
              <w:top w:val="nil"/>
              <w:left w:val="nil"/>
              <w:bottom w:val="single" w:sz="4" w:space="0" w:color="auto"/>
              <w:right w:val="single" w:sz="4" w:space="0" w:color="auto"/>
            </w:tcBorders>
            <w:shd w:val="clear" w:color="auto" w:fill="auto"/>
            <w:vAlign w:val="center"/>
            <w:hideMark/>
          </w:tcPr>
          <w:p w14:paraId="797E3450"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1.05</w:t>
            </w:r>
          </w:p>
        </w:tc>
        <w:tc>
          <w:tcPr>
            <w:tcW w:w="1443" w:type="dxa"/>
            <w:tcBorders>
              <w:top w:val="nil"/>
              <w:left w:val="nil"/>
              <w:bottom w:val="single" w:sz="4" w:space="0" w:color="auto"/>
              <w:right w:val="single" w:sz="4" w:space="0" w:color="auto"/>
            </w:tcBorders>
            <w:shd w:val="clear" w:color="auto" w:fill="auto"/>
            <w:vAlign w:val="center"/>
            <w:hideMark/>
          </w:tcPr>
          <w:p w14:paraId="79A9CFE1"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1.12</w:t>
            </w:r>
          </w:p>
        </w:tc>
        <w:tc>
          <w:tcPr>
            <w:tcW w:w="1585" w:type="dxa"/>
            <w:tcBorders>
              <w:top w:val="nil"/>
              <w:left w:val="nil"/>
              <w:bottom w:val="single" w:sz="4" w:space="0" w:color="auto"/>
              <w:right w:val="single" w:sz="4" w:space="0" w:color="auto"/>
            </w:tcBorders>
            <w:shd w:val="clear" w:color="auto" w:fill="auto"/>
            <w:vAlign w:val="center"/>
            <w:hideMark/>
          </w:tcPr>
          <w:p w14:paraId="0298DD75"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0.97</w:t>
            </w:r>
          </w:p>
        </w:tc>
        <w:tc>
          <w:tcPr>
            <w:tcW w:w="1443" w:type="dxa"/>
            <w:tcBorders>
              <w:top w:val="nil"/>
              <w:left w:val="nil"/>
              <w:bottom w:val="single" w:sz="4" w:space="0" w:color="auto"/>
              <w:right w:val="single" w:sz="4" w:space="0" w:color="auto"/>
            </w:tcBorders>
            <w:shd w:val="clear" w:color="auto" w:fill="auto"/>
            <w:vAlign w:val="center"/>
            <w:hideMark/>
          </w:tcPr>
          <w:p w14:paraId="3D748894" w14:textId="77777777" w:rsidR="00084020" w:rsidRPr="00084020" w:rsidRDefault="00084020" w:rsidP="00084020">
            <w:pPr>
              <w:spacing w:after="0" w:line="240" w:lineRule="auto"/>
              <w:jc w:val="right"/>
              <w:rPr>
                <w:rFonts w:ascii="Calibri" w:eastAsia="Times New Roman" w:hAnsi="Calibri" w:cs="Calibri"/>
                <w:color w:val="000000"/>
                <w:lang w:eastAsia="en-IN"/>
              </w:rPr>
            </w:pPr>
            <w:r w:rsidRPr="00084020">
              <w:rPr>
                <w:rFonts w:ascii="Calibri" w:eastAsia="Times New Roman" w:hAnsi="Calibri" w:cs="Calibri"/>
                <w:color w:val="000000"/>
                <w:lang w:eastAsia="en-IN"/>
              </w:rPr>
              <w:t>0.61</w:t>
            </w:r>
          </w:p>
        </w:tc>
      </w:tr>
    </w:tbl>
    <w:p w14:paraId="4E69765A" w14:textId="77777777" w:rsidR="00084020" w:rsidRDefault="00084020" w:rsidP="00084020">
      <w:pPr>
        <w:rPr>
          <w:rFonts w:ascii="Times New Roman" w:hAnsi="Times New Roman" w:cs="Times New Roman"/>
          <w:sz w:val="24"/>
          <w:szCs w:val="24"/>
          <w:lang w:val="en-US"/>
        </w:rPr>
      </w:pPr>
    </w:p>
    <w:p w14:paraId="17E378F2" w14:textId="14B066EE" w:rsidR="00084020" w:rsidRDefault="00084020" w:rsidP="00084020">
      <w:pPr>
        <w:rPr>
          <w:rFonts w:ascii="Times New Roman" w:hAnsi="Times New Roman" w:cs="Times New Roman"/>
          <w:sz w:val="24"/>
          <w:szCs w:val="24"/>
          <w:lang w:val="en-US"/>
        </w:rPr>
      </w:pPr>
      <w:r>
        <w:rPr>
          <w:noProof/>
        </w:rPr>
        <w:drawing>
          <wp:inline distT="0" distB="0" distL="0" distR="0" wp14:anchorId="7141135C" wp14:editId="37B355B5">
            <wp:extent cx="5659395" cy="2380615"/>
            <wp:effectExtent l="0" t="0" r="17780" b="635"/>
            <wp:docPr id="1896179085" name="Chart 1">
              <a:extLst xmlns:a="http://schemas.openxmlformats.org/drawingml/2006/main">
                <a:ext uri="{FF2B5EF4-FFF2-40B4-BE49-F238E27FC236}">
                  <a16:creationId xmlns:a16="http://schemas.microsoft.com/office/drawing/2014/main" id="{9D08EE8B-1EB1-6CB6-B714-025AE7073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1AE30D" w14:textId="77777777" w:rsidR="004E0ED5" w:rsidRDefault="004E0ED5" w:rsidP="004E0ED5">
      <w:pPr>
        <w:rPr>
          <w:rStyle w:val="Strong"/>
          <w:rFonts w:ascii="Times New Roman" w:hAnsi="Times New Roman" w:cs="Times New Roman"/>
          <w:b w:val="0"/>
          <w:bCs w:val="0"/>
          <w:sz w:val="24"/>
          <w:szCs w:val="24"/>
        </w:rPr>
      </w:pPr>
    </w:p>
    <w:p w14:paraId="175A4502" w14:textId="6D4D8CAE" w:rsidR="004E0ED5" w:rsidRPr="004E0ED5" w:rsidRDefault="004E0ED5" w:rsidP="004E0ED5">
      <w:pPr>
        <w:rPr>
          <w:rStyle w:val="Strong"/>
          <w:rFonts w:ascii="Times New Roman" w:hAnsi="Times New Roman" w:cs="Times New Roman"/>
          <w:sz w:val="28"/>
          <w:szCs w:val="28"/>
        </w:rPr>
      </w:pPr>
      <w:r w:rsidRPr="004E0ED5">
        <w:rPr>
          <w:rStyle w:val="Strong"/>
          <w:rFonts w:ascii="Times New Roman" w:hAnsi="Times New Roman" w:cs="Times New Roman"/>
          <w:sz w:val="28"/>
          <w:szCs w:val="28"/>
        </w:rPr>
        <w:lastRenderedPageBreak/>
        <w:t>ATM</w:t>
      </w:r>
    </w:p>
    <w:p w14:paraId="70293B94" w14:textId="14E7B011" w:rsidR="00A37CA5" w:rsidRPr="004E0ED5" w:rsidRDefault="00A37CA5"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An automated teller machine (ATM) is a device that allows customers to access their bank accounts and perform transactions without human assistance.</w:t>
      </w:r>
    </w:p>
    <w:p w14:paraId="7F5AF9C8" w14:textId="41A81C8D" w:rsidR="00A37CA5" w:rsidRPr="004E0ED5" w:rsidRDefault="00A37CA5"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ATMs can offer various services such as cash withdrawal, deposit, balance inquiry, transfer, bill payment, and more. Some ATMs can also dispense foreign currency, stamps, or tickets.</w:t>
      </w:r>
    </w:p>
    <w:p w14:paraId="0DFB3E1D" w14:textId="0787648D" w:rsidR="00A37CA5" w:rsidRPr="004E0ED5" w:rsidRDefault="00A37CA5"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T</w:t>
      </w:r>
      <w:r w:rsidRPr="004E0ED5">
        <w:rPr>
          <w:rStyle w:val="Strong"/>
          <w:rFonts w:ascii="Times New Roman" w:hAnsi="Times New Roman" w:cs="Times New Roman"/>
          <w:b w:val="0"/>
          <w:bCs w:val="0"/>
          <w:sz w:val="24"/>
          <w:szCs w:val="24"/>
        </w:rPr>
        <w:t>he average total fees to withdraw cash from an out-of-network ATM was $4.55 in 2022.</w:t>
      </w:r>
    </w:p>
    <w:p w14:paraId="705F0154" w14:textId="44A8352B" w:rsidR="00A37CA5" w:rsidRPr="004E0ED5" w:rsidRDefault="00A37CA5"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An ATM is simply a data terminal with two input and four output devices. Like any other data terminal, the ATM has to connect to, and communicate through, a host processor. The host processor is analogous to an </w:t>
      </w:r>
      <w:hyperlink r:id="rId8" w:history="1">
        <w:r w:rsidRPr="004E0ED5">
          <w:rPr>
            <w:rStyle w:val="Strong"/>
            <w:rFonts w:ascii="Times New Roman" w:hAnsi="Times New Roman" w:cs="Times New Roman"/>
            <w:b w:val="0"/>
            <w:bCs w:val="0"/>
            <w:sz w:val="24"/>
            <w:szCs w:val="24"/>
          </w:rPr>
          <w:t>Internet service provider</w:t>
        </w:r>
      </w:hyperlink>
      <w:r w:rsidRPr="004E0ED5">
        <w:rPr>
          <w:rStyle w:val="Strong"/>
          <w:rFonts w:ascii="Times New Roman" w:hAnsi="Times New Roman" w:cs="Times New Roman"/>
          <w:b w:val="0"/>
          <w:bCs w:val="0"/>
          <w:sz w:val="24"/>
          <w:szCs w:val="24"/>
        </w:rPr>
        <w:t> (ISP) in that it is the gateway through which all the various ATM networks become available to the cardholder</w:t>
      </w:r>
    </w:p>
    <w:p w14:paraId="4E8376AA" w14:textId="40801D92" w:rsidR="00F46E7E" w:rsidRPr="004E0ED5" w:rsidRDefault="00F46E7E"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When a customer withdraws money from a branch or an ATM, the application sends a request to the centralized data center, which then processes the request and authenticates the operation.</w:t>
      </w:r>
    </w:p>
    <w:p w14:paraId="246C3EB6" w14:textId="77777777" w:rsidR="00F46E7E" w:rsidRPr="004E0ED5" w:rsidRDefault="00F46E7E"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The data center contains the database, an application server, a web server, and a firewall to protect the system from malware attacks. Banks can host their data center locally or on the cloud.</w:t>
      </w:r>
    </w:p>
    <w:p w14:paraId="66E0860C" w14:textId="10C064C9" w:rsidR="00F46E7E" w:rsidRPr="004E0ED5" w:rsidRDefault="00B80F39"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ATM users spend 20-25% more in convenience stores alone.</w:t>
      </w:r>
    </w:p>
    <w:p w14:paraId="3169A607" w14:textId="284BF30A" w:rsidR="00B80F39" w:rsidRPr="004E0ED5" w:rsidRDefault="00B80F39"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The average ATM is used 300 times per month</w:t>
      </w:r>
      <w:r w:rsidRPr="004E0ED5">
        <w:rPr>
          <w:rStyle w:val="Strong"/>
          <w:rFonts w:ascii="Times New Roman" w:hAnsi="Times New Roman" w:cs="Times New Roman"/>
          <w:b w:val="0"/>
          <w:bCs w:val="0"/>
          <w:sz w:val="24"/>
          <w:szCs w:val="24"/>
        </w:rPr>
        <w:t>.</w:t>
      </w:r>
    </w:p>
    <w:p w14:paraId="0FF67D46" w14:textId="1EE1A413" w:rsidR="00B80F39" w:rsidRPr="004E0ED5" w:rsidRDefault="00B80F39"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Over 10 billion transactions are performed at ATMs in the U.S. every year</w:t>
      </w:r>
      <w:r w:rsidRPr="004E0ED5">
        <w:rPr>
          <w:rStyle w:val="Strong"/>
          <w:rFonts w:ascii="Times New Roman" w:hAnsi="Times New Roman" w:cs="Times New Roman"/>
          <w:b w:val="0"/>
          <w:bCs w:val="0"/>
          <w:sz w:val="24"/>
          <w:szCs w:val="24"/>
        </w:rPr>
        <w:t>.</w:t>
      </w:r>
    </w:p>
    <w:p w14:paraId="6FAFFBF1" w14:textId="3D090DF4" w:rsidR="00B80F39" w:rsidRPr="004E0ED5" w:rsidRDefault="00B80F39" w:rsidP="004E0ED5">
      <w:pPr>
        <w:pStyle w:val="ListParagraph"/>
        <w:numPr>
          <w:ilvl w:val="0"/>
          <w:numId w:val="12"/>
        </w:numPr>
        <w:rPr>
          <w:rStyle w:val="Strong"/>
          <w:rFonts w:ascii="Times New Roman" w:hAnsi="Times New Roman" w:cs="Times New Roman"/>
          <w:b w:val="0"/>
          <w:bCs w:val="0"/>
          <w:sz w:val="24"/>
          <w:szCs w:val="24"/>
        </w:rPr>
      </w:pPr>
      <w:r w:rsidRPr="004E0ED5">
        <w:rPr>
          <w:rStyle w:val="Strong"/>
          <w:rFonts w:ascii="Times New Roman" w:hAnsi="Times New Roman" w:cs="Times New Roman"/>
          <w:b w:val="0"/>
          <w:bCs w:val="0"/>
          <w:sz w:val="24"/>
          <w:szCs w:val="24"/>
        </w:rPr>
        <w:t>60% of Americans ages 25-34, and 51% ages 35-49, withdraw $40.00 8-10 times per month.</w:t>
      </w:r>
    </w:p>
    <w:p w14:paraId="45BCC49D" w14:textId="712712BA" w:rsidR="004E0ED5" w:rsidRPr="004E0ED5" w:rsidRDefault="004E0ED5" w:rsidP="004E0ED5">
      <w:pPr>
        <w:pStyle w:val="ListParagraph"/>
        <w:numPr>
          <w:ilvl w:val="0"/>
          <w:numId w:val="12"/>
        </w:numPr>
        <w:rPr>
          <w:rStyle w:val="Strong"/>
          <w:rFonts w:ascii="Times New Roman" w:hAnsi="Times New Roman" w:cs="Times New Roman"/>
          <w:b w:val="0"/>
          <w:bCs w:val="0"/>
          <w:sz w:val="24"/>
          <w:szCs w:val="24"/>
          <w:lang w:val="en-US"/>
        </w:rPr>
      </w:pPr>
      <w:r w:rsidRPr="004E0ED5">
        <w:rPr>
          <w:rStyle w:val="Strong"/>
          <w:rFonts w:ascii="Times New Roman" w:hAnsi="Times New Roman" w:cs="Times New Roman"/>
          <w:b w:val="0"/>
          <w:bCs w:val="0"/>
          <w:sz w:val="24"/>
          <w:szCs w:val="24"/>
        </w:rPr>
        <w:t xml:space="preserve">Bitcoin ATMs are widely popular in the Far West </w:t>
      </w:r>
      <w:r w:rsidRPr="004E0ED5">
        <w:rPr>
          <w:rStyle w:val="Strong"/>
          <w:rFonts w:ascii="Times New Roman" w:hAnsi="Times New Roman" w:cs="Times New Roman"/>
          <w:b w:val="0"/>
          <w:bCs w:val="0"/>
          <w:sz w:val="24"/>
          <w:szCs w:val="24"/>
        </w:rPr>
        <w:t>USA. Genesis</w:t>
      </w:r>
      <w:r w:rsidRPr="004E0ED5">
        <w:rPr>
          <w:rStyle w:val="Strong"/>
          <w:rFonts w:ascii="Times New Roman" w:hAnsi="Times New Roman" w:cs="Times New Roman"/>
          <w:b w:val="0"/>
          <w:bCs w:val="0"/>
          <w:sz w:val="24"/>
          <w:szCs w:val="24"/>
        </w:rPr>
        <w:t xml:space="preserve"> Coin, a Bitcoin ATM software provider, successfully acquired 5,700 cryptocurrency ATMs from CoinCloud, resulting in a total network of 17,700 ATMs</w:t>
      </w:r>
      <w:r w:rsidRPr="004E0ED5">
        <w:rPr>
          <w:rStyle w:val="Strong"/>
          <w:rFonts w:ascii="Times New Roman" w:hAnsi="Times New Roman" w:cs="Times New Roman"/>
          <w:b w:val="0"/>
          <w:bCs w:val="0"/>
          <w:sz w:val="24"/>
          <w:szCs w:val="24"/>
        </w:rPr>
        <w:t>.</w:t>
      </w:r>
    </w:p>
    <w:p w14:paraId="79C583F0" w14:textId="60617BE0" w:rsidR="004E0ED5" w:rsidRPr="004E0ED5" w:rsidRDefault="004E0ED5" w:rsidP="004E0ED5">
      <w:pPr>
        <w:pStyle w:val="ListParagraph"/>
        <w:rPr>
          <w:rStyle w:val="Strong"/>
          <w:rFonts w:ascii="Times New Roman" w:hAnsi="Times New Roman" w:cs="Times New Roman"/>
          <w:b w:val="0"/>
          <w:bCs w:val="0"/>
          <w:sz w:val="24"/>
          <w:szCs w:val="24"/>
          <w:lang w:val="en-US"/>
        </w:rPr>
      </w:pPr>
      <w:r>
        <w:rPr>
          <w:noProof/>
        </w:rPr>
        <w:drawing>
          <wp:anchor distT="0" distB="0" distL="114300" distR="114300" simplePos="0" relativeHeight="251659264" behindDoc="0" locked="0" layoutInCell="1" allowOverlap="1" wp14:anchorId="16DA1C77" wp14:editId="7E90F919">
            <wp:simplePos x="0" y="0"/>
            <wp:positionH relativeFrom="column">
              <wp:posOffset>1993265</wp:posOffset>
            </wp:positionH>
            <wp:positionV relativeFrom="paragraph">
              <wp:posOffset>398265</wp:posOffset>
            </wp:positionV>
            <wp:extent cx="4307840" cy="2743200"/>
            <wp:effectExtent l="0" t="0" r="16510" b="0"/>
            <wp:wrapSquare wrapText="bothSides"/>
            <wp:docPr id="659464091" name="Chart 1">
              <a:extLst xmlns:a="http://schemas.openxmlformats.org/drawingml/2006/main">
                <a:ext uri="{FF2B5EF4-FFF2-40B4-BE49-F238E27FC236}">
                  <a16:creationId xmlns:a16="http://schemas.microsoft.com/office/drawing/2014/main" id="{888617EE-B173-2370-F050-AE250A50F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830" w:type="dxa"/>
        <w:tblLook w:val="04A0" w:firstRow="1" w:lastRow="0" w:firstColumn="1" w:lastColumn="0" w:noHBand="0" w:noVBand="1"/>
      </w:tblPr>
      <w:tblGrid>
        <w:gridCol w:w="1283"/>
        <w:gridCol w:w="1547"/>
      </w:tblGrid>
      <w:tr w:rsidR="004E0ED5" w:rsidRPr="004E0ED5" w14:paraId="591B68D5" w14:textId="77777777" w:rsidTr="004E0ED5">
        <w:trPr>
          <w:trHeight w:val="868"/>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97B4A" w14:textId="77777777" w:rsidR="004E0ED5" w:rsidRPr="004E0ED5" w:rsidRDefault="004E0ED5" w:rsidP="004E0ED5">
            <w:pPr>
              <w:spacing w:after="0" w:line="240" w:lineRule="auto"/>
              <w:jc w:val="center"/>
              <w:rPr>
                <w:rFonts w:ascii="Calibri" w:eastAsia="Times New Roman" w:hAnsi="Calibri" w:cs="Calibri"/>
                <w:b/>
                <w:bCs/>
                <w:color w:val="000000"/>
                <w:lang w:eastAsia="en-IN"/>
              </w:rPr>
            </w:pPr>
            <w:r w:rsidRPr="004E0ED5">
              <w:rPr>
                <w:rFonts w:ascii="Calibri" w:eastAsia="Times New Roman" w:hAnsi="Calibri" w:cs="Calibri"/>
                <w:b/>
                <w:bCs/>
                <w:color w:val="000000"/>
                <w:lang w:eastAsia="en-IN"/>
              </w:rPr>
              <w:t>Year</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237BA2A5" w14:textId="77777777" w:rsidR="004E0ED5" w:rsidRPr="004E0ED5" w:rsidRDefault="004E0ED5" w:rsidP="004E0ED5">
            <w:pPr>
              <w:spacing w:after="0" w:line="240" w:lineRule="auto"/>
              <w:jc w:val="center"/>
              <w:rPr>
                <w:rFonts w:ascii="Calibri" w:eastAsia="Times New Roman" w:hAnsi="Calibri" w:cs="Calibri"/>
                <w:b/>
                <w:bCs/>
                <w:color w:val="000000"/>
                <w:lang w:eastAsia="en-IN"/>
              </w:rPr>
            </w:pPr>
            <w:r w:rsidRPr="004E0ED5">
              <w:rPr>
                <w:rFonts w:ascii="Calibri" w:eastAsia="Times New Roman" w:hAnsi="Calibri" w:cs="Calibri"/>
                <w:b/>
                <w:bCs/>
                <w:color w:val="000000"/>
                <w:lang w:eastAsia="en-IN"/>
              </w:rPr>
              <w:t>Number of ATMs (per 100,000 adults)</w:t>
            </w:r>
          </w:p>
        </w:tc>
      </w:tr>
      <w:tr w:rsidR="004E0ED5" w:rsidRPr="004E0ED5" w14:paraId="03A5F321"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0B91ABDE"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2008</w:t>
            </w:r>
          </w:p>
        </w:tc>
        <w:tc>
          <w:tcPr>
            <w:tcW w:w="1547" w:type="dxa"/>
            <w:tcBorders>
              <w:top w:val="nil"/>
              <w:left w:val="nil"/>
              <w:bottom w:val="single" w:sz="4" w:space="0" w:color="auto"/>
              <w:right w:val="single" w:sz="4" w:space="0" w:color="auto"/>
            </w:tcBorders>
            <w:shd w:val="clear" w:color="auto" w:fill="auto"/>
            <w:vAlign w:val="center"/>
            <w:hideMark/>
          </w:tcPr>
          <w:p w14:paraId="6E7B1A1E"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27.23</w:t>
            </w:r>
          </w:p>
        </w:tc>
      </w:tr>
      <w:tr w:rsidR="004E0ED5" w:rsidRPr="004E0ED5" w14:paraId="32CE8A5D"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106CE0C7"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2009</w:t>
            </w:r>
          </w:p>
        </w:tc>
        <w:tc>
          <w:tcPr>
            <w:tcW w:w="1547" w:type="dxa"/>
            <w:tcBorders>
              <w:top w:val="nil"/>
              <w:left w:val="nil"/>
              <w:bottom w:val="single" w:sz="4" w:space="0" w:color="auto"/>
              <w:right w:val="single" w:sz="4" w:space="0" w:color="auto"/>
            </w:tcBorders>
            <w:shd w:val="clear" w:color="auto" w:fill="auto"/>
            <w:vAlign w:val="center"/>
            <w:hideMark/>
          </w:tcPr>
          <w:p w14:paraId="3BF7F714"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28.84</w:t>
            </w:r>
          </w:p>
        </w:tc>
      </w:tr>
      <w:tr w:rsidR="004E0ED5" w:rsidRPr="004E0ED5" w14:paraId="616B7DC4" w14:textId="77777777" w:rsidTr="004E0ED5">
        <w:trPr>
          <w:trHeight w:val="70"/>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389EF24B"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2010</w:t>
            </w:r>
          </w:p>
        </w:tc>
        <w:tc>
          <w:tcPr>
            <w:tcW w:w="1547" w:type="dxa"/>
            <w:tcBorders>
              <w:top w:val="nil"/>
              <w:left w:val="nil"/>
              <w:bottom w:val="single" w:sz="4" w:space="0" w:color="auto"/>
              <w:right w:val="single" w:sz="4" w:space="0" w:color="auto"/>
            </w:tcBorders>
            <w:shd w:val="clear" w:color="auto" w:fill="auto"/>
            <w:vAlign w:val="center"/>
            <w:hideMark/>
          </w:tcPr>
          <w:p w14:paraId="44C1FF49"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29.76</w:t>
            </w:r>
          </w:p>
        </w:tc>
      </w:tr>
      <w:tr w:rsidR="004E0ED5" w:rsidRPr="004E0ED5" w14:paraId="6FD2DACD"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3C4B7C5"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2011</w:t>
            </w:r>
          </w:p>
        </w:tc>
        <w:tc>
          <w:tcPr>
            <w:tcW w:w="1547" w:type="dxa"/>
            <w:tcBorders>
              <w:top w:val="nil"/>
              <w:left w:val="nil"/>
              <w:bottom w:val="single" w:sz="4" w:space="0" w:color="auto"/>
              <w:right w:val="single" w:sz="4" w:space="0" w:color="auto"/>
            </w:tcBorders>
            <w:shd w:val="clear" w:color="auto" w:fill="auto"/>
            <w:vAlign w:val="center"/>
            <w:hideMark/>
          </w:tcPr>
          <w:p w14:paraId="5CCAEC29"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30.14</w:t>
            </w:r>
          </w:p>
        </w:tc>
      </w:tr>
      <w:tr w:rsidR="004E0ED5" w:rsidRPr="004E0ED5" w14:paraId="63BD97CC"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0720D89F"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2012</w:t>
            </w:r>
          </w:p>
        </w:tc>
        <w:tc>
          <w:tcPr>
            <w:tcW w:w="1547" w:type="dxa"/>
            <w:tcBorders>
              <w:top w:val="nil"/>
              <w:left w:val="nil"/>
              <w:bottom w:val="single" w:sz="4" w:space="0" w:color="auto"/>
              <w:right w:val="single" w:sz="4" w:space="0" w:color="auto"/>
            </w:tcBorders>
            <w:shd w:val="clear" w:color="auto" w:fill="auto"/>
            <w:vAlign w:val="center"/>
            <w:hideMark/>
          </w:tcPr>
          <w:p w14:paraId="1222FFD7"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33.01</w:t>
            </w:r>
          </w:p>
        </w:tc>
      </w:tr>
      <w:tr w:rsidR="004E0ED5" w:rsidRPr="004E0ED5" w14:paraId="76BEF573" w14:textId="77777777" w:rsidTr="004E0ED5">
        <w:trPr>
          <w:trHeight w:val="95"/>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7B754BE4"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2013</w:t>
            </w:r>
          </w:p>
        </w:tc>
        <w:tc>
          <w:tcPr>
            <w:tcW w:w="1547" w:type="dxa"/>
            <w:tcBorders>
              <w:top w:val="nil"/>
              <w:left w:val="nil"/>
              <w:bottom w:val="single" w:sz="4" w:space="0" w:color="auto"/>
              <w:right w:val="single" w:sz="4" w:space="0" w:color="auto"/>
            </w:tcBorders>
            <w:shd w:val="clear" w:color="auto" w:fill="auto"/>
            <w:vAlign w:val="center"/>
            <w:hideMark/>
          </w:tcPr>
          <w:p w14:paraId="5DED616A"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35.43</w:t>
            </w:r>
          </w:p>
        </w:tc>
      </w:tr>
      <w:tr w:rsidR="004E0ED5" w:rsidRPr="004E0ED5" w14:paraId="5F961789"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16DB23BB"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2014</w:t>
            </w:r>
          </w:p>
        </w:tc>
        <w:tc>
          <w:tcPr>
            <w:tcW w:w="1547" w:type="dxa"/>
            <w:tcBorders>
              <w:top w:val="nil"/>
              <w:left w:val="nil"/>
              <w:bottom w:val="single" w:sz="4" w:space="0" w:color="auto"/>
              <w:right w:val="single" w:sz="4" w:space="0" w:color="auto"/>
            </w:tcBorders>
            <w:shd w:val="clear" w:color="auto" w:fill="auto"/>
            <w:vAlign w:val="center"/>
            <w:hideMark/>
          </w:tcPr>
          <w:p w14:paraId="6FF68696"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35.41</w:t>
            </w:r>
          </w:p>
        </w:tc>
      </w:tr>
      <w:tr w:rsidR="004E0ED5" w:rsidRPr="004E0ED5" w14:paraId="4FE62C6D"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1C11C41B"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2015</w:t>
            </w:r>
          </w:p>
        </w:tc>
        <w:tc>
          <w:tcPr>
            <w:tcW w:w="1547" w:type="dxa"/>
            <w:tcBorders>
              <w:top w:val="nil"/>
              <w:left w:val="nil"/>
              <w:bottom w:val="single" w:sz="4" w:space="0" w:color="auto"/>
              <w:right w:val="single" w:sz="4" w:space="0" w:color="auto"/>
            </w:tcBorders>
            <w:shd w:val="clear" w:color="auto" w:fill="auto"/>
            <w:vAlign w:val="center"/>
            <w:hideMark/>
          </w:tcPr>
          <w:p w14:paraId="709CF169"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37.17</w:t>
            </w:r>
          </w:p>
        </w:tc>
      </w:tr>
      <w:tr w:rsidR="004E0ED5" w:rsidRPr="004E0ED5" w14:paraId="648AADF6" w14:textId="77777777" w:rsidTr="004E0ED5">
        <w:trPr>
          <w:trHeight w:val="121"/>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4C431F00"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2016</w:t>
            </w:r>
          </w:p>
        </w:tc>
        <w:tc>
          <w:tcPr>
            <w:tcW w:w="1547" w:type="dxa"/>
            <w:tcBorders>
              <w:top w:val="nil"/>
              <w:left w:val="nil"/>
              <w:bottom w:val="single" w:sz="4" w:space="0" w:color="auto"/>
              <w:right w:val="single" w:sz="4" w:space="0" w:color="auto"/>
            </w:tcBorders>
            <w:shd w:val="clear" w:color="auto" w:fill="auto"/>
            <w:vAlign w:val="center"/>
            <w:hideMark/>
          </w:tcPr>
          <w:p w14:paraId="46090ED4"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38.33</w:t>
            </w:r>
          </w:p>
        </w:tc>
      </w:tr>
      <w:tr w:rsidR="004E0ED5" w:rsidRPr="004E0ED5" w14:paraId="4F420939"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37409321"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2017</w:t>
            </w:r>
          </w:p>
        </w:tc>
        <w:tc>
          <w:tcPr>
            <w:tcW w:w="1547" w:type="dxa"/>
            <w:tcBorders>
              <w:top w:val="nil"/>
              <w:left w:val="nil"/>
              <w:bottom w:val="single" w:sz="4" w:space="0" w:color="auto"/>
              <w:right w:val="single" w:sz="4" w:space="0" w:color="auto"/>
            </w:tcBorders>
            <w:shd w:val="clear" w:color="auto" w:fill="auto"/>
            <w:vAlign w:val="center"/>
            <w:hideMark/>
          </w:tcPr>
          <w:p w14:paraId="43592DE2"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37.74</w:t>
            </w:r>
          </w:p>
        </w:tc>
      </w:tr>
      <w:tr w:rsidR="004E0ED5" w:rsidRPr="004E0ED5" w14:paraId="6EA2936B" w14:textId="77777777" w:rsidTr="004E0ED5">
        <w:trPr>
          <w:trHeight w:val="6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3368AC8B"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2018</w:t>
            </w:r>
          </w:p>
        </w:tc>
        <w:tc>
          <w:tcPr>
            <w:tcW w:w="1547" w:type="dxa"/>
            <w:tcBorders>
              <w:top w:val="nil"/>
              <w:left w:val="nil"/>
              <w:bottom w:val="single" w:sz="4" w:space="0" w:color="auto"/>
              <w:right w:val="single" w:sz="4" w:space="0" w:color="auto"/>
            </w:tcBorders>
            <w:shd w:val="clear" w:color="auto" w:fill="auto"/>
            <w:vAlign w:val="center"/>
            <w:hideMark/>
          </w:tcPr>
          <w:p w14:paraId="51B02C5C"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39.41</w:t>
            </w:r>
          </w:p>
        </w:tc>
      </w:tr>
      <w:tr w:rsidR="004E0ED5" w:rsidRPr="004E0ED5" w14:paraId="6AE62FF2" w14:textId="77777777" w:rsidTr="004E0ED5">
        <w:trPr>
          <w:trHeight w:val="261"/>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6DFE7371"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2019</w:t>
            </w:r>
          </w:p>
        </w:tc>
        <w:tc>
          <w:tcPr>
            <w:tcW w:w="1547" w:type="dxa"/>
            <w:tcBorders>
              <w:top w:val="nil"/>
              <w:left w:val="nil"/>
              <w:bottom w:val="single" w:sz="4" w:space="0" w:color="auto"/>
              <w:right w:val="single" w:sz="4" w:space="0" w:color="auto"/>
            </w:tcBorders>
            <w:shd w:val="clear" w:color="auto" w:fill="auto"/>
            <w:vAlign w:val="center"/>
            <w:hideMark/>
          </w:tcPr>
          <w:p w14:paraId="559FB4C1"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40.75</w:t>
            </w:r>
          </w:p>
        </w:tc>
      </w:tr>
      <w:tr w:rsidR="004E0ED5" w:rsidRPr="004E0ED5" w14:paraId="496D7D54" w14:textId="77777777" w:rsidTr="004E0ED5">
        <w:trPr>
          <w:trHeight w:val="132"/>
        </w:trPr>
        <w:tc>
          <w:tcPr>
            <w:tcW w:w="1283" w:type="dxa"/>
            <w:tcBorders>
              <w:top w:val="nil"/>
              <w:left w:val="single" w:sz="4" w:space="0" w:color="auto"/>
              <w:bottom w:val="single" w:sz="4" w:space="0" w:color="auto"/>
              <w:right w:val="single" w:sz="4" w:space="0" w:color="auto"/>
            </w:tcBorders>
            <w:shd w:val="clear" w:color="auto" w:fill="auto"/>
            <w:vAlign w:val="center"/>
            <w:hideMark/>
          </w:tcPr>
          <w:p w14:paraId="1BCA3CF8"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2020</w:t>
            </w:r>
          </w:p>
        </w:tc>
        <w:tc>
          <w:tcPr>
            <w:tcW w:w="1547" w:type="dxa"/>
            <w:tcBorders>
              <w:top w:val="nil"/>
              <w:left w:val="nil"/>
              <w:bottom w:val="single" w:sz="4" w:space="0" w:color="auto"/>
              <w:right w:val="single" w:sz="4" w:space="0" w:color="auto"/>
            </w:tcBorders>
            <w:shd w:val="clear" w:color="auto" w:fill="auto"/>
            <w:vAlign w:val="center"/>
            <w:hideMark/>
          </w:tcPr>
          <w:p w14:paraId="3891B8DB" w14:textId="77777777" w:rsidR="004E0ED5" w:rsidRPr="004E0ED5" w:rsidRDefault="004E0ED5" w:rsidP="004E0ED5">
            <w:pPr>
              <w:spacing w:after="0" w:line="240" w:lineRule="auto"/>
              <w:jc w:val="right"/>
              <w:rPr>
                <w:rFonts w:ascii="Calibri" w:eastAsia="Times New Roman" w:hAnsi="Calibri" w:cs="Calibri"/>
                <w:color w:val="000000"/>
                <w:lang w:eastAsia="en-IN"/>
              </w:rPr>
            </w:pPr>
            <w:r w:rsidRPr="004E0ED5">
              <w:rPr>
                <w:rFonts w:ascii="Calibri" w:eastAsia="Times New Roman" w:hAnsi="Calibri" w:cs="Calibri"/>
                <w:color w:val="000000"/>
                <w:lang w:eastAsia="en-IN"/>
              </w:rPr>
              <w:t>41.24</w:t>
            </w:r>
          </w:p>
        </w:tc>
      </w:tr>
    </w:tbl>
    <w:p w14:paraId="1F7E3B32" w14:textId="77777777" w:rsidR="004E0ED5" w:rsidRPr="004E0ED5" w:rsidRDefault="004E0ED5" w:rsidP="004E0ED5">
      <w:pPr>
        <w:ind w:left="360"/>
        <w:rPr>
          <w:rStyle w:val="Strong"/>
          <w:rFonts w:ascii="Times New Roman" w:hAnsi="Times New Roman" w:cs="Times New Roman"/>
          <w:b w:val="0"/>
          <w:bCs w:val="0"/>
          <w:sz w:val="24"/>
          <w:szCs w:val="24"/>
          <w:lang w:val="en-US"/>
        </w:rPr>
      </w:pPr>
    </w:p>
    <w:sectPr w:rsidR="004E0ED5" w:rsidRPr="004E0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9118DC"/>
    <w:multiLevelType w:val="hybridMultilevel"/>
    <w:tmpl w:val="B1F8FB7E"/>
    <w:lvl w:ilvl="0" w:tplc="CC9E6D2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A6D8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B0C50"/>
    <w:multiLevelType w:val="multilevel"/>
    <w:tmpl w:val="F1AC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A1069"/>
    <w:multiLevelType w:val="hybridMultilevel"/>
    <w:tmpl w:val="2B305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372E9"/>
    <w:multiLevelType w:val="hybridMultilevel"/>
    <w:tmpl w:val="50868874"/>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6" w15:restartNumberingAfterBreak="0">
    <w:nsid w:val="333542E4"/>
    <w:multiLevelType w:val="multilevel"/>
    <w:tmpl w:val="D9B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A1E1B"/>
    <w:multiLevelType w:val="hybridMultilevel"/>
    <w:tmpl w:val="E12E1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F301B2"/>
    <w:multiLevelType w:val="multilevel"/>
    <w:tmpl w:val="AB24F726"/>
    <w:lvl w:ilvl="0">
      <w:start w:val="1"/>
      <w:numFmt w:val="decimal"/>
      <w:lvlText w:val="%1."/>
      <w:lvlJc w:val="left"/>
      <w:pPr>
        <w:ind w:left="1352"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F1598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DBF2C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766681"/>
    <w:multiLevelType w:val="hybridMultilevel"/>
    <w:tmpl w:val="6D20D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3B04B2"/>
    <w:multiLevelType w:val="hybridMultilevel"/>
    <w:tmpl w:val="6AA84516"/>
    <w:lvl w:ilvl="0" w:tplc="4009000F">
      <w:start w:val="1"/>
      <w:numFmt w:val="decimal"/>
      <w:lvlText w:val="%1."/>
      <w:lvlJc w:val="left"/>
      <w:pPr>
        <w:ind w:left="135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954095">
    <w:abstractNumId w:val="6"/>
  </w:num>
  <w:num w:numId="2" w16cid:durableId="1805082749">
    <w:abstractNumId w:val="3"/>
  </w:num>
  <w:num w:numId="3" w16cid:durableId="791022417">
    <w:abstractNumId w:val="11"/>
  </w:num>
  <w:num w:numId="4" w16cid:durableId="1099254150">
    <w:abstractNumId w:val="12"/>
  </w:num>
  <w:num w:numId="5" w16cid:durableId="1016537668">
    <w:abstractNumId w:val="7"/>
  </w:num>
  <w:num w:numId="6" w16cid:durableId="1167207751">
    <w:abstractNumId w:val="5"/>
  </w:num>
  <w:num w:numId="7" w16cid:durableId="589706063">
    <w:abstractNumId w:val="1"/>
  </w:num>
  <w:num w:numId="8" w16cid:durableId="368185400">
    <w:abstractNumId w:val="9"/>
  </w:num>
  <w:num w:numId="9" w16cid:durableId="724067261">
    <w:abstractNumId w:val="2"/>
  </w:num>
  <w:num w:numId="10" w16cid:durableId="847718171">
    <w:abstractNumId w:val="10"/>
  </w:num>
  <w:num w:numId="11" w16cid:durableId="2105419683">
    <w:abstractNumId w:val="8"/>
  </w:num>
  <w:num w:numId="12" w16cid:durableId="108478015">
    <w:abstractNumId w:val="4"/>
  </w:num>
  <w:num w:numId="13" w16cid:durableId="778180166">
    <w:abstractNumId w:val="0"/>
  </w:num>
  <w:num w:numId="14" w16cid:durableId="1020201263">
    <w:abstractNumId w:val="0"/>
  </w:num>
  <w:num w:numId="15" w16cid:durableId="113141114">
    <w:abstractNumId w:val="0"/>
  </w:num>
  <w:num w:numId="16" w16cid:durableId="894007827">
    <w:abstractNumId w:val="0"/>
  </w:num>
  <w:num w:numId="17" w16cid:durableId="122702718">
    <w:abstractNumId w:val="0"/>
  </w:num>
  <w:num w:numId="18" w16cid:durableId="2012754368">
    <w:abstractNumId w:val="0"/>
  </w:num>
  <w:num w:numId="19" w16cid:durableId="1319311027">
    <w:abstractNumId w:val="0"/>
  </w:num>
  <w:num w:numId="20" w16cid:durableId="56520193">
    <w:abstractNumId w:val="0"/>
  </w:num>
  <w:num w:numId="21" w16cid:durableId="1912886506">
    <w:abstractNumId w:val="0"/>
  </w:num>
  <w:num w:numId="22" w16cid:durableId="179301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27"/>
    <w:rsid w:val="00001581"/>
    <w:rsid w:val="00084020"/>
    <w:rsid w:val="001838D0"/>
    <w:rsid w:val="00397E27"/>
    <w:rsid w:val="004E0ED5"/>
    <w:rsid w:val="00721318"/>
    <w:rsid w:val="00A37CA5"/>
    <w:rsid w:val="00B3702B"/>
    <w:rsid w:val="00B80F39"/>
    <w:rsid w:val="00F46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61641"/>
  <w15:chartTrackingRefBased/>
  <w15:docId w15:val="{013FE46B-03C6-4F94-A7A3-596B9E29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D5"/>
  </w:style>
  <w:style w:type="paragraph" w:styleId="Heading1">
    <w:name w:val="heading 1"/>
    <w:basedOn w:val="Normal"/>
    <w:next w:val="Normal"/>
    <w:link w:val="Heading1Char"/>
    <w:uiPriority w:val="9"/>
    <w:qFormat/>
    <w:rsid w:val="004E0ED5"/>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E0ED5"/>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E0ED5"/>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E0ED5"/>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E0ED5"/>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E0ED5"/>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E0ED5"/>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0ED5"/>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0ED5"/>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7E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46E7E"/>
    <w:rPr>
      <w:color w:val="0000FF"/>
      <w:u w:val="single"/>
    </w:rPr>
  </w:style>
  <w:style w:type="character" w:styleId="Strong">
    <w:name w:val="Strong"/>
    <w:basedOn w:val="DefaultParagraphFont"/>
    <w:uiPriority w:val="22"/>
    <w:qFormat/>
    <w:rsid w:val="004E0ED5"/>
    <w:rPr>
      <w:b/>
      <w:bCs/>
      <w:color w:val="000000" w:themeColor="text1"/>
    </w:rPr>
  </w:style>
  <w:style w:type="paragraph" w:styleId="ListParagraph">
    <w:name w:val="List Paragraph"/>
    <w:basedOn w:val="Normal"/>
    <w:uiPriority w:val="34"/>
    <w:qFormat/>
    <w:rsid w:val="00F46E7E"/>
    <w:pPr>
      <w:ind w:left="720"/>
      <w:contextualSpacing/>
    </w:pPr>
  </w:style>
  <w:style w:type="character" w:customStyle="1" w:styleId="Heading1Char">
    <w:name w:val="Heading 1 Char"/>
    <w:basedOn w:val="DefaultParagraphFont"/>
    <w:link w:val="Heading1"/>
    <w:uiPriority w:val="9"/>
    <w:rsid w:val="004E0E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E0E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E0E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E0E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E0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E0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E0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0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0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E0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E0E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0E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0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0ED5"/>
    <w:rPr>
      <w:color w:val="5A5A5A" w:themeColor="text1" w:themeTint="A5"/>
      <w:spacing w:val="10"/>
    </w:rPr>
  </w:style>
  <w:style w:type="character" w:styleId="Emphasis">
    <w:name w:val="Emphasis"/>
    <w:basedOn w:val="DefaultParagraphFont"/>
    <w:uiPriority w:val="20"/>
    <w:qFormat/>
    <w:rsid w:val="004E0ED5"/>
    <w:rPr>
      <w:i/>
      <w:iCs/>
      <w:color w:val="auto"/>
    </w:rPr>
  </w:style>
  <w:style w:type="paragraph" w:styleId="NoSpacing">
    <w:name w:val="No Spacing"/>
    <w:uiPriority w:val="1"/>
    <w:qFormat/>
    <w:rsid w:val="004E0ED5"/>
    <w:pPr>
      <w:spacing w:after="0" w:line="240" w:lineRule="auto"/>
    </w:pPr>
  </w:style>
  <w:style w:type="paragraph" w:styleId="Quote">
    <w:name w:val="Quote"/>
    <w:basedOn w:val="Normal"/>
    <w:next w:val="Normal"/>
    <w:link w:val="QuoteChar"/>
    <w:uiPriority w:val="29"/>
    <w:qFormat/>
    <w:rsid w:val="004E0ED5"/>
    <w:pPr>
      <w:spacing w:before="160"/>
      <w:ind w:left="720" w:right="720"/>
    </w:pPr>
    <w:rPr>
      <w:i/>
      <w:iCs/>
      <w:color w:val="000000" w:themeColor="text1"/>
    </w:rPr>
  </w:style>
  <w:style w:type="character" w:customStyle="1" w:styleId="QuoteChar">
    <w:name w:val="Quote Char"/>
    <w:basedOn w:val="DefaultParagraphFont"/>
    <w:link w:val="Quote"/>
    <w:uiPriority w:val="29"/>
    <w:rsid w:val="004E0ED5"/>
    <w:rPr>
      <w:i/>
      <w:iCs/>
      <w:color w:val="000000" w:themeColor="text1"/>
    </w:rPr>
  </w:style>
  <w:style w:type="paragraph" w:styleId="IntenseQuote">
    <w:name w:val="Intense Quote"/>
    <w:basedOn w:val="Normal"/>
    <w:next w:val="Normal"/>
    <w:link w:val="IntenseQuoteChar"/>
    <w:uiPriority w:val="30"/>
    <w:qFormat/>
    <w:rsid w:val="004E0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0ED5"/>
    <w:rPr>
      <w:color w:val="000000" w:themeColor="text1"/>
      <w:shd w:val="clear" w:color="auto" w:fill="F2F2F2" w:themeFill="background1" w:themeFillShade="F2"/>
    </w:rPr>
  </w:style>
  <w:style w:type="character" w:styleId="SubtleEmphasis">
    <w:name w:val="Subtle Emphasis"/>
    <w:basedOn w:val="DefaultParagraphFont"/>
    <w:uiPriority w:val="19"/>
    <w:qFormat/>
    <w:rsid w:val="004E0ED5"/>
    <w:rPr>
      <w:i/>
      <w:iCs/>
      <w:color w:val="404040" w:themeColor="text1" w:themeTint="BF"/>
    </w:rPr>
  </w:style>
  <w:style w:type="character" w:styleId="IntenseEmphasis">
    <w:name w:val="Intense Emphasis"/>
    <w:basedOn w:val="DefaultParagraphFont"/>
    <w:uiPriority w:val="21"/>
    <w:qFormat/>
    <w:rsid w:val="004E0ED5"/>
    <w:rPr>
      <w:b/>
      <w:bCs/>
      <w:i/>
      <w:iCs/>
      <w:caps/>
    </w:rPr>
  </w:style>
  <w:style w:type="character" w:styleId="SubtleReference">
    <w:name w:val="Subtle Reference"/>
    <w:basedOn w:val="DefaultParagraphFont"/>
    <w:uiPriority w:val="31"/>
    <w:qFormat/>
    <w:rsid w:val="004E0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0ED5"/>
    <w:rPr>
      <w:b/>
      <w:bCs/>
      <w:smallCaps/>
      <w:u w:val="single"/>
    </w:rPr>
  </w:style>
  <w:style w:type="character" w:styleId="BookTitle">
    <w:name w:val="Book Title"/>
    <w:basedOn w:val="DefaultParagraphFont"/>
    <w:uiPriority w:val="33"/>
    <w:qFormat/>
    <w:rsid w:val="004E0ED5"/>
    <w:rPr>
      <w:b w:val="0"/>
      <w:bCs w:val="0"/>
      <w:smallCaps/>
      <w:spacing w:val="5"/>
    </w:rPr>
  </w:style>
  <w:style w:type="paragraph" w:styleId="TOCHeading">
    <w:name w:val="TOC Heading"/>
    <w:basedOn w:val="Heading1"/>
    <w:next w:val="Normal"/>
    <w:uiPriority w:val="39"/>
    <w:semiHidden/>
    <w:unhideWhenUsed/>
    <w:qFormat/>
    <w:rsid w:val="004E0ED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8368">
      <w:bodyDiv w:val="1"/>
      <w:marLeft w:val="0"/>
      <w:marRight w:val="0"/>
      <w:marTop w:val="0"/>
      <w:marBottom w:val="0"/>
      <w:divBdr>
        <w:top w:val="none" w:sz="0" w:space="0" w:color="auto"/>
        <w:left w:val="none" w:sz="0" w:space="0" w:color="auto"/>
        <w:bottom w:val="none" w:sz="0" w:space="0" w:color="auto"/>
        <w:right w:val="none" w:sz="0" w:space="0" w:color="auto"/>
      </w:divBdr>
      <w:divsChild>
        <w:div w:id="1996571151">
          <w:marLeft w:val="0"/>
          <w:marRight w:val="0"/>
          <w:marTop w:val="0"/>
          <w:marBottom w:val="0"/>
          <w:divBdr>
            <w:top w:val="none" w:sz="0" w:space="0" w:color="auto"/>
            <w:left w:val="none" w:sz="0" w:space="0" w:color="auto"/>
            <w:bottom w:val="none" w:sz="0" w:space="0" w:color="auto"/>
            <w:right w:val="none" w:sz="0" w:space="0" w:color="auto"/>
          </w:divBdr>
          <w:divsChild>
            <w:div w:id="1822503399">
              <w:marLeft w:val="0"/>
              <w:marRight w:val="0"/>
              <w:marTop w:val="0"/>
              <w:marBottom w:val="0"/>
              <w:divBdr>
                <w:top w:val="none" w:sz="0" w:space="0" w:color="auto"/>
                <w:left w:val="none" w:sz="0" w:space="0" w:color="auto"/>
                <w:bottom w:val="none" w:sz="0" w:space="0" w:color="auto"/>
                <w:right w:val="none" w:sz="0" w:space="0" w:color="auto"/>
              </w:divBdr>
            </w:div>
          </w:divsChild>
        </w:div>
        <w:div w:id="865943964">
          <w:marLeft w:val="-150"/>
          <w:marRight w:val="0"/>
          <w:marTop w:val="240"/>
          <w:marBottom w:val="120"/>
          <w:divBdr>
            <w:top w:val="none" w:sz="0" w:space="0" w:color="auto"/>
            <w:left w:val="none" w:sz="0" w:space="0" w:color="auto"/>
            <w:bottom w:val="none" w:sz="0" w:space="0" w:color="auto"/>
            <w:right w:val="none" w:sz="0" w:space="0" w:color="auto"/>
          </w:divBdr>
          <w:divsChild>
            <w:div w:id="1589775696">
              <w:marLeft w:val="150"/>
              <w:marRight w:val="90"/>
              <w:marTop w:val="0"/>
              <w:marBottom w:val="0"/>
              <w:divBdr>
                <w:top w:val="none" w:sz="0" w:space="0" w:color="auto"/>
                <w:left w:val="none" w:sz="0" w:space="0" w:color="auto"/>
                <w:bottom w:val="none" w:sz="0" w:space="0" w:color="auto"/>
                <w:right w:val="none" w:sz="0" w:space="0" w:color="auto"/>
              </w:divBdr>
            </w:div>
          </w:divsChild>
        </w:div>
      </w:divsChild>
    </w:div>
    <w:div w:id="1306356528">
      <w:bodyDiv w:val="1"/>
      <w:marLeft w:val="0"/>
      <w:marRight w:val="0"/>
      <w:marTop w:val="0"/>
      <w:marBottom w:val="0"/>
      <w:divBdr>
        <w:top w:val="none" w:sz="0" w:space="0" w:color="auto"/>
        <w:left w:val="none" w:sz="0" w:space="0" w:color="auto"/>
        <w:bottom w:val="none" w:sz="0" w:space="0" w:color="auto"/>
        <w:right w:val="none" w:sz="0" w:space="0" w:color="auto"/>
      </w:divBdr>
    </w:div>
    <w:div w:id="1717969105">
      <w:bodyDiv w:val="1"/>
      <w:marLeft w:val="0"/>
      <w:marRight w:val="0"/>
      <w:marTop w:val="0"/>
      <w:marBottom w:val="0"/>
      <w:divBdr>
        <w:top w:val="none" w:sz="0" w:space="0" w:color="auto"/>
        <w:left w:val="none" w:sz="0" w:space="0" w:color="auto"/>
        <w:bottom w:val="none" w:sz="0" w:space="0" w:color="auto"/>
        <w:right w:val="none" w:sz="0" w:space="0" w:color="auto"/>
      </w:divBdr>
    </w:div>
    <w:div w:id="1830169992">
      <w:bodyDiv w:val="1"/>
      <w:marLeft w:val="0"/>
      <w:marRight w:val="0"/>
      <w:marTop w:val="0"/>
      <w:marBottom w:val="0"/>
      <w:divBdr>
        <w:top w:val="none" w:sz="0" w:space="0" w:color="auto"/>
        <w:left w:val="none" w:sz="0" w:space="0" w:color="auto"/>
        <w:bottom w:val="none" w:sz="0" w:space="0" w:color="auto"/>
        <w:right w:val="none" w:sz="0" w:space="0" w:color="auto"/>
      </w:divBdr>
    </w:div>
    <w:div w:id="1966546300">
      <w:bodyDiv w:val="1"/>
      <w:marLeft w:val="0"/>
      <w:marRight w:val="0"/>
      <w:marTop w:val="0"/>
      <w:marBottom w:val="0"/>
      <w:divBdr>
        <w:top w:val="none" w:sz="0" w:space="0" w:color="auto"/>
        <w:left w:val="none" w:sz="0" w:space="0" w:color="auto"/>
        <w:bottom w:val="none" w:sz="0" w:space="0" w:color="auto"/>
        <w:right w:val="none" w:sz="0" w:space="0" w:color="auto"/>
      </w:divBdr>
    </w:div>
    <w:div w:id="1977835035">
      <w:bodyDiv w:val="1"/>
      <w:marLeft w:val="0"/>
      <w:marRight w:val="0"/>
      <w:marTop w:val="0"/>
      <w:marBottom w:val="0"/>
      <w:divBdr>
        <w:top w:val="none" w:sz="0" w:space="0" w:color="auto"/>
        <w:left w:val="none" w:sz="0" w:space="0" w:color="auto"/>
        <w:bottom w:val="none" w:sz="0" w:space="0" w:color="auto"/>
        <w:right w:val="none" w:sz="0" w:space="0" w:color="auto"/>
      </w:divBdr>
    </w:div>
    <w:div w:id="212352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howstuffworks.com/personal-finance/banking/internet-infrastructure1.htm"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www.bing.com/ck/a?!&amp;&amp;p=7114b3d8d7c4733bJmltdHM9MTcyMDMxMDQwMCZpZ3VpZD0zMzk1NjI5Yy01MjRjLTY2NDUtMDhlOC03MWVmNTNiZTY3MDQmaW5zaWQ9NTkwOA&amp;ptn=3&amp;ver=2&amp;hsh=3&amp;fclid=3395629c-524c-6645-08e8-71ef53be6704&amp;psq=how+does+core+banking+system+work&amp;u=a1aHR0cHM6Ly9oYXBwYXkuY29tL2Jsb2cvY29yZS1iYW5raW5nLXNvbHV0aW9ucy8&amp;nt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U.S. Core Banking Software Market</a:t>
            </a:r>
            <a:r>
              <a:rPr lang="en-IN" baseline="0"/>
              <a:t> Size</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2021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Sheet1!$B$18</c:f>
              <c:numCache>
                <c:formatCode>General</c:formatCode>
                <c:ptCount val="1"/>
                <c:pt idx="0">
                  <c:v>3.53</c:v>
                </c:pt>
              </c:numCache>
            </c:numRef>
          </c:val>
          <c:extLst>
            <c:ext xmlns:c16="http://schemas.microsoft.com/office/drawing/2014/chart" uri="{C3380CC4-5D6E-409C-BE32-E72D297353CC}">
              <c16:uniqueId val="{00000000-F5A4-4FBB-9D2A-BC8A8C814043}"/>
            </c:ext>
          </c:extLst>
        </c:ser>
        <c:ser>
          <c:idx val="1"/>
          <c:order val="1"/>
          <c:tx>
            <c:strRef>
              <c:f>Sheet1!$A$19</c:f>
              <c:strCache>
                <c:ptCount val="1"/>
                <c:pt idx="0">
                  <c:v>2022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Sheet1!$B$19</c:f>
              <c:numCache>
                <c:formatCode>General</c:formatCode>
                <c:ptCount val="1"/>
                <c:pt idx="0">
                  <c:v>4.03</c:v>
                </c:pt>
              </c:numCache>
            </c:numRef>
          </c:val>
          <c:extLst>
            <c:ext xmlns:c16="http://schemas.microsoft.com/office/drawing/2014/chart" uri="{C3380CC4-5D6E-409C-BE32-E72D297353CC}">
              <c16:uniqueId val="{00000001-F5A4-4FBB-9D2A-BC8A8C814043}"/>
            </c:ext>
          </c:extLst>
        </c:ser>
        <c:ser>
          <c:idx val="2"/>
          <c:order val="2"/>
          <c:tx>
            <c:strRef>
              <c:f>Sheet1!$A$20</c:f>
              <c:strCache>
                <c:ptCount val="1"/>
                <c:pt idx="0">
                  <c:v>2023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Sheet1!$B$20</c:f>
              <c:numCache>
                <c:formatCode>General</c:formatCode>
                <c:ptCount val="1"/>
                <c:pt idx="0">
                  <c:v>4.5</c:v>
                </c:pt>
              </c:numCache>
            </c:numRef>
          </c:val>
          <c:extLst>
            <c:ext xmlns:c16="http://schemas.microsoft.com/office/drawing/2014/chart" uri="{C3380CC4-5D6E-409C-BE32-E72D297353CC}">
              <c16:uniqueId val="{00000002-F5A4-4FBB-9D2A-BC8A8C814043}"/>
            </c:ext>
          </c:extLst>
        </c:ser>
        <c:ser>
          <c:idx val="3"/>
          <c:order val="3"/>
          <c:tx>
            <c:strRef>
              <c:f>Sheet1!$A$21</c:f>
              <c:strCache>
                <c:ptCount val="1"/>
                <c:pt idx="0">
                  <c:v>2024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Sheet1!$B$21</c:f>
              <c:numCache>
                <c:formatCode>General</c:formatCode>
                <c:ptCount val="1"/>
                <c:pt idx="0">
                  <c:v>5</c:v>
                </c:pt>
              </c:numCache>
            </c:numRef>
          </c:val>
          <c:extLst>
            <c:ext xmlns:c16="http://schemas.microsoft.com/office/drawing/2014/chart" uri="{C3380CC4-5D6E-409C-BE32-E72D297353CC}">
              <c16:uniqueId val="{00000003-F5A4-4FBB-9D2A-BC8A8C814043}"/>
            </c:ext>
          </c:extLst>
        </c:ser>
        <c:ser>
          <c:idx val="4"/>
          <c:order val="4"/>
          <c:tx>
            <c:strRef>
              <c:f>Sheet1!$A$22</c:f>
              <c:strCache>
                <c:ptCount val="1"/>
                <c:pt idx="0">
                  <c:v>2025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Sheet1!$B$22</c:f>
              <c:numCache>
                <c:formatCode>General</c:formatCode>
                <c:ptCount val="1"/>
                <c:pt idx="0">
                  <c:v>5.7</c:v>
                </c:pt>
              </c:numCache>
            </c:numRef>
          </c:val>
          <c:extLst>
            <c:ext xmlns:c16="http://schemas.microsoft.com/office/drawing/2014/chart" uri="{C3380CC4-5D6E-409C-BE32-E72D297353CC}">
              <c16:uniqueId val="{00000004-F5A4-4FBB-9D2A-BC8A8C814043}"/>
            </c:ext>
          </c:extLst>
        </c:ser>
        <c:ser>
          <c:idx val="5"/>
          <c:order val="5"/>
          <c:tx>
            <c:strRef>
              <c:f>Sheet1!$A$23</c:f>
              <c:strCache>
                <c:ptCount val="1"/>
                <c:pt idx="0">
                  <c:v>2026</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Sheet1!$B$23</c:f>
              <c:numCache>
                <c:formatCode>General</c:formatCode>
                <c:ptCount val="1"/>
                <c:pt idx="0">
                  <c:v>6.4</c:v>
                </c:pt>
              </c:numCache>
            </c:numRef>
          </c:val>
          <c:extLst>
            <c:ext xmlns:c16="http://schemas.microsoft.com/office/drawing/2014/chart" uri="{C3380CC4-5D6E-409C-BE32-E72D297353CC}">
              <c16:uniqueId val="{00000005-F5A4-4FBB-9D2A-BC8A8C814043}"/>
            </c:ext>
          </c:extLst>
        </c:ser>
        <c:ser>
          <c:idx val="6"/>
          <c:order val="6"/>
          <c:tx>
            <c:strRef>
              <c:f>Sheet1!$A$24</c:f>
              <c:strCache>
                <c:ptCount val="1"/>
                <c:pt idx="0">
                  <c:v>2027</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Sheet1!$B$24</c:f>
              <c:numCache>
                <c:formatCode>General</c:formatCode>
                <c:ptCount val="1"/>
                <c:pt idx="0">
                  <c:v>7.2</c:v>
                </c:pt>
              </c:numCache>
            </c:numRef>
          </c:val>
          <c:extLst>
            <c:ext xmlns:c16="http://schemas.microsoft.com/office/drawing/2014/chart" uri="{C3380CC4-5D6E-409C-BE32-E72D297353CC}">
              <c16:uniqueId val="{00000006-F5A4-4FBB-9D2A-BC8A8C814043}"/>
            </c:ext>
          </c:extLst>
        </c:ser>
        <c:ser>
          <c:idx val="7"/>
          <c:order val="7"/>
          <c:tx>
            <c:strRef>
              <c:f>Sheet1!$A$25</c:f>
              <c:strCache>
                <c:ptCount val="1"/>
                <c:pt idx="0">
                  <c:v>2028</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Sheet1!$B$25</c:f>
              <c:numCache>
                <c:formatCode>General</c:formatCode>
                <c:ptCount val="1"/>
                <c:pt idx="0">
                  <c:v>8.1999999999999993</c:v>
                </c:pt>
              </c:numCache>
            </c:numRef>
          </c:val>
          <c:extLst>
            <c:ext xmlns:c16="http://schemas.microsoft.com/office/drawing/2014/chart" uri="{C3380CC4-5D6E-409C-BE32-E72D297353CC}">
              <c16:uniqueId val="{00000007-F5A4-4FBB-9D2A-BC8A8C814043}"/>
            </c:ext>
          </c:extLst>
        </c:ser>
        <c:ser>
          <c:idx val="8"/>
          <c:order val="8"/>
          <c:tx>
            <c:strRef>
              <c:f>Sheet1!$A$26</c:f>
              <c:strCache>
                <c:ptCount val="1"/>
                <c:pt idx="0">
                  <c:v>2029</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Sheet1!$B$26</c:f>
              <c:numCache>
                <c:formatCode>General</c:formatCode>
                <c:ptCount val="1"/>
                <c:pt idx="0">
                  <c:v>9.3000000000000007</c:v>
                </c:pt>
              </c:numCache>
            </c:numRef>
          </c:val>
          <c:extLst>
            <c:ext xmlns:c16="http://schemas.microsoft.com/office/drawing/2014/chart" uri="{C3380CC4-5D6E-409C-BE32-E72D297353CC}">
              <c16:uniqueId val="{00000008-F5A4-4FBB-9D2A-BC8A8C814043}"/>
            </c:ext>
          </c:extLst>
        </c:ser>
        <c:ser>
          <c:idx val="9"/>
          <c:order val="9"/>
          <c:tx>
            <c:strRef>
              <c:f>Sheet1!$A$27</c:f>
              <c:strCache>
                <c:ptCount val="1"/>
                <c:pt idx="0">
                  <c:v>2030</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c:spPr>
          <c:invertIfNegative val="0"/>
          <c:cat>
            <c:strRef>
              <c:f>Sheet1!$B$17</c:f>
              <c:strCache>
                <c:ptCount val="1"/>
                <c:pt idx="0">
                  <c:v>Market Size (USD Billion)</c:v>
                </c:pt>
              </c:strCache>
            </c:strRef>
          </c:cat>
          <c:val>
            <c:numRef>
              <c:f>Sheet1!$B$27</c:f>
              <c:numCache>
                <c:formatCode>General</c:formatCode>
                <c:ptCount val="1"/>
                <c:pt idx="0">
                  <c:v>10.5</c:v>
                </c:pt>
              </c:numCache>
            </c:numRef>
          </c:val>
          <c:extLst>
            <c:ext xmlns:c16="http://schemas.microsoft.com/office/drawing/2014/chart" uri="{C3380CC4-5D6E-409C-BE32-E72D297353CC}">
              <c16:uniqueId val="{00000009-F5A4-4FBB-9D2A-BC8A8C814043}"/>
            </c:ext>
          </c:extLst>
        </c:ser>
        <c:dLbls>
          <c:showLegendKey val="0"/>
          <c:showVal val="0"/>
          <c:showCatName val="0"/>
          <c:showSerName val="0"/>
          <c:showPercent val="0"/>
          <c:showBubbleSize val="0"/>
        </c:dLbls>
        <c:gapWidth val="100"/>
        <c:overlap val="-24"/>
        <c:axId val="1847800560"/>
        <c:axId val="1847809680"/>
      </c:barChart>
      <c:catAx>
        <c:axId val="184780056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47809680"/>
        <c:crosses val="autoZero"/>
        <c:auto val="1"/>
        <c:lblAlgn val="ctr"/>
        <c:lblOffset val="100"/>
        <c:noMultiLvlLbl val="0"/>
      </c:catAx>
      <c:valAx>
        <c:axId val="18478096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84780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baseline="0">
                <a:solidFill>
                  <a:srgbClr val="44546A"/>
                </a:solidFill>
              </a:rPr>
              <a:t>U.S. Core Banking Software Market Size by 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Sheet1!$B$39</c:f>
              <c:strCache>
                <c:ptCount val="1"/>
                <c:pt idx="0">
                  <c:v>Total Market Size (USD Billion)</c:v>
                </c:pt>
              </c:strCache>
            </c:strRef>
          </c:tx>
          <c:spPr>
            <a:solidFill>
              <a:schemeClr val="accent1"/>
            </a:solidFill>
            <a:ln>
              <a:noFill/>
            </a:ln>
            <a:effectLst/>
          </c:spPr>
          <c:invertIfNegative val="0"/>
          <c:cat>
            <c:numRef>
              <c:f>Sheet1!$A$40:$A$50</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Sheet1!$B$40:$B$50</c:f>
              <c:numCache>
                <c:formatCode>General</c:formatCode>
                <c:ptCount val="11"/>
                <c:pt idx="0">
                  <c:v>1.6</c:v>
                </c:pt>
                <c:pt idx="1">
                  <c:v>1.62</c:v>
                </c:pt>
                <c:pt idx="2">
                  <c:v>1.8</c:v>
                </c:pt>
                <c:pt idx="3">
                  <c:v>2</c:v>
                </c:pt>
                <c:pt idx="4">
                  <c:v>2.25</c:v>
                </c:pt>
                <c:pt idx="5">
                  <c:v>2.5</c:v>
                </c:pt>
                <c:pt idx="6">
                  <c:v>2.75</c:v>
                </c:pt>
                <c:pt idx="7">
                  <c:v>3</c:v>
                </c:pt>
                <c:pt idx="8">
                  <c:v>3.25</c:v>
                </c:pt>
                <c:pt idx="9">
                  <c:v>3.5</c:v>
                </c:pt>
                <c:pt idx="10">
                  <c:v>3.75</c:v>
                </c:pt>
              </c:numCache>
            </c:numRef>
          </c:val>
          <c:extLst>
            <c:ext xmlns:c16="http://schemas.microsoft.com/office/drawing/2014/chart" uri="{C3380CC4-5D6E-409C-BE32-E72D297353CC}">
              <c16:uniqueId val="{00000000-FF27-4098-9D80-0B76D8E25DBF}"/>
            </c:ext>
          </c:extLst>
        </c:ser>
        <c:ser>
          <c:idx val="1"/>
          <c:order val="1"/>
          <c:tx>
            <c:strRef>
              <c:f>Sheet1!$C$39</c:f>
              <c:strCache>
                <c:ptCount val="1"/>
                <c:pt idx="0">
                  <c:v>Enterprise Customer Solutions (USD Billion)</c:v>
                </c:pt>
              </c:strCache>
            </c:strRef>
          </c:tx>
          <c:spPr>
            <a:solidFill>
              <a:schemeClr val="accent2"/>
            </a:solidFill>
            <a:ln>
              <a:noFill/>
            </a:ln>
            <a:effectLst/>
          </c:spPr>
          <c:invertIfNegative val="0"/>
          <c:cat>
            <c:numRef>
              <c:f>Sheet1!$A$40:$A$50</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Sheet1!$C$40:$C$50</c:f>
              <c:numCache>
                <c:formatCode>General</c:formatCode>
                <c:ptCount val="11"/>
                <c:pt idx="0">
                  <c:v>0.45</c:v>
                </c:pt>
                <c:pt idx="1">
                  <c:v>0.46</c:v>
                </c:pt>
                <c:pt idx="2">
                  <c:v>0.5</c:v>
                </c:pt>
                <c:pt idx="3">
                  <c:v>0.55000000000000004</c:v>
                </c:pt>
                <c:pt idx="4">
                  <c:v>0.63</c:v>
                </c:pt>
                <c:pt idx="5">
                  <c:v>0.7</c:v>
                </c:pt>
                <c:pt idx="6">
                  <c:v>0.77</c:v>
                </c:pt>
                <c:pt idx="7">
                  <c:v>0.84</c:v>
                </c:pt>
                <c:pt idx="8">
                  <c:v>0.91</c:v>
                </c:pt>
                <c:pt idx="9">
                  <c:v>0.98</c:v>
                </c:pt>
                <c:pt idx="10">
                  <c:v>1.05</c:v>
                </c:pt>
              </c:numCache>
            </c:numRef>
          </c:val>
          <c:extLst>
            <c:ext xmlns:c16="http://schemas.microsoft.com/office/drawing/2014/chart" uri="{C3380CC4-5D6E-409C-BE32-E72D297353CC}">
              <c16:uniqueId val="{00000001-FF27-4098-9D80-0B76D8E25DBF}"/>
            </c:ext>
          </c:extLst>
        </c:ser>
        <c:ser>
          <c:idx val="2"/>
          <c:order val="2"/>
          <c:tx>
            <c:strRef>
              <c:f>Sheet1!$D$39</c:f>
              <c:strCache>
                <c:ptCount val="1"/>
                <c:pt idx="0">
                  <c:v>Loans (USD Billion)</c:v>
                </c:pt>
              </c:strCache>
            </c:strRef>
          </c:tx>
          <c:spPr>
            <a:solidFill>
              <a:schemeClr val="accent3"/>
            </a:solidFill>
            <a:ln>
              <a:noFill/>
            </a:ln>
            <a:effectLst/>
          </c:spPr>
          <c:invertIfNegative val="0"/>
          <c:cat>
            <c:numRef>
              <c:f>Sheet1!$A$40:$A$50</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Sheet1!$D$40:$D$50</c:f>
              <c:numCache>
                <c:formatCode>General</c:formatCode>
                <c:ptCount val="11"/>
                <c:pt idx="0">
                  <c:v>0.5</c:v>
                </c:pt>
                <c:pt idx="1">
                  <c:v>0.51</c:v>
                </c:pt>
                <c:pt idx="2">
                  <c:v>0.56999999999999995</c:v>
                </c:pt>
                <c:pt idx="3">
                  <c:v>0.63</c:v>
                </c:pt>
                <c:pt idx="4">
                  <c:v>0.7</c:v>
                </c:pt>
                <c:pt idx="5">
                  <c:v>0.77</c:v>
                </c:pt>
                <c:pt idx="6">
                  <c:v>0.84</c:v>
                </c:pt>
                <c:pt idx="7">
                  <c:v>0.91</c:v>
                </c:pt>
                <c:pt idx="8">
                  <c:v>0.98</c:v>
                </c:pt>
                <c:pt idx="9">
                  <c:v>1.05</c:v>
                </c:pt>
                <c:pt idx="10">
                  <c:v>1.1200000000000001</c:v>
                </c:pt>
              </c:numCache>
            </c:numRef>
          </c:val>
          <c:extLst>
            <c:ext xmlns:c16="http://schemas.microsoft.com/office/drawing/2014/chart" uri="{C3380CC4-5D6E-409C-BE32-E72D297353CC}">
              <c16:uniqueId val="{00000002-FF27-4098-9D80-0B76D8E25DBF}"/>
            </c:ext>
          </c:extLst>
        </c:ser>
        <c:ser>
          <c:idx val="3"/>
          <c:order val="3"/>
          <c:tx>
            <c:strRef>
              <c:f>Sheet1!$E$39</c:f>
              <c:strCache>
                <c:ptCount val="1"/>
                <c:pt idx="0">
                  <c:v>Deposits (USD Billion)</c:v>
                </c:pt>
              </c:strCache>
            </c:strRef>
          </c:tx>
          <c:spPr>
            <a:solidFill>
              <a:schemeClr val="accent4"/>
            </a:solidFill>
            <a:ln>
              <a:noFill/>
            </a:ln>
            <a:effectLst/>
          </c:spPr>
          <c:invertIfNegative val="0"/>
          <c:cat>
            <c:numRef>
              <c:f>Sheet1!$A$40:$A$50</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Sheet1!$E$40:$E$50</c:f>
              <c:numCache>
                <c:formatCode>General</c:formatCode>
                <c:ptCount val="11"/>
                <c:pt idx="0">
                  <c:v>0.4</c:v>
                </c:pt>
                <c:pt idx="1">
                  <c:v>0.4</c:v>
                </c:pt>
                <c:pt idx="2">
                  <c:v>0.45</c:v>
                </c:pt>
                <c:pt idx="3">
                  <c:v>0.5</c:v>
                </c:pt>
                <c:pt idx="4">
                  <c:v>0.56000000000000005</c:v>
                </c:pt>
                <c:pt idx="5">
                  <c:v>0.63</c:v>
                </c:pt>
                <c:pt idx="6">
                  <c:v>0.7</c:v>
                </c:pt>
                <c:pt idx="7">
                  <c:v>0.76</c:v>
                </c:pt>
                <c:pt idx="8">
                  <c:v>0.83</c:v>
                </c:pt>
                <c:pt idx="9">
                  <c:v>0.9</c:v>
                </c:pt>
                <c:pt idx="10">
                  <c:v>0.97</c:v>
                </c:pt>
              </c:numCache>
            </c:numRef>
          </c:val>
          <c:extLst>
            <c:ext xmlns:c16="http://schemas.microsoft.com/office/drawing/2014/chart" uri="{C3380CC4-5D6E-409C-BE32-E72D297353CC}">
              <c16:uniqueId val="{00000003-FF27-4098-9D80-0B76D8E25DBF}"/>
            </c:ext>
          </c:extLst>
        </c:ser>
        <c:ser>
          <c:idx val="4"/>
          <c:order val="4"/>
          <c:tx>
            <c:strRef>
              <c:f>Sheet1!$F$39</c:f>
              <c:strCache>
                <c:ptCount val="1"/>
                <c:pt idx="0">
                  <c:v>Others (USD Billion)</c:v>
                </c:pt>
              </c:strCache>
            </c:strRef>
          </c:tx>
          <c:spPr>
            <a:solidFill>
              <a:schemeClr val="accent5"/>
            </a:solidFill>
            <a:ln>
              <a:noFill/>
            </a:ln>
            <a:effectLst/>
          </c:spPr>
          <c:invertIfNegative val="0"/>
          <c:cat>
            <c:numRef>
              <c:f>Sheet1!$A$40:$A$50</c:f>
              <c:numCache>
                <c:formatCode>General</c:formatCode>
                <c:ptCount val="11"/>
                <c:pt idx="0">
                  <c:v>2020</c:v>
                </c:pt>
                <c:pt idx="1">
                  <c:v>2021</c:v>
                </c:pt>
                <c:pt idx="2">
                  <c:v>2022</c:v>
                </c:pt>
                <c:pt idx="3">
                  <c:v>2023</c:v>
                </c:pt>
                <c:pt idx="4">
                  <c:v>2024</c:v>
                </c:pt>
                <c:pt idx="5">
                  <c:v>2025</c:v>
                </c:pt>
                <c:pt idx="6">
                  <c:v>2026</c:v>
                </c:pt>
                <c:pt idx="7">
                  <c:v>2027</c:v>
                </c:pt>
                <c:pt idx="8">
                  <c:v>2028</c:v>
                </c:pt>
                <c:pt idx="9">
                  <c:v>2029</c:v>
                </c:pt>
                <c:pt idx="10">
                  <c:v>2030</c:v>
                </c:pt>
              </c:numCache>
            </c:numRef>
          </c:cat>
          <c:val>
            <c:numRef>
              <c:f>Sheet1!$F$40:$F$50</c:f>
              <c:numCache>
                <c:formatCode>General</c:formatCode>
                <c:ptCount val="11"/>
                <c:pt idx="0">
                  <c:v>0.25</c:v>
                </c:pt>
                <c:pt idx="1">
                  <c:v>0.25</c:v>
                </c:pt>
                <c:pt idx="2">
                  <c:v>0.28000000000000003</c:v>
                </c:pt>
                <c:pt idx="3">
                  <c:v>0.32</c:v>
                </c:pt>
                <c:pt idx="4">
                  <c:v>0.36</c:v>
                </c:pt>
                <c:pt idx="5">
                  <c:v>0.4</c:v>
                </c:pt>
                <c:pt idx="6">
                  <c:v>0.44</c:v>
                </c:pt>
                <c:pt idx="7">
                  <c:v>0.49</c:v>
                </c:pt>
                <c:pt idx="8">
                  <c:v>0.53</c:v>
                </c:pt>
                <c:pt idx="9">
                  <c:v>0.56999999999999995</c:v>
                </c:pt>
                <c:pt idx="10">
                  <c:v>0.61</c:v>
                </c:pt>
              </c:numCache>
            </c:numRef>
          </c:val>
          <c:extLst>
            <c:ext xmlns:c16="http://schemas.microsoft.com/office/drawing/2014/chart" uri="{C3380CC4-5D6E-409C-BE32-E72D297353CC}">
              <c16:uniqueId val="{00000004-FF27-4098-9D80-0B76D8E25DBF}"/>
            </c:ext>
          </c:extLst>
        </c:ser>
        <c:dLbls>
          <c:showLegendKey val="0"/>
          <c:showVal val="0"/>
          <c:showCatName val="0"/>
          <c:showSerName val="0"/>
          <c:showPercent val="0"/>
          <c:showBubbleSize val="0"/>
        </c:dLbls>
        <c:gapWidth val="150"/>
        <c:overlap val="100"/>
        <c:axId val="2092446192"/>
        <c:axId val="2092449072"/>
      </c:barChart>
      <c:catAx>
        <c:axId val="209244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49072"/>
        <c:crosses val="autoZero"/>
        <c:auto val="1"/>
        <c:lblAlgn val="ctr"/>
        <c:lblOffset val="100"/>
        <c:noMultiLvlLbl val="0"/>
      </c:catAx>
      <c:valAx>
        <c:axId val="209244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446192"/>
        <c:crosses val="autoZero"/>
        <c:crossBetween val="between"/>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ATMs (per 100,000 adults)</c:v>
                </c:pt>
              </c:strCache>
            </c:strRef>
          </c:tx>
          <c:spPr>
            <a:solidFill>
              <a:schemeClr val="accent1"/>
            </a:solidFill>
            <a:ln>
              <a:noFill/>
            </a:ln>
            <a:effectLst/>
          </c:spPr>
          <c:invertIfNegative val="0"/>
          <c:cat>
            <c:numRef>
              <c:f>Sheet1!$A$2:$A$14</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Sheet1!$B$2:$B$14</c:f>
              <c:numCache>
                <c:formatCode>General</c:formatCode>
                <c:ptCount val="13"/>
                <c:pt idx="0">
                  <c:v>27.23</c:v>
                </c:pt>
                <c:pt idx="1">
                  <c:v>28.84</c:v>
                </c:pt>
                <c:pt idx="2">
                  <c:v>29.76</c:v>
                </c:pt>
                <c:pt idx="3">
                  <c:v>30.14</c:v>
                </c:pt>
                <c:pt idx="4">
                  <c:v>33.01</c:v>
                </c:pt>
                <c:pt idx="5">
                  <c:v>35.43</c:v>
                </c:pt>
                <c:pt idx="6">
                  <c:v>35.409999999999997</c:v>
                </c:pt>
                <c:pt idx="7">
                  <c:v>37.17</c:v>
                </c:pt>
                <c:pt idx="8">
                  <c:v>38.33</c:v>
                </c:pt>
                <c:pt idx="9">
                  <c:v>37.74</c:v>
                </c:pt>
                <c:pt idx="10">
                  <c:v>39.409999999999997</c:v>
                </c:pt>
                <c:pt idx="11">
                  <c:v>40.75</c:v>
                </c:pt>
                <c:pt idx="12">
                  <c:v>41.24</c:v>
                </c:pt>
              </c:numCache>
            </c:numRef>
          </c:val>
          <c:extLst>
            <c:ext xmlns:c16="http://schemas.microsoft.com/office/drawing/2014/chart" uri="{C3380CC4-5D6E-409C-BE32-E72D297353CC}">
              <c16:uniqueId val="{00000000-4761-4FCE-924F-6830A7774424}"/>
            </c:ext>
          </c:extLst>
        </c:ser>
        <c:dLbls>
          <c:showLegendKey val="0"/>
          <c:showVal val="0"/>
          <c:showCatName val="0"/>
          <c:showSerName val="0"/>
          <c:showPercent val="0"/>
          <c:showBubbleSize val="0"/>
        </c:dLbls>
        <c:gapWidth val="219"/>
        <c:overlap val="-27"/>
        <c:axId val="1811547792"/>
        <c:axId val="1811540592"/>
      </c:barChart>
      <c:catAx>
        <c:axId val="1811547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40592"/>
        <c:crosses val="autoZero"/>
        <c:auto val="1"/>
        <c:lblAlgn val="ctr"/>
        <c:lblOffset val="100"/>
        <c:noMultiLvlLbl val="0"/>
      </c:catAx>
      <c:valAx>
        <c:axId val="181154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47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2024-07-07T09:04:00Z</dcterms:created>
  <dcterms:modified xsi:type="dcterms:W3CDTF">2024-07-07T10:46:00Z</dcterms:modified>
</cp:coreProperties>
</file>