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35A88" w14:textId="62E063B6" w:rsidR="00001581" w:rsidRPr="00EA55D3" w:rsidRDefault="00B915DA">
      <w:pPr>
        <w:rPr>
          <w:rStyle w:val="Strong"/>
          <w:rFonts w:ascii="Times New Roman" w:hAnsi="Times New Roman" w:cs="Times New Roman"/>
          <w:color w:val="000000" w:themeColor="text1"/>
          <w:sz w:val="28"/>
          <w:szCs w:val="28"/>
          <w:u w:val="single"/>
        </w:rPr>
      </w:pPr>
      <w:r w:rsidRPr="00EA55D3">
        <w:rPr>
          <w:rStyle w:val="Strong"/>
          <w:rFonts w:ascii="Times New Roman" w:hAnsi="Times New Roman" w:cs="Times New Roman"/>
          <w:color w:val="000000" w:themeColor="text1"/>
          <w:sz w:val="28"/>
          <w:szCs w:val="28"/>
          <w:u w:val="single"/>
        </w:rPr>
        <w:t>Credit Scoring Models</w:t>
      </w:r>
    </w:p>
    <w:p w14:paraId="17B46EE2" w14:textId="784C1702" w:rsidR="00B915DA" w:rsidRPr="00D24693" w:rsidRDefault="00B915DA" w:rsidP="00D24693">
      <w:pPr>
        <w:pStyle w:val="ListParagraph"/>
        <w:numPr>
          <w:ilvl w:val="0"/>
          <w:numId w:val="5"/>
        </w:numPr>
        <w:rPr>
          <w:rStyle w:val="Strong"/>
          <w:rFonts w:ascii="Times New Roman" w:hAnsi="Times New Roman" w:cs="Times New Roman"/>
          <w:b w:val="0"/>
          <w:bCs w:val="0"/>
          <w:sz w:val="24"/>
          <w:szCs w:val="24"/>
        </w:rPr>
      </w:pPr>
      <w:r w:rsidRPr="00D24693">
        <w:rPr>
          <w:rStyle w:val="Strong"/>
          <w:rFonts w:ascii="Times New Roman" w:hAnsi="Times New Roman" w:cs="Times New Roman"/>
          <w:b w:val="0"/>
          <w:bCs w:val="0"/>
          <w:sz w:val="24"/>
          <w:szCs w:val="24"/>
        </w:rPr>
        <w:t>A credit scoring model refers to a mathematical framework designed to gauge the creditworthiness of a borrower by determining the chances of default. Such a model provides a customized credit score for every individual or firm based on factors like borrowing history, financial position, and customer characteristics.</w:t>
      </w:r>
    </w:p>
    <w:p w14:paraId="3ED37564" w14:textId="77777777" w:rsidR="00EA55D3" w:rsidRPr="00D24693" w:rsidRDefault="00B915DA" w:rsidP="00D24693">
      <w:pPr>
        <w:pStyle w:val="ListParagraph"/>
        <w:numPr>
          <w:ilvl w:val="0"/>
          <w:numId w:val="5"/>
        </w:numPr>
        <w:rPr>
          <w:rStyle w:val="Strong"/>
          <w:rFonts w:ascii="Times New Roman" w:hAnsi="Times New Roman" w:cs="Times New Roman"/>
          <w:b w:val="0"/>
          <w:bCs w:val="0"/>
          <w:sz w:val="24"/>
          <w:szCs w:val="24"/>
        </w:rPr>
      </w:pPr>
      <w:r w:rsidRPr="00D24693">
        <w:rPr>
          <w:rStyle w:val="Strong"/>
          <w:rFonts w:ascii="Times New Roman" w:hAnsi="Times New Roman" w:cs="Times New Roman"/>
          <w:b w:val="0"/>
          <w:bCs w:val="0"/>
          <w:sz w:val="24"/>
          <w:szCs w:val="24"/>
          <w:lang w:eastAsia="en-IN"/>
        </w:rPr>
        <w:t>The various factors contributing to credit risk estimation for a customer include their characteristics, credit history, previous defaults, credit utilization, etc.</w:t>
      </w:r>
    </w:p>
    <w:p w14:paraId="32FA9338" w14:textId="3DECC1CC" w:rsidR="00B915DA" w:rsidRPr="00D24693" w:rsidRDefault="00B915DA" w:rsidP="00D24693">
      <w:pPr>
        <w:pStyle w:val="ListParagraph"/>
        <w:numPr>
          <w:ilvl w:val="0"/>
          <w:numId w:val="5"/>
        </w:numPr>
        <w:rPr>
          <w:rStyle w:val="Strong"/>
          <w:rFonts w:ascii="Times New Roman" w:hAnsi="Times New Roman" w:cs="Times New Roman"/>
          <w:b w:val="0"/>
          <w:bCs w:val="0"/>
          <w:sz w:val="24"/>
          <w:szCs w:val="24"/>
        </w:rPr>
      </w:pPr>
      <w:hyperlink r:id="rId5" w:history="1">
        <w:r w:rsidRPr="00D24693">
          <w:rPr>
            <w:rStyle w:val="Strong"/>
            <w:rFonts w:ascii="Times New Roman" w:hAnsi="Times New Roman" w:cs="Times New Roman"/>
            <w:b w:val="0"/>
            <w:bCs w:val="0"/>
            <w:sz w:val="24"/>
            <w:szCs w:val="24"/>
          </w:rPr>
          <w:t>Lenders</w:t>
        </w:r>
      </w:hyperlink>
      <w:r w:rsidRPr="00D24693">
        <w:rPr>
          <w:rStyle w:val="Strong"/>
          <w:rFonts w:ascii="Times New Roman" w:hAnsi="Times New Roman" w:cs="Times New Roman"/>
          <w:b w:val="0"/>
          <w:bCs w:val="0"/>
          <w:sz w:val="24"/>
          <w:szCs w:val="24"/>
        </w:rPr>
        <w:t> design these frameworks using various techniques. Such as algorithms, including machine learning, logistic regression, binning algorithms, linear regression, </w:t>
      </w:r>
      <w:hyperlink r:id="rId6" w:history="1">
        <w:r w:rsidRPr="00D24693">
          <w:rPr>
            <w:rStyle w:val="Strong"/>
            <w:rFonts w:ascii="Times New Roman" w:hAnsi="Times New Roman" w:cs="Times New Roman"/>
            <w:b w:val="0"/>
            <w:bCs w:val="0"/>
            <w:sz w:val="24"/>
            <w:szCs w:val="24"/>
          </w:rPr>
          <w:t>predictive analytics</w:t>
        </w:r>
      </w:hyperlink>
      <w:r w:rsidRPr="00D24693">
        <w:rPr>
          <w:rStyle w:val="Strong"/>
          <w:rFonts w:ascii="Times New Roman" w:hAnsi="Times New Roman" w:cs="Times New Roman"/>
          <w:b w:val="0"/>
          <w:bCs w:val="0"/>
          <w:sz w:val="24"/>
          <w:szCs w:val="24"/>
        </w:rPr>
        <w:t>, and cumulative accuracy profiles.</w:t>
      </w:r>
    </w:p>
    <w:p w14:paraId="4A5DB145" w14:textId="5A74CF19" w:rsidR="00B915DA" w:rsidRPr="00D24693" w:rsidRDefault="00B915DA" w:rsidP="00D24693">
      <w:pPr>
        <w:pStyle w:val="ListParagraph"/>
        <w:numPr>
          <w:ilvl w:val="0"/>
          <w:numId w:val="5"/>
        </w:numPr>
        <w:rPr>
          <w:rStyle w:val="Strong"/>
          <w:rFonts w:ascii="Times New Roman" w:hAnsi="Times New Roman" w:cs="Times New Roman"/>
          <w:b w:val="0"/>
          <w:bCs w:val="0"/>
          <w:sz w:val="24"/>
          <w:szCs w:val="24"/>
        </w:rPr>
      </w:pPr>
      <w:r w:rsidRPr="00D24693">
        <w:rPr>
          <w:rStyle w:val="Strong"/>
          <w:rFonts w:ascii="Times New Roman" w:hAnsi="Times New Roman" w:cs="Times New Roman"/>
          <w:b w:val="0"/>
          <w:bCs w:val="0"/>
          <w:sz w:val="24"/>
          <w:szCs w:val="24"/>
        </w:rPr>
        <w:t>However, the biggest challenge arises with the quality of data that serves as an input for processing credit information through these models.</w:t>
      </w:r>
    </w:p>
    <w:p w14:paraId="1D4376DA" w14:textId="71AD6D20" w:rsidR="00B915DA" w:rsidRPr="00D24693" w:rsidRDefault="00B915DA" w:rsidP="00D24693">
      <w:pPr>
        <w:pStyle w:val="ListParagraph"/>
        <w:numPr>
          <w:ilvl w:val="0"/>
          <w:numId w:val="5"/>
        </w:numPr>
        <w:rPr>
          <w:rStyle w:val="Strong"/>
          <w:rFonts w:ascii="Times New Roman" w:hAnsi="Times New Roman" w:cs="Times New Roman"/>
          <w:b w:val="0"/>
          <w:bCs w:val="0"/>
          <w:sz w:val="24"/>
          <w:szCs w:val="24"/>
        </w:rPr>
      </w:pPr>
      <w:hyperlink r:id="rId7" w:history="1">
        <w:r w:rsidRPr="00D24693">
          <w:rPr>
            <w:rStyle w:val="Strong"/>
            <w:rFonts w:ascii="Times New Roman" w:hAnsi="Times New Roman" w:cs="Times New Roman"/>
            <w:b w:val="0"/>
            <w:bCs w:val="0"/>
            <w:sz w:val="24"/>
            <w:szCs w:val="24"/>
          </w:rPr>
          <w:t>Credit rating agencies</w:t>
        </w:r>
      </w:hyperlink>
      <w:r w:rsidRPr="00D24693">
        <w:rPr>
          <w:rStyle w:val="Strong"/>
          <w:rFonts w:ascii="Times New Roman" w:hAnsi="Times New Roman" w:cs="Times New Roman"/>
          <w:b w:val="0"/>
          <w:bCs w:val="0"/>
          <w:sz w:val="24"/>
          <w:szCs w:val="24"/>
        </w:rPr>
        <w:t> and credit bureaus often gather individual credit information. And process it through these models. They then sell this information to the lenders or </w:t>
      </w:r>
      <w:hyperlink r:id="rId8" w:history="1">
        <w:r w:rsidRPr="00D24693">
          <w:rPr>
            <w:rStyle w:val="Strong"/>
            <w:rFonts w:ascii="Times New Roman" w:hAnsi="Times New Roman" w:cs="Times New Roman"/>
            <w:b w:val="0"/>
            <w:bCs w:val="0"/>
            <w:sz w:val="24"/>
            <w:szCs w:val="24"/>
          </w:rPr>
          <w:t>creditors</w:t>
        </w:r>
      </w:hyperlink>
      <w:r w:rsidRPr="00D24693">
        <w:rPr>
          <w:rStyle w:val="Strong"/>
          <w:rFonts w:ascii="Times New Roman" w:hAnsi="Times New Roman" w:cs="Times New Roman"/>
          <w:b w:val="0"/>
          <w:bCs w:val="0"/>
          <w:sz w:val="24"/>
          <w:szCs w:val="24"/>
        </w:rPr>
        <w:t> by charging a certain fee from them. Therefore, a high </w:t>
      </w:r>
      <w:hyperlink r:id="rId9" w:history="1">
        <w:r w:rsidRPr="00D24693">
          <w:rPr>
            <w:rStyle w:val="Strong"/>
            <w:rFonts w:ascii="Times New Roman" w:hAnsi="Times New Roman" w:cs="Times New Roman"/>
            <w:b w:val="0"/>
            <w:bCs w:val="0"/>
            <w:sz w:val="24"/>
            <w:szCs w:val="24"/>
          </w:rPr>
          <w:t>credit score</w:t>
        </w:r>
      </w:hyperlink>
      <w:r w:rsidRPr="00D24693">
        <w:rPr>
          <w:rStyle w:val="Strong"/>
          <w:rFonts w:ascii="Times New Roman" w:hAnsi="Times New Roman" w:cs="Times New Roman"/>
          <w:b w:val="0"/>
          <w:bCs w:val="0"/>
          <w:sz w:val="24"/>
          <w:szCs w:val="24"/>
        </w:rPr>
        <w:t> generally refers to higher chances of getting any financial product and lower chances of default.</w:t>
      </w:r>
    </w:p>
    <w:p w14:paraId="5E3F8F1B" w14:textId="77777777" w:rsidR="00D24693" w:rsidRPr="00D24693" w:rsidRDefault="00B95104" w:rsidP="00D24693">
      <w:pPr>
        <w:pStyle w:val="ListParagraph"/>
        <w:numPr>
          <w:ilvl w:val="0"/>
          <w:numId w:val="5"/>
        </w:numPr>
        <w:rPr>
          <w:rStyle w:val="Strong"/>
          <w:rFonts w:ascii="Times New Roman" w:hAnsi="Times New Roman" w:cs="Times New Roman"/>
          <w:b w:val="0"/>
          <w:bCs w:val="0"/>
          <w:sz w:val="24"/>
          <w:szCs w:val="24"/>
        </w:rPr>
      </w:pPr>
      <w:r w:rsidRPr="00D24693">
        <w:rPr>
          <w:rStyle w:val="Strong"/>
          <w:rFonts w:ascii="Times New Roman" w:hAnsi="Times New Roman" w:cs="Times New Roman"/>
          <w:b w:val="0"/>
          <w:bCs w:val="0"/>
          <w:sz w:val="24"/>
          <w:szCs w:val="24"/>
          <w:lang w:eastAsia="en-IN"/>
        </w:rPr>
        <w:t>Credit Utilization Ratio (CUR): It is a measure of the proportion of credit used by the borrower against their stated limits. High CUR signals high credit usage and repayment burden, negatively affecting credit scores. Individuals and businesses with a 30-40% CUR tend to have better credit scores. </w:t>
      </w:r>
    </w:p>
    <w:p w14:paraId="0B519874" w14:textId="6FB3C2A8" w:rsidR="00B95104" w:rsidRPr="00D24693" w:rsidRDefault="00392AE7" w:rsidP="00D24693">
      <w:pPr>
        <w:pStyle w:val="ListParagraph"/>
        <w:numPr>
          <w:ilvl w:val="0"/>
          <w:numId w:val="5"/>
        </w:numPr>
        <w:rPr>
          <w:rStyle w:val="Strong"/>
          <w:rFonts w:ascii="Times New Roman" w:hAnsi="Times New Roman" w:cs="Times New Roman"/>
          <w:b w:val="0"/>
          <w:bCs w:val="0"/>
          <w:sz w:val="24"/>
          <w:szCs w:val="24"/>
        </w:rPr>
      </w:pPr>
      <w:r w:rsidRPr="00D24693">
        <w:rPr>
          <w:rStyle w:val="Strong"/>
          <w:rFonts w:ascii="Times New Roman" w:hAnsi="Times New Roman" w:cs="Times New Roman"/>
          <w:b w:val="0"/>
          <w:bCs w:val="0"/>
          <w:sz w:val="24"/>
          <w:szCs w:val="24"/>
        </w:rPr>
        <w:t>modern credit scoring started in the 1950's with the judgmental approach commonly known as the 5C's approach (Character, Capital, Collateral, Capacity, and Condition).</w:t>
      </w:r>
    </w:p>
    <w:p w14:paraId="2C3FB534" w14:textId="77777777" w:rsidR="00D24693" w:rsidRPr="00D24693" w:rsidRDefault="00EA55D3" w:rsidP="00D24693">
      <w:pPr>
        <w:pStyle w:val="ListParagraph"/>
        <w:numPr>
          <w:ilvl w:val="0"/>
          <w:numId w:val="5"/>
        </w:numPr>
        <w:rPr>
          <w:rStyle w:val="Strong"/>
          <w:lang w:val="en-US"/>
        </w:rPr>
      </w:pPr>
      <w:r w:rsidRPr="00D24693">
        <w:rPr>
          <w:rStyle w:val="Strong"/>
          <w:rFonts w:ascii="Times New Roman" w:hAnsi="Times New Roman" w:cs="Times New Roman"/>
          <w:b w:val="0"/>
          <w:bCs w:val="0"/>
          <w:sz w:val="24"/>
          <w:szCs w:val="24"/>
        </w:rPr>
        <w:t>Because of the economic effects of the COVID-19 pandemic, </w:t>
      </w:r>
      <w:hyperlink r:id="rId10" w:tgtFrame="_blank" w:history="1">
        <w:r w:rsidRPr="00D24693">
          <w:rPr>
            <w:rStyle w:val="Strong"/>
            <w:rFonts w:ascii="Times New Roman" w:hAnsi="Times New Roman" w:cs="Times New Roman"/>
            <w:b w:val="0"/>
            <w:bCs w:val="0"/>
            <w:sz w:val="24"/>
            <w:szCs w:val="24"/>
          </w:rPr>
          <w:t>21% of Americans were denied credit</w:t>
        </w:r>
      </w:hyperlink>
      <w:r w:rsidRPr="00D24693">
        <w:rPr>
          <w:rStyle w:val="Strong"/>
          <w:rFonts w:ascii="Times New Roman" w:hAnsi="Times New Roman" w:cs="Times New Roman"/>
          <w:b w:val="0"/>
          <w:bCs w:val="0"/>
          <w:sz w:val="24"/>
          <w:szCs w:val="24"/>
        </w:rPr>
        <w:t> due to their low credit scores. Millennials were the hardest hit by the credit climate during the pandemic, with 32% of them having their credit applications denied. Meanwhile, only 22% of Gen Xs and 11% of Baby Boomers experienced rejection</w:t>
      </w:r>
      <w:r w:rsidRPr="00D24693">
        <w:rPr>
          <w:rStyle w:val="Strong"/>
        </w:rPr>
        <w:t>.</w:t>
      </w:r>
    </w:p>
    <w:p w14:paraId="686D9FD6" w14:textId="0D41B169" w:rsidR="00D24693" w:rsidRPr="00D24693" w:rsidRDefault="00B915DA" w:rsidP="00D24693">
      <w:pPr>
        <w:pStyle w:val="ListParagraph"/>
        <w:numPr>
          <w:ilvl w:val="0"/>
          <w:numId w:val="5"/>
        </w:numPr>
        <w:rPr>
          <w:rStyle w:val="Strong"/>
          <w:lang w:val="en-US"/>
        </w:rPr>
      </w:pPr>
      <w:r w:rsidRPr="00D24693">
        <w:rPr>
          <w:rStyle w:val="Strong"/>
          <w:rFonts w:ascii="Times New Roman" w:hAnsi="Times New Roman" w:cs="Times New Roman"/>
          <w:b w:val="0"/>
          <w:bCs w:val="0"/>
          <w:color w:val="000000" w:themeColor="text1"/>
          <w:sz w:val="24"/>
          <w:szCs w:val="24"/>
        </w:rPr>
        <w:t xml:space="preserve">There are </w:t>
      </w:r>
      <w:r w:rsidRPr="00D24693">
        <w:rPr>
          <w:rStyle w:val="Strong"/>
          <w:rFonts w:ascii="Times New Roman" w:hAnsi="Times New Roman" w:cs="Times New Roman"/>
          <w:b w:val="0"/>
          <w:bCs w:val="0"/>
          <w:color w:val="000000" w:themeColor="text1"/>
          <w:sz w:val="24"/>
          <w:szCs w:val="24"/>
          <w:lang w:eastAsia="en-IN"/>
        </w:rPr>
        <w:t xml:space="preserve">various kinds of frameworks available for </w:t>
      </w:r>
      <w:r w:rsidR="00D24693" w:rsidRPr="00D24693">
        <w:rPr>
          <w:rStyle w:val="Strong"/>
          <w:rFonts w:ascii="Times New Roman" w:hAnsi="Times New Roman" w:cs="Times New Roman"/>
          <w:b w:val="0"/>
          <w:bCs w:val="0"/>
          <w:color w:val="000000" w:themeColor="text1"/>
          <w:sz w:val="24"/>
          <w:szCs w:val="24"/>
          <w:lang w:eastAsia="en-IN"/>
        </w:rPr>
        <w:t>analysing</w:t>
      </w:r>
      <w:r w:rsidRPr="00D24693">
        <w:rPr>
          <w:rStyle w:val="Strong"/>
          <w:rFonts w:ascii="Times New Roman" w:hAnsi="Times New Roman" w:cs="Times New Roman"/>
          <w:b w:val="0"/>
          <w:bCs w:val="0"/>
          <w:color w:val="000000" w:themeColor="text1"/>
          <w:sz w:val="24"/>
          <w:szCs w:val="24"/>
          <w:lang w:eastAsia="en-IN"/>
        </w:rPr>
        <w:t xml:space="preserve"> the customer’s creditworthiness:</w:t>
      </w:r>
    </w:p>
    <w:p w14:paraId="16125B11" w14:textId="0866BD02" w:rsidR="00D24693" w:rsidRPr="00D24693" w:rsidRDefault="00D24693" w:rsidP="00367299">
      <w:pPr>
        <w:pStyle w:val="ListParagraph"/>
        <w:numPr>
          <w:ilvl w:val="0"/>
          <w:numId w:val="2"/>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EA55D3">
        <w:rPr>
          <w:rStyle w:val="Strong"/>
          <w:rFonts w:ascii="Times New Roman" w:hAnsi="Times New Roman" w:cs="Times New Roman"/>
          <w:b w:val="0"/>
          <w:bCs w:val="0"/>
          <w:color w:val="000000" w:themeColor="text1"/>
          <w:sz w:val="24"/>
          <w:szCs w:val="24"/>
        </w:rPr>
        <w:drawing>
          <wp:anchor distT="0" distB="0" distL="114300" distR="114300" simplePos="0" relativeHeight="251661312" behindDoc="0" locked="0" layoutInCell="1" allowOverlap="1" wp14:anchorId="39F4DA50" wp14:editId="7322E85F">
            <wp:simplePos x="0" y="0"/>
            <wp:positionH relativeFrom="column">
              <wp:posOffset>3138170</wp:posOffset>
            </wp:positionH>
            <wp:positionV relativeFrom="paragraph">
              <wp:posOffset>775335</wp:posOffset>
            </wp:positionV>
            <wp:extent cx="3195320" cy="2009140"/>
            <wp:effectExtent l="0" t="0" r="5080" b="10160"/>
            <wp:wrapSquare wrapText="bothSides"/>
            <wp:docPr id="969846792" name="Chart 1">
              <a:extLst xmlns:a="http://schemas.openxmlformats.org/drawingml/2006/main">
                <a:ext uri="{FF2B5EF4-FFF2-40B4-BE49-F238E27FC236}">
                  <a16:creationId xmlns:a16="http://schemas.microsoft.com/office/drawing/2014/main" id="{9CAAF39A-FBDF-386F-2179-EF791EF1FE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B915DA" w:rsidRPr="00B915DA">
        <w:rPr>
          <w:rStyle w:val="Strong"/>
          <w:rFonts w:ascii="Times New Roman" w:hAnsi="Times New Roman" w:cs="Times New Roman"/>
          <w:b w:val="0"/>
          <w:bCs w:val="0"/>
          <w:color w:val="000000" w:themeColor="text1"/>
          <w:sz w:val="24"/>
          <w:szCs w:val="24"/>
          <w:lang w:eastAsia="en-IN"/>
        </w:rPr>
        <w:t>FICO Score: A FICO score is a model developed by the Fair Isaac Corporation. It provides a credit score on a scale from 300 to 850 for every individual or firm. The higher the score (more than 700), the lower the </w:t>
      </w:r>
      <w:hyperlink r:id="rId12" w:history="1">
        <w:r w:rsidR="00B915DA" w:rsidRPr="00B915DA">
          <w:rPr>
            <w:rStyle w:val="Strong"/>
            <w:rFonts w:ascii="Times New Roman" w:hAnsi="Times New Roman" w:cs="Times New Roman"/>
            <w:b w:val="0"/>
            <w:bCs w:val="0"/>
            <w:color w:val="000000" w:themeColor="text1"/>
            <w:sz w:val="24"/>
            <w:szCs w:val="24"/>
            <w:lang w:eastAsia="en-IN"/>
          </w:rPr>
          <w:t>probability of default</w:t>
        </w:r>
      </w:hyperlink>
      <w:r w:rsidR="00B915DA" w:rsidRPr="00B915DA">
        <w:rPr>
          <w:rStyle w:val="Strong"/>
          <w:rFonts w:ascii="Times New Roman" w:hAnsi="Times New Roman" w:cs="Times New Roman"/>
          <w:b w:val="0"/>
          <w:bCs w:val="0"/>
          <w:color w:val="000000" w:themeColor="text1"/>
          <w:sz w:val="24"/>
          <w:szCs w:val="24"/>
          <w:lang w:eastAsia="en-IN"/>
        </w:rPr>
        <w:t>. It has different versions, like </w:t>
      </w:r>
      <w:hyperlink r:id="rId13" w:history="1">
        <w:r w:rsidR="00B915DA" w:rsidRPr="00B915DA">
          <w:rPr>
            <w:rStyle w:val="Strong"/>
            <w:rFonts w:ascii="Times New Roman" w:hAnsi="Times New Roman" w:cs="Times New Roman"/>
            <w:b w:val="0"/>
            <w:bCs w:val="0"/>
            <w:color w:val="000000" w:themeColor="text1"/>
            <w:sz w:val="24"/>
            <w:szCs w:val="24"/>
            <w:lang w:eastAsia="en-IN"/>
          </w:rPr>
          <w:t>FICO Score</w:t>
        </w:r>
      </w:hyperlink>
      <w:r w:rsidR="00B915DA" w:rsidRPr="00B915DA">
        <w:rPr>
          <w:rStyle w:val="Strong"/>
          <w:rFonts w:ascii="Times New Roman" w:hAnsi="Times New Roman" w:cs="Times New Roman"/>
          <w:b w:val="0"/>
          <w:bCs w:val="0"/>
          <w:color w:val="000000" w:themeColor="text1"/>
          <w:sz w:val="24"/>
          <w:szCs w:val="24"/>
          <w:lang w:eastAsia="en-IN"/>
        </w:rPr>
        <w:t> 2, 4, 5, 8, 9, 10 and 10T.</w:t>
      </w:r>
      <w:r w:rsidRPr="00D24693">
        <w:rPr>
          <w:rStyle w:val="Strong"/>
          <w:rFonts w:ascii="Times New Roman" w:hAnsi="Times New Roman" w:cs="Times New Roman"/>
          <w:b w:val="0"/>
          <w:bCs w:val="0"/>
          <w:color w:val="000000" w:themeColor="text1"/>
          <w:sz w:val="24"/>
          <w:szCs w:val="24"/>
        </w:rPr>
        <w:t xml:space="preserve"> </w:t>
      </w:r>
    </w:p>
    <w:tbl>
      <w:tblPr>
        <w:tblW w:w="3731" w:type="dxa"/>
        <w:tblInd w:w="787" w:type="dxa"/>
        <w:tblLook w:val="04A0" w:firstRow="1" w:lastRow="0" w:firstColumn="1" w:lastColumn="0" w:noHBand="0" w:noVBand="1"/>
      </w:tblPr>
      <w:tblGrid>
        <w:gridCol w:w="1363"/>
        <w:gridCol w:w="1069"/>
        <w:gridCol w:w="1299"/>
      </w:tblGrid>
      <w:tr w:rsidR="00EA55D3" w:rsidRPr="00EA55D3" w14:paraId="456C0F20" w14:textId="77777777" w:rsidTr="00D24693">
        <w:trPr>
          <w:trHeight w:val="542"/>
        </w:trPr>
        <w:tc>
          <w:tcPr>
            <w:tcW w:w="13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14D388" w14:textId="77777777" w:rsidR="00EA55D3" w:rsidRPr="00EA55D3" w:rsidRDefault="00EA55D3" w:rsidP="00EA55D3">
            <w:pPr>
              <w:spacing w:after="0" w:line="240" w:lineRule="auto"/>
              <w:jc w:val="center"/>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Range</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14:paraId="0C040CE2" w14:textId="77777777" w:rsidR="00EA55D3" w:rsidRPr="00EA55D3" w:rsidRDefault="00EA55D3" w:rsidP="00EA55D3">
            <w:pPr>
              <w:spacing w:after="0" w:line="240" w:lineRule="auto"/>
              <w:jc w:val="center"/>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Score Range</w:t>
            </w:r>
          </w:p>
        </w:tc>
        <w:tc>
          <w:tcPr>
            <w:tcW w:w="1299" w:type="dxa"/>
            <w:tcBorders>
              <w:top w:val="single" w:sz="4" w:space="0" w:color="auto"/>
              <w:left w:val="nil"/>
              <w:bottom w:val="single" w:sz="4" w:space="0" w:color="auto"/>
              <w:right w:val="single" w:sz="4" w:space="0" w:color="auto"/>
            </w:tcBorders>
            <w:shd w:val="clear" w:color="auto" w:fill="auto"/>
            <w:vAlign w:val="center"/>
            <w:hideMark/>
          </w:tcPr>
          <w:p w14:paraId="126EF2FA" w14:textId="77777777" w:rsidR="00EA55D3" w:rsidRPr="00EA55D3" w:rsidRDefault="00EA55D3" w:rsidP="00EA55D3">
            <w:pPr>
              <w:spacing w:after="0" w:line="240" w:lineRule="auto"/>
              <w:jc w:val="center"/>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Percentage</w:t>
            </w:r>
          </w:p>
        </w:tc>
      </w:tr>
      <w:tr w:rsidR="00EA55D3" w:rsidRPr="00EA55D3" w14:paraId="4FE16849" w14:textId="77777777" w:rsidTr="00D24693">
        <w:trPr>
          <w:trHeight w:val="443"/>
        </w:trPr>
        <w:tc>
          <w:tcPr>
            <w:tcW w:w="1363" w:type="dxa"/>
            <w:tcBorders>
              <w:top w:val="nil"/>
              <w:left w:val="single" w:sz="4" w:space="0" w:color="auto"/>
              <w:bottom w:val="single" w:sz="4" w:space="0" w:color="auto"/>
              <w:right w:val="single" w:sz="4" w:space="0" w:color="auto"/>
            </w:tcBorders>
            <w:shd w:val="clear" w:color="auto" w:fill="auto"/>
            <w:vAlign w:val="center"/>
            <w:hideMark/>
          </w:tcPr>
          <w:p w14:paraId="5D8D2234"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Poor</w:t>
            </w:r>
          </w:p>
        </w:tc>
        <w:tc>
          <w:tcPr>
            <w:tcW w:w="1069" w:type="dxa"/>
            <w:tcBorders>
              <w:top w:val="nil"/>
              <w:left w:val="nil"/>
              <w:bottom w:val="single" w:sz="4" w:space="0" w:color="auto"/>
              <w:right w:val="single" w:sz="4" w:space="0" w:color="auto"/>
            </w:tcBorders>
            <w:shd w:val="clear" w:color="auto" w:fill="auto"/>
            <w:vAlign w:val="center"/>
            <w:hideMark/>
          </w:tcPr>
          <w:p w14:paraId="0A660E18"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300-579</w:t>
            </w:r>
          </w:p>
        </w:tc>
        <w:tc>
          <w:tcPr>
            <w:tcW w:w="1299" w:type="dxa"/>
            <w:tcBorders>
              <w:top w:val="nil"/>
              <w:left w:val="nil"/>
              <w:bottom w:val="single" w:sz="4" w:space="0" w:color="auto"/>
              <w:right w:val="single" w:sz="4" w:space="0" w:color="auto"/>
            </w:tcBorders>
            <w:shd w:val="clear" w:color="auto" w:fill="auto"/>
            <w:vAlign w:val="center"/>
            <w:hideMark/>
          </w:tcPr>
          <w:p w14:paraId="08376319" w14:textId="77777777" w:rsidR="00EA55D3" w:rsidRPr="00EA55D3" w:rsidRDefault="00EA55D3" w:rsidP="00EA55D3">
            <w:pPr>
              <w:spacing w:after="0" w:line="240" w:lineRule="auto"/>
              <w:jc w:val="right"/>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16%</w:t>
            </w:r>
          </w:p>
        </w:tc>
      </w:tr>
      <w:tr w:rsidR="00EA55D3" w:rsidRPr="00EA55D3" w14:paraId="7985B82B" w14:textId="77777777" w:rsidTr="00D24693">
        <w:trPr>
          <w:trHeight w:val="443"/>
        </w:trPr>
        <w:tc>
          <w:tcPr>
            <w:tcW w:w="1363" w:type="dxa"/>
            <w:tcBorders>
              <w:top w:val="nil"/>
              <w:left w:val="single" w:sz="4" w:space="0" w:color="auto"/>
              <w:bottom w:val="single" w:sz="4" w:space="0" w:color="auto"/>
              <w:right w:val="single" w:sz="4" w:space="0" w:color="auto"/>
            </w:tcBorders>
            <w:shd w:val="clear" w:color="auto" w:fill="auto"/>
            <w:vAlign w:val="center"/>
            <w:hideMark/>
          </w:tcPr>
          <w:p w14:paraId="156A86D3"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Fair</w:t>
            </w:r>
          </w:p>
        </w:tc>
        <w:tc>
          <w:tcPr>
            <w:tcW w:w="1069" w:type="dxa"/>
            <w:tcBorders>
              <w:top w:val="nil"/>
              <w:left w:val="nil"/>
              <w:bottom w:val="single" w:sz="4" w:space="0" w:color="auto"/>
              <w:right w:val="single" w:sz="4" w:space="0" w:color="auto"/>
            </w:tcBorders>
            <w:shd w:val="clear" w:color="auto" w:fill="auto"/>
            <w:vAlign w:val="center"/>
            <w:hideMark/>
          </w:tcPr>
          <w:p w14:paraId="32C2F903"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580-669</w:t>
            </w:r>
          </w:p>
        </w:tc>
        <w:tc>
          <w:tcPr>
            <w:tcW w:w="1299" w:type="dxa"/>
            <w:tcBorders>
              <w:top w:val="nil"/>
              <w:left w:val="nil"/>
              <w:bottom w:val="single" w:sz="4" w:space="0" w:color="auto"/>
              <w:right w:val="single" w:sz="4" w:space="0" w:color="auto"/>
            </w:tcBorders>
            <w:shd w:val="clear" w:color="auto" w:fill="auto"/>
            <w:vAlign w:val="center"/>
            <w:hideMark/>
          </w:tcPr>
          <w:p w14:paraId="7CD7AFF1" w14:textId="77777777" w:rsidR="00EA55D3" w:rsidRPr="00EA55D3" w:rsidRDefault="00EA55D3" w:rsidP="00EA55D3">
            <w:pPr>
              <w:spacing w:after="0" w:line="240" w:lineRule="auto"/>
              <w:jc w:val="right"/>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17%</w:t>
            </w:r>
          </w:p>
        </w:tc>
      </w:tr>
      <w:tr w:rsidR="00EA55D3" w:rsidRPr="00EA55D3" w14:paraId="36499718" w14:textId="77777777" w:rsidTr="00D24693">
        <w:trPr>
          <w:trHeight w:val="443"/>
        </w:trPr>
        <w:tc>
          <w:tcPr>
            <w:tcW w:w="1363" w:type="dxa"/>
            <w:tcBorders>
              <w:top w:val="nil"/>
              <w:left w:val="single" w:sz="4" w:space="0" w:color="auto"/>
              <w:bottom w:val="single" w:sz="4" w:space="0" w:color="auto"/>
              <w:right w:val="single" w:sz="4" w:space="0" w:color="auto"/>
            </w:tcBorders>
            <w:shd w:val="clear" w:color="auto" w:fill="auto"/>
            <w:vAlign w:val="center"/>
            <w:hideMark/>
          </w:tcPr>
          <w:p w14:paraId="19F74122"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Good</w:t>
            </w:r>
          </w:p>
        </w:tc>
        <w:tc>
          <w:tcPr>
            <w:tcW w:w="1069" w:type="dxa"/>
            <w:tcBorders>
              <w:top w:val="nil"/>
              <w:left w:val="nil"/>
              <w:bottom w:val="single" w:sz="4" w:space="0" w:color="auto"/>
              <w:right w:val="single" w:sz="4" w:space="0" w:color="auto"/>
            </w:tcBorders>
            <w:shd w:val="clear" w:color="auto" w:fill="auto"/>
            <w:vAlign w:val="center"/>
            <w:hideMark/>
          </w:tcPr>
          <w:p w14:paraId="3D8A8467"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670-739</w:t>
            </w:r>
          </w:p>
        </w:tc>
        <w:tc>
          <w:tcPr>
            <w:tcW w:w="1299" w:type="dxa"/>
            <w:tcBorders>
              <w:top w:val="nil"/>
              <w:left w:val="nil"/>
              <w:bottom w:val="single" w:sz="4" w:space="0" w:color="auto"/>
              <w:right w:val="single" w:sz="4" w:space="0" w:color="auto"/>
            </w:tcBorders>
            <w:shd w:val="clear" w:color="auto" w:fill="auto"/>
            <w:vAlign w:val="center"/>
            <w:hideMark/>
          </w:tcPr>
          <w:p w14:paraId="06062F19" w14:textId="77777777" w:rsidR="00EA55D3" w:rsidRPr="00EA55D3" w:rsidRDefault="00EA55D3" w:rsidP="00EA55D3">
            <w:pPr>
              <w:spacing w:after="0" w:line="240" w:lineRule="auto"/>
              <w:jc w:val="right"/>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21%</w:t>
            </w:r>
          </w:p>
        </w:tc>
      </w:tr>
      <w:tr w:rsidR="00EA55D3" w:rsidRPr="00EA55D3" w14:paraId="777BBDF0" w14:textId="77777777" w:rsidTr="00D24693">
        <w:trPr>
          <w:trHeight w:val="443"/>
        </w:trPr>
        <w:tc>
          <w:tcPr>
            <w:tcW w:w="1363" w:type="dxa"/>
            <w:tcBorders>
              <w:top w:val="nil"/>
              <w:left w:val="single" w:sz="4" w:space="0" w:color="auto"/>
              <w:bottom w:val="single" w:sz="4" w:space="0" w:color="auto"/>
              <w:right w:val="single" w:sz="4" w:space="0" w:color="auto"/>
            </w:tcBorders>
            <w:shd w:val="clear" w:color="auto" w:fill="auto"/>
            <w:vAlign w:val="center"/>
            <w:hideMark/>
          </w:tcPr>
          <w:p w14:paraId="4036325C"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Very Good</w:t>
            </w:r>
          </w:p>
        </w:tc>
        <w:tc>
          <w:tcPr>
            <w:tcW w:w="1069" w:type="dxa"/>
            <w:tcBorders>
              <w:top w:val="nil"/>
              <w:left w:val="nil"/>
              <w:bottom w:val="single" w:sz="4" w:space="0" w:color="auto"/>
              <w:right w:val="single" w:sz="4" w:space="0" w:color="auto"/>
            </w:tcBorders>
            <w:shd w:val="clear" w:color="auto" w:fill="auto"/>
            <w:vAlign w:val="center"/>
            <w:hideMark/>
          </w:tcPr>
          <w:p w14:paraId="7A36C790"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740-799</w:t>
            </w:r>
          </w:p>
        </w:tc>
        <w:tc>
          <w:tcPr>
            <w:tcW w:w="1299" w:type="dxa"/>
            <w:tcBorders>
              <w:top w:val="nil"/>
              <w:left w:val="nil"/>
              <w:bottom w:val="single" w:sz="4" w:space="0" w:color="auto"/>
              <w:right w:val="single" w:sz="4" w:space="0" w:color="auto"/>
            </w:tcBorders>
            <w:shd w:val="clear" w:color="auto" w:fill="auto"/>
            <w:vAlign w:val="center"/>
            <w:hideMark/>
          </w:tcPr>
          <w:p w14:paraId="2292DED8" w14:textId="77777777" w:rsidR="00EA55D3" w:rsidRPr="00EA55D3" w:rsidRDefault="00EA55D3" w:rsidP="00EA55D3">
            <w:pPr>
              <w:spacing w:after="0" w:line="240" w:lineRule="auto"/>
              <w:jc w:val="right"/>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25%</w:t>
            </w:r>
          </w:p>
        </w:tc>
      </w:tr>
      <w:tr w:rsidR="00EA55D3" w:rsidRPr="00EA55D3" w14:paraId="0967FA93" w14:textId="77777777" w:rsidTr="00D24693">
        <w:trPr>
          <w:trHeight w:val="443"/>
        </w:trPr>
        <w:tc>
          <w:tcPr>
            <w:tcW w:w="1363" w:type="dxa"/>
            <w:tcBorders>
              <w:top w:val="nil"/>
              <w:left w:val="single" w:sz="4" w:space="0" w:color="auto"/>
              <w:bottom w:val="single" w:sz="4" w:space="0" w:color="auto"/>
              <w:right w:val="single" w:sz="4" w:space="0" w:color="auto"/>
            </w:tcBorders>
            <w:shd w:val="clear" w:color="auto" w:fill="auto"/>
            <w:vAlign w:val="center"/>
            <w:hideMark/>
          </w:tcPr>
          <w:p w14:paraId="6132863D"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Exceptional</w:t>
            </w:r>
          </w:p>
        </w:tc>
        <w:tc>
          <w:tcPr>
            <w:tcW w:w="1069" w:type="dxa"/>
            <w:tcBorders>
              <w:top w:val="nil"/>
              <w:left w:val="nil"/>
              <w:bottom w:val="single" w:sz="4" w:space="0" w:color="auto"/>
              <w:right w:val="single" w:sz="4" w:space="0" w:color="auto"/>
            </w:tcBorders>
            <w:shd w:val="clear" w:color="auto" w:fill="auto"/>
            <w:vAlign w:val="center"/>
            <w:hideMark/>
          </w:tcPr>
          <w:p w14:paraId="6A54BB48"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800-850</w:t>
            </w:r>
          </w:p>
        </w:tc>
        <w:tc>
          <w:tcPr>
            <w:tcW w:w="1299" w:type="dxa"/>
            <w:tcBorders>
              <w:top w:val="nil"/>
              <w:left w:val="nil"/>
              <w:bottom w:val="single" w:sz="4" w:space="0" w:color="auto"/>
              <w:right w:val="single" w:sz="4" w:space="0" w:color="auto"/>
            </w:tcBorders>
            <w:shd w:val="clear" w:color="auto" w:fill="auto"/>
            <w:vAlign w:val="center"/>
            <w:hideMark/>
          </w:tcPr>
          <w:p w14:paraId="4FA1B34A" w14:textId="77777777" w:rsidR="00EA55D3" w:rsidRPr="00EA55D3" w:rsidRDefault="00EA55D3" w:rsidP="00EA55D3">
            <w:pPr>
              <w:spacing w:after="0" w:line="240" w:lineRule="auto"/>
              <w:jc w:val="right"/>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21%</w:t>
            </w:r>
          </w:p>
        </w:tc>
      </w:tr>
    </w:tbl>
    <w:p w14:paraId="6A5334D3" w14:textId="1CE7BC26" w:rsidR="003C12C2" w:rsidRPr="00D24693" w:rsidRDefault="00D24693" w:rsidP="00D24693">
      <w:pPr>
        <w:pStyle w:val="ListParagraph"/>
        <w:numPr>
          <w:ilvl w:val="0"/>
          <w:numId w:val="2"/>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D24693">
        <w:rPr>
          <w:rStyle w:val="Strong"/>
          <w:rFonts w:ascii="Times New Roman" w:hAnsi="Times New Roman" w:cs="Times New Roman"/>
          <w:b w:val="0"/>
          <w:bCs w:val="0"/>
          <w:color w:val="000000" w:themeColor="text1"/>
          <w:sz w:val="24"/>
          <w:szCs w:val="24"/>
          <w:lang w:eastAsia="en-IN"/>
        </w:rPr>
        <w:lastRenderedPageBreak/>
        <w:t>Vantage Score</w:t>
      </w:r>
      <w:r w:rsidR="00B915DA" w:rsidRPr="00D24693">
        <w:rPr>
          <w:rStyle w:val="Strong"/>
          <w:rFonts w:ascii="Times New Roman" w:hAnsi="Times New Roman" w:cs="Times New Roman"/>
          <w:b w:val="0"/>
          <w:bCs w:val="0"/>
          <w:color w:val="000000" w:themeColor="text1"/>
          <w:sz w:val="24"/>
          <w:szCs w:val="24"/>
          <w:lang w:eastAsia="en-IN"/>
        </w:rPr>
        <w:t>: The second most popular credit scoring model is VantageScore, which was developed by Experian, Equifax, and TransUnion in 2006. It takes into account various factors such as credit history, duration, and credit utilization to draw a credit score from 300 to 850. It has multiple versions, while VantageScore 3.0 is the best one.</w:t>
      </w:r>
    </w:p>
    <w:tbl>
      <w:tblPr>
        <w:tblW w:w="5017" w:type="dxa"/>
        <w:tblInd w:w="1997" w:type="dxa"/>
        <w:tblLook w:val="04A0" w:firstRow="1" w:lastRow="0" w:firstColumn="1" w:lastColumn="0" w:noHBand="0" w:noVBand="1"/>
      </w:tblPr>
      <w:tblGrid>
        <w:gridCol w:w="2049"/>
        <w:gridCol w:w="1430"/>
        <w:gridCol w:w="1538"/>
      </w:tblGrid>
      <w:tr w:rsidR="00EA55D3" w:rsidRPr="00EA55D3" w14:paraId="056B7973" w14:textId="77777777" w:rsidTr="00D24693">
        <w:trPr>
          <w:trHeight w:val="615"/>
        </w:trPr>
        <w:tc>
          <w:tcPr>
            <w:tcW w:w="20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1EBD3A" w14:textId="77777777" w:rsidR="00EA55D3" w:rsidRPr="00EA55D3" w:rsidRDefault="00EA55D3" w:rsidP="00EA55D3">
            <w:pPr>
              <w:spacing w:after="0" w:line="240" w:lineRule="auto"/>
              <w:jc w:val="center"/>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Range</w:t>
            </w:r>
          </w:p>
        </w:tc>
        <w:tc>
          <w:tcPr>
            <w:tcW w:w="1430" w:type="dxa"/>
            <w:tcBorders>
              <w:top w:val="single" w:sz="4" w:space="0" w:color="auto"/>
              <w:left w:val="nil"/>
              <w:bottom w:val="single" w:sz="4" w:space="0" w:color="auto"/>
              <w:right w:val="single" w:sz="4" w:space="0" w:color="auto"/>
            </w:tcBorders>
            <w:shd w:val="clear" w:color="auto" w:fill="auto"/>
            <w:vAlign w:val="center"/>
            <w:hideMark/>
          </w:tcPr>
          <w:p w14:paraId="2C4E45E5" w14:textId="77777777" w:rsidR="00EA55D3" w:rsidRPr="00EA55D3" w:rsidRDefault="00EA55D3" w:rsidP="00EA55D3">
            <w:pPr>
              <w:spacing w:after="0" w:line="240" w:lineRule="auto"/>
              <w:jc w:val="center"/>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Score Range</w:t>
            </w:r>
          </w:p>
        </w:tc>
        <w:tc>
          <w:tcPr>
            <w:tcW w:w="1538" w:type="dxa"/>
            <w:tcBorders>
              <w:top w:val="single" w:sz="4" w:space="0" w:color="auto"/>
              <w:left w:val="nil"/>
              <w:bottom w:val="single" w:sz="4" w:space="0" w:color="auto"/>
              <w:right w:val="single" w:sz="4" w:space="0" w:color="auto"/>
            </w:tcBorders>
            <w:shd w:val="clear" w:color="auto" w:fill="auto"/>
            <w:vAlign w:val="center"/>
            <w:hideMark/>
          </w:tcPr>
          <w:p w14:paraId="51DC245A" w14:textId="77777777" w:rsidR="00EA55D3" w:rsidRPr="00EA55D3" w:rsidRDefault="00EA55D3" w:rsidP="00EA55D3">
            <w:pPr>
              <w:spacing w:after="0" w:line="240" w:lineRule="auto"/>
              <w:jc w:val="center"/>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Percentage</w:t>
            </w:r>
          </w:p>
        </w:tc>
      </w:tr>
      <w:tr w:rsidR="00EA55D3" w:rsidRPr="00EA55D3" w14:paraId="598AD1F9" w14:textId="77777777" w:rsidTr="00D24693">
        <w:trPr>
          <w:trHeight w:val="307"/>
        </w:trPr>
        <w:tc>
          <w:tcPr>
            <w:tcW w:w="2049" w:type="dxa"/>
            <w:tcBorders>
              <w:top w:val="nil"/>
              <w:left w:val="single" w:sz="4" w:space="0" w:color="auto"/>
              <w:bottom w:val="single" w:sz="4" w:space="0" w:color="auto"/>
              <w:right w:val="single" w:sz="4" w:space="0" w:color="auto"/>
            </w:tcBorders>
            <w:shd w:val="clear" w:color="auto" w:fill="auto"/>
            <w:vAlign w:val="center"/>
            <w:hideMark/>
          </w:tcPr>
          <w:p w14:paraId="071EE1B6"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Very Poor</w:t>
            </w:r>
          </w:p>
        </w:tc>
        <w:tc>
          <w:tcPr>
            <w:tcW w:w="1430" w:type="dxa"/>
            <w:tcBorders>
              <w:top w:val="nil"/>
              <w:left w:val="nil"/>
              <w:bottom w:val="single" w:sz="4" w:space="0" w:color="auto"/>
              <w:right w:val="single" w:sz="4" w:space="0" w:color="auto"/>
            </w:tcBorders>
            <w:shd w:val="clear" w:color="auto" w:fill="auto"/>
            <w:vAlign w:val="center"/>
            <w:hideMark/>
          </w:tcPr>
          <w:p w14:paraId="46C5A7AF"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300-499</w:t>
            </w:r>
          </w:p>
        </w:tc>
        <w:tc>
          <w:tcPr>
            <w:tcW w:w="1538" w:type="dxa"/>
            <w:tcBorders>
              <w:top w:val="nil"/>
              <w:left w:val="nil"/>
              <w:bottom w:val="single" w:sz="4" w:space="0" w:color="auto"/>
              <w:right w:val="single" w:sz="4" w:space="0" w:color="auto"/>
            </w:tcBorders>
            <w:shd w:val="clear" w:color="auto" w:fill="auto"/>
            <w:vAlign w:val="center"/>
            <w:hideMark/>
          </w:tcPr>
          <w:p w14:paraId="27BEB0A1" w14:textId="77777777" w:rsidR="00EA55D3" w:rsidRPr="00EA55D3" w:rsidRDefault="00EA55D3" w:rsidP="00EA55D3">
            <w:pPr>
              <w:spacing w:after="0" w:line="240" w:lineRule="auto"/>
              <w:jc w:val="right"/>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5%</w:t>
            </w:r>
          </w:p>
        </w:tc>
      </w:tr>
      <w:tr w:rsidR="00EA55D3" w:rsidRPr="00EA55D3" w14:paraId="0953FE5B" w14:textId="77777777" w:rsidTr="00D24693">
        <w:trPr>
          <w:trHeight w:val="307"/>
        </w:trPr>
        <w:tc>
          <w:tcPr>
            <w:tcW w:w="2049" w:type="dxa"/>
            <w:tcBorders>
              <w:top w:val="nil"/>
              <w:left w:val="single" w:sz="4" w:space="0" w:color="auto"/>
              <w:bottom w:val="single" w:sz="4" w:space="0" w:color="auto"/>
              <w:right w:val="single" w:sz="4" w:space="0" w:color="auto"/>
            </w:tcBorders>
            <w:shd w:val="clear" w:color="auto" w:fill="auto"/>
            <w:vAlign w:val="center"/>
            <w:hideMark/>
          </w:tcPr>
          <w:p w14:paraId="3DA63438"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Poor</w:t>
            </w:r>
          </w:p>
        </w:tc>
        <w:tc>
          <w:tcPr>
            <w:tcW w:w="1430" w:type="dxa"/>
            <w:tcBorders>
              <w:top w:val="nil"/>
              <w:left w:val="nil"/>
              <w:bottom w:val="single" w:sz="4" w:space="0" w:color="auto"/>
              <w:right w:val="single" w:sz="4" w:space="0" w:color="auto"/>
            </w:tcBorders>
            <w:shd w:val="clear" w:color="auto" w:fill="auto"/>
            <w:vAlign w:val="center"/>
            <w:hideMark/>
          </w:tcPr>
          <w:p w14:paraId="2C2E1E5D"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500-600</w:t>
            </w:r>
          </w:p>
        </w:tc>
        <w:tc>
          <w:tcPr>
            <w:tcW w:w="1538" w:type="dxa"/>
            <w:tcBorders>
              <w:top w:val="nil"/>
              <w:left w:val="nil"/>
              <w:bottom w:val="single" w:sz="4" w:space="0" w:color="auto"/>
              <w:right w:val="single" w:sz="4" w:space="0" w:color="auto"/>
            </w:tcBorders>
            <w:shd w:val="clear" w:color="auto" w:fill="auto"/>
            <w:vAlign w:val="center"/>
            <w:hideMark/>
          </w:tcPr>
          <w:p w14:paraId="004F9D59" w14:textId="77777777" w:rsidR="00EA55D3" w:rsidRPr="00EA55D3" w:rsidRDefault="00EA55D3" w:rsidP="00EA55D3">
            <w:pPr>
              <w:spacing w:after="0" w:line="240" w:lineRule="auto"/>
              <w:jc w:val="right"/>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21%</w:t>
            </w:r>
          </w:p>
        </w:tc>
      </w:tr>
      <w:tr w:rsidR="00EA55D3" w:rsidRPr="00EA55D3" w14:paraId="506E9085" w14:textId="77777777" w:rsidTr="00D24693">
        <w:trPr>
          <w:trHeight w:val="307"/>
        </w:trPr>
        <w:tc>
          <w:tcPr>
            <w:tcW w:w="2049" w:type="dxa"/>
            <w:tcBorders>
              <w:top w:val="nil"/>
              <w:left w:val="single" w:sz="4" w:space="0" w:color="auto"/>
              <w:bottom w:val="single" w:sz="4" w:space="0" w:color="auto"/>
              <w:right w:val="single" w:sz="4" w:space="0" w:color="auto"/>
            </w:tcBorders>
            <w:shd w:val="clear" w:color="auto" w:fill="auto"/>
            <w:vAlign w:val="center"/>
            <w:hideMark/>
          </w:tcPr>
          <w:p w14:paraId="7651A42D"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Fair</w:t>
            </w:r>
          </w:p>
        </w:tc>
        <w:tc>
          <w:tcPr>
            <w:tcW w:w="1430" w:type="dxa"/>
            <w:tcBorders>
              <w:top w:val="nil"/>
              <w:left w:val="nil"/>
              <w:bottom w:val="single" w:sz="4" w:space="0" w:color="auto"/>
              <w:right w:val="single" w:sz="4" w:space="0" w:color="auto"/>
            </w:tcBorders>
            <w:shd w:val="clear" w:color="auto" w:fill="auto"/>
            <w:vAlign w:val="center"/>
            <w:hideMark/>
          </w:tcPr>
          <w:p w14:paraId="351446A1"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601-660</w:t>
            </w:r>
          </w:p>
        </w:tc>
        <w:tc>
          <w:tcPr>
            <w:tcW w:w="1538" w:type="dxa"/>
            <w:tcBorders>
              <w:top w:val="nil"/>
              <w:left w:val="nil"/>
              <w:bottom w:val="single" w:sz="4" w:space="0" w:color="auto"/>
              <w:right w:val="single" w:sz="4" w:space="0" w:color="auto"/>
            </w:tcBorders>
            <w:shd w:val="clear" w:color="auto" w:fill="auto"/>
            <w:vAlign w:val="center"/>
            <w:hideMark/>
          </w:tcPr>
          <w:p w14:paraId="65E65598" w14:textId="77777777" w:rsidR="00EA55D3" w:rsidRPr="00EA55D3" w:rsidRDefault="00EA55D3" w:rsidP="00EA55D3">
            <w:pPr>
              <w:spacing w:after="0" w:line="240" w:lineRule="auto"/>
              <w:jc w:val="right"/>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13%</w:t>
            </w:r>
          </w:p>
        </w:tc>
      </w:tr>
      <w:tr w:rsidR="00EA55D3" w:rsidRPr="00EA55D3" w14:paraId="7182E428" w14:textId="77777777" w:rsidTr="00D24693">
        <w:trPr>
          <w:trHeight w:val="307"/>
        </w:trPr>
        <w:tc>
          <w:tcPr>
            <w:tcW w:w="2049" w:type="dxa"/>
            <w:tcBorders>
              <w:top w:val="nil"/>
              <w:left w:val="single" w:sz="4" w:space="0" w:color="auto"/>
              <w:bottom w:val="single" w:sz="4" w:space="0" w:color="auto"/>
              <w:right w:val="single" w:sz="4" w:space="0" w:color="auto"/>
            </w:tcBorders>
            <w:shd w:val="clear" w:color="auto" w:fill="auto"/>
            <w:vAlign w:val="center"/>
            <w:hideMark/>
          </w:tcPr>
          <w:p w14:paraId="3CAB1229"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Good</w:t>
            </w:r>
          </w:p>
        </w:tc>
        <w:tc>
          <w:tcPr>
            <w:tcW w:w="1430" w:type="dxa"/>
            <w:tcBorders>
              <w:top w:val="nil"/>
              <w:left w:val="nil"/>
              <w:bottom w:val="single" w:sz="4" w:space="0" w:color="auto"/>
              <w:right w:val="single" w:sz="4" w:space="0" w:color="auto"/>
            </w:tcBorders>
            <w:shd w:val="clear" w:color="auto" w:fill="auto"/>
            <w:vAlign w:val="center"/>
            <w:hideMark/>
          </w:tcPr>
          <w:p w14:paraId="09E4928E"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661-780</w:t>
            </w:r>
          </w:p>
        </w:tc>
        <w:tc>
          <w:tcPr>
            <w:tcW w:w="1538" w:type="dxa"/>
            <w:tcBorders>
              <w:top w:val="nil"/>
              <w:left w:val="nil"/>
              <w:bottom w:val="single" w:sz="4" w:space="0" w:color="auto"/>
              <w:right w:val="single" w:sz="4" w:space="0" w:color="auto"/>
            </w:tcBorders>
            <w:shd w:val="clear" w:color="auto" w:fill="auto"/>
            <w:vAlign w:val="center"/>
            <w:hideMark/>
          </w:tcPr>
          <w:p w14:paraId="20D6F507" w14:textId="77777777" w:rsidR="00EA55D3" w:rsidRPr="00EA55D3" w:rsidRDefault="00EA55D3" w:rsidP="00EA55D3">
            <w:pPr>
              <w:spacing w:after="0" w:line="240" w:lineRule="auto"/>
              <w:jc w:val="right"/>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38%</w:t>
            </w:r>
          </w:p>
        </w:tc>
      </w:tr>
      <w:tr w:rsidR="00EA55D3" w:rsidRPr="00EA55D3" w14:paraId="15CDE0BB" w14:textId="77777777" w:rsidTr="00D24693">
        <w:trPr>
          <w:trHeight w:val="307"/>
        </w:trPr>
        <w:tc>
          <w:tcPr>
            <w:tcW w:w="2049" w:type="dxa"/>
            <w:tcBorders>
              <w:top w:val="nil"/>
              <w:left w:val="single" w:sz="4" w:space="0" w:color="auto"/>
              <w:bottom w:val="single" w:sz="4" w:space="0" w:color="auto"/>
              <w:right w:val="single" w:sz="4" w:space="0" w:color="auto"/>
            </w:tcBorders>
            <w:shd w:val="clear" w:color="auto" w:fill="auto"/>
            <w:vAlign w:val="center"/>
            <w:hideMark/>
          </w:tcPr>
          <w:p w14:paraId="4577D1D6"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Excellent</w:t>
            </w:r>
          </w:p>
        </w:tc>
        <w:tc>
          <w:tcPr>
            <w:tcW w:w="1430" w:type="dxa"/>
            <w:tcBorders>
              <w:top w:val="nil"/>
              <w:left w:val="nil"/>
              <w:bottom w:val="single" w:sz="4" w:space="0" w:color="auto"/>
              <w:right w:val="single" w:sz="4" w:space="0" w:color="auto"/>
            </w:tcBorders>
            <w:shd w:val="clear" w:color="auto" w:fill="auto"/>
            <w:vAlign w:val="center"/>
            <w:hideMark/>
          </w:tcPr>
          <w:p w14:paraId="20B9C999" w14:textId="77777777" w:rsidR="00EA55D3" w:rsidRPr="00EA55D3" w:rsidRDefault="00EA55D3" w:rsidP="00EA55D3">
            <w:pPr>
              <w:spacing w:after="0" w:line="240" w:lineRule="auto"/>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781-850</w:t>
            </w:r>
          </w:p>
        </w:tc>
        <w:tc>
          <w:tcPr>
            <w:tcW w:w="1538" w:type="dxa"/>
            <w:tcBorders>
              <w:top w:val="nil"/>
              <w:left w:val="nil"/>
              <w:bottom w:val="single" w:sz="4" w:space="0" w:color="auto"/>
              <w:right w:val="single" w:sz="4" w:space="0" w:color="auto"/>
            </w:tcBorders>
            <w:shd w:val="clear" w:color="auto" w:fill="auto"/>
            <w:vAlign w:val="center"/>
            <w:hideMark/>
          </w:tcPr>
          <w:p w14:paraId="1277B7AB" w14:textId="77777777" w:rsidR="00EA55D3" w:rsidRPr="00EA55D3" w:rsidRDefault="00EA55D3" w:rsidP="00EA55D3">
            <w:pPr>
              <w:spacing w:after="0" w:line="240" w:lineRule="auto"/>
              <w:jc w:val="right"/>
              <w:rPr>
                <w:rStyle w:val="Strong"/>
                <w:rFonts w:ascii="Times New Roman" w:hAnsi="Times New Roman" w:cs="Times New Roman"/>
                <w:b w:val="0"/>
                <w:bCs w:val="0"/>
                <w:color w:val="000000" w:themeColor="text1"/>
                <w:sz w:val="24"/>
                <w:szCs w:val="24"/>
                <w:lang w:eastAsia="en-IN"/>
              </w:rPr>
            </w:pPr>
            <w:r w:rsidRPr="00EA55D3">
              <w:rPr>
                <w:rStyle w:val="Strong"/>
                <w:rFonts w:ascii="Times New Roman" w:hAnsi="Times New Roman" w:cs="Times New Roman"/>
                <w:b w:val="0"/>
                <w:bCs w:val="0"/>
                <w:color w:val="000000" w:themeColor="text1"/>
                <w:sz w:val="24"/>
                <w:szCs w:val="24"/>
                <w:lang w:eastAsia="en-IN"/>
              </w:rPr>
              <w:t>23%</w:t>
            </w:r>
          </w:p>
        </w:tc>
      </w:tr>
    </w:tbl>
    <w:p w14:paraId="14633E95" w14:textId="31BD6479" w:rsidR="00EA55D3" w:rsidRPr="00EA55D3" w:rsidRDefault="00EA55D3" w:rsidP="00EA55D3">
      <w:pPr>
        <w:spacing w:before="100" w:beforeAutospacing="1" w:after="100" w:afterAutospacing="1" w:line="240" w:lineRule="auto"/>
        <w:ind w:left="720"/>
        <w:rPr>
          <w:rStyle w:val="Strong"/>
          <w:rFonts w:ascii="Times New Roman" w:hAnsi="Times New Roman" w:cs="Times New Roman"/>
          <w:b w:val="0"/>
          <w:bCs w:val="0"/>
          <w:color w:val="000000" w:themeColor="text1"/>
          <w:sz w:val="24"/>
          <w:szCs w:val="24"/>
        </w:rPr>
      </w:pPr>
      <w:r w:rsidRPr="00EA55D3">
        <w:rPr>
          <w:rStyle w:val="Strong"/>
          <w:rFonts w:ascii="Times New Roman" w:hAnsi="Times New Roman" w:cs="Times New Roman"/>
          <w:b w:val="0"/>
          <w:bCs w:val="0"/>
          <w:color w:val="000000" w:themeColor="text1"/>
          <w:sz w:val="24"/>
          <w:szCs w:val="24"/>
        </w:rPr>
        <w:drawing>
          <wp:anchor distT="0" distB="0" distL="114300" distR="114300" simplePos="0" relativeHeight="251659264" behindDoc="0" locked="0" layoutInCell="1" allowOverlap="1" wp14:anchorId="360A0132" wp14:editId="0BCA05AA">
            <wp:simplePos x="0" y="0"/>
            <wp:positionH relativeFrom="column">
              <wp:posOffset>749300</wp:posOffset>
            </wp:positionH>
            <wp:positionV relativeFrom="paragraph">
              <wp:posOffset>436880</wp:posOffset>
            </wp:positionV>
            <wp:extent cx="4447540" cy="2528570"/>
            <wp:effectExtent l="0" t="0" r="10160" b="5080"/>
            <wp:wrapSquare wrapText="bothSides"/>
            <wp:docPr id="1130601462" name="Chart 1">
              <a:extLst xmlns:a="http://schemas.openxmlformats.org/drawingml/2006/main">
                <a:ext uri="{FF2B5EF4-FFF2-40B4-BE49-F238E27FC236}">
                  <a16:creationId xmlns:a16="http://schemas.microsoft.com/office/drawing/2014/main" id="{697C96D2-1461-C7C1-9D27-00453AB019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37F705B4" w14:textId="374DA8AB" w:rsidR="00EA55D3" w:rsidRPr="00EA55D3" w:rsidRDefault="00EA55D3" w:rsidP="00EA55D3">
      <w:pPr>
        <w:spacing w:before="100" w:beforeAutospacing="1" w:after="100" w:afterAutospacing="1" w:line="240" w:lineRule="auto"/>
        <w:ind w:left="720"/>
        <w:rPr>
          <w:rStyle w:val="Strong"/>
          <w:rFonts w:ascii="Times New Roman" w:hAnsi="Times New Roman" w:cs="Times New Roman"/>
          <w:b w:val="0"/>
          <w:bCs w:val="0"/>
          <w:color w:val="000000" w:themeColor="text1"/>
          <w:sz w:val="24"/>
          <w:szCs w:val="24"/>
        </w:rPr>
      </w:pPr>
    </w:p>
    <w:sectPr w:rsidR="00EA55D3" w:rsidRPr="00EA5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6D83"/>
    <w:multiLevelType w:val="multilevel"/>
    <w:tmpl w:val="2112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C254A"/>
    <w:multiLevelType w:val="hybridMultilevel"/>
    <w:tmpl w:val="71F67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AE594F"/>
    <w:multiLevelType w:val="hybridMultilevel"/>
    <w:tmpl w:val="D592D9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0879A9"/>
    <w:multiLevelType w:val="multilevel"/>
    <w:tmpl w:val="39A6F508"/>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4" w15:restartNumberingAfterBreak="0">
    <w:nsid w:val="5C043C88"/>
    <w:multiLevelType w:val="hybridMultilevel"/>
    <w:tmpl w:val="2D9C0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94593D"/>
    <w:multiLevelType w:val="multilevel"/>
    <w:tmpl w:val="86D8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498601">
    <w:abstractNumId w:val="0"/>
  </w:num>
  <w:num w:numId="2" w16cid:durableId="2035687619">
    <w:abstractNumId w:val="3"/>
  </w:num>
  <w:num w:numId="3" w16cid:durableId="2064213509">
    <w:abstractNumId w:val="5"/>
  </w:num>
  <w:num w:numId="4" w16cid:durableId="2040010417">
    <w:abstractNumId w:val="1"/>
  </w:num>
  <w:num w:numId="5" w16cid:durableId="1561095677">
    <w:abstractNumId w:val="4"/>
  </w:num>
  <w:num w:numId="6" w16cid:durableId="2902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DA"/>
    <w:rsid w:val="00001581"/>
    <w:rsid w:val="00392AE7"/>
    <w:rsid w:val="003C12C2"/>
    <w:rsid w:val="005A58CE"/>
    <w:rsid w:val="00B915DA"/>
    <w:rsid w:val="00B95104"/>
    <w:rsid w:val="00D24693"/>
    <w:rsid w:val="00EA5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BF0F"/>
  <w15:chartTrackingRefBased/>
  <w15:docId w15:val="{AC4AFB1A-ABA0-4D15-86C5-E92E8646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15DA"/>
    <w:rPr>
      <w:color w:val="0000FF"/>
      <w:u w:val="single"/>
    </w:rPr>
  </w:style>
  <w:style w:type="paragraph" w:styleId="NormalWeb">
    <w:name w:val="Normal (Web)"/>
    <w:basedOn w:val="Normal"/>
    <w:uiPriority w:val="99"/>
    <w:semiHidden/>
    <w:unhideWhenUsed/>
    <w:rsid w:val="00B915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15DA"/>
    <w:rPr>
      <w:b/>
      <w:bCs/>
    </w:rPr>
  </w:style>
  <w:style w:type="paragraph" w:styleId="Subtitle">
    <w:name w:val="Subtitle"/>
    <w:basedOn w:val="Normal"/>
    <w:next w:val="Normal"/>
    <w:link w:val="SubtitleChar"/>
    <w:uiPriority w:val="11"/>
    <w:qFormat/>
    <w:rsid w:val="00EA55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55D3"/>
    <w:rPr>
      <w:rFonts w:eastAsiaTheme="minorEastAsia"/>
      <w:color w:val="5A5A5A" w:themeColor="text1" w:themeTint="A5"/>
      <w:spacing w:val="15"/>
    </w:rPr>
  </w:style>
  <w:style w:type="paragraph" w:styleId="ListParagraph">
    <w:name w:val="List Paragraph"/>
    <w:basedOn w:val="Normal"/>
    <w:uiPriority w:val="34"/>
    <w:qFormat/>
    <w:rsid w:val="00EA5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17091">
      <w:bodyDiv w:val="1"/>
      <w:marLeft w:val="0"/>
      <w:marRight w:val="0"/>
      <w:marTop w:val="0"/>
      <w:marBottom w:val="0"/>
      <w:divBdr>
        <w:top w:val="none" w:sz="0" w:space="0" w:color="auto"/>
        <w:left w:val="none" w:sz="0" w:space="0" w:color="auto"/>
        <w:bottom w:val="none" w:sz="0" w:space="0" w:color="auto"/>
        <w:right w:val="none" w:sz="0" w:space="0" w:color="auto"/>
      </w:divBdr>
    </w:div>
    <w:div w:id="412820530">
      <w:bodyDiv w:val="1"/>
      <w:marLeft w:val="0"/>
      <w:marRight w:val="0"/>
      <w:marTop w:val="0"/>
      <w:marBottom w:val="0"/>
      <w:divBdr>
        <w:top w:val="none" w:sz="0" w:space="0" w:color="auto"/>
        <w:left w:val="none" w:sz="0" w:space="0" w:color="auto"/>
        <w:bottom w:val="none" w:sz="0" w:space="0" w:color="auto"/>
        <w:right w:val="none" w:sz="0" w:space="0" w:color="auto"/>
      </w:divBdr>
    </w:div>
    <w:div w:id="508640312">
      <w:bodyDiv w:val="1"/>
      <w:marLeft w:val="0"/>
      <w:marRight w:val="0"/>
      <w:marTop w:val="0"/>
      <w:marBottom w:val="0"/>
      <w:divBdr>
        <w:top w:val="none" w:sz="0" w:space="0" w:color="auto"/>
        <w:left w:val="none" w:sz="0" w:space="0" w:color="auto"/>
        <w:bottom w:val="none" w:sz="0" w:space="0" w:color="auto"/>
        <w:right w:val="none" w:sz="0" w:space="0" w:color="auto"/>
      </w:divBdr>
    </w:div>
    <w:div w:id="617640480">
      <w:bodyDiv w:val="1"/>
      <w:marLeft w:val="0"/>
      <w:marRight w:val="0"/>
      <w:marTop w:val="0"/>
      <w:marBottom w:val="0"/>
      <w:divBdr>
        <w:top w:val="none" w:sz="0" w:space="0" w:color="auto"/>
        <w:left w:val="none" w:sz="0" w:space="0" w:color="auto"/>
        <w:bottom w:val="none" w:sz="0" w:space="0" w:color="auto"/>
        <w:right w:val="none" w:sz="0" w:space="0" w:color="auto"/>
      </w:divBdr>
    </w:div>
    <w:div w:id="998658293">
      <w:bodyDiv w:val="1"/>
      <w:marLeft w:val="0"/>
      <w:marRight w:val="0"/>
      <w:marTop w:val="0"/>
      <w:marBottom w:val="0"/>
      <w:divBdr>
        <w:top w:val="none" w:sz="0" w:space="0" w:color="auto"/>
        <w:left w:val="none" w:sz="0" w:space="0" w:color="auto"/>
        <w:bottom w:val="none" w:sz="0" w:space="0" w:color="auto"/>
        <w:right w:val="none" w:sz="0" w:space="0" w:color="auto"/>
      </w:divBdr>
    </w:div>
    <w:div w:id="1228344784">
      <w:bodyDiv w:val="1"/>
      <w:marLeft w:val="0"/>
      <w:marRight w:val="0"/>
      <w:marTop w:val="0"/>
      <w:marBottom w:val="0"/>
      <w:divBdr>
        <w:top w:val="none" w:sz="0" w:space="0" w:color="auto"/>
        <w:left w:val="none" w:sz="0" w:space="0" w:color="auto"/>
        <w:bottom w:val="none" w:sz="0" w:space="0" w:color="auto"/>
        <w:right w:val="none" w:sz="0" w:space="0" w:color="auto"/>
      </w:divBdr>
    </w:div>
    <w:div w:id="1310206984">
      <w:bodyDiv w:val="1"/>
      <w:marLeft w:val="0"/>
      <w:marRight w:val="0"/>
      <w:marTop w:val="0"/>
      <w:marBottom w:val="0"/>
      <w:divBdr>
        <w:top w:val="none" w:sz="0" w:space="0" w:color="auto"/>
        <w:left w:val="none" w:sz="0" w:space="0" w:color="auto"/>
        <w:bottom w:val="none" w:sz="0" w:space="0" w:color="auto"/>
        <w:right w:val="none" w:sz="0" w:space="0" w:color="auto"/>
      </w:divBdr>
    </w:div>
    <w:div w:id="1334993143">
      <w:bodyDiv w:val="1"/>
      <w:marLeft w:val="0"/>
      <w:marRight w:val="0"/>
      <w:marTop w:val="0"/>
      <w:marBottom w:val="0"/>
      <w:divBdr>
        <w:top w:val="none" w:sz="0" w:space="0" w:color="auto"/>
        <w:left w:val="none" w:sz="0" w:space="0" w:color="auto"/>
        <w:bottom w:val="none" w:sz="0" w:space="0" w:color="auto"/>
        <w:right w:val="none" w:sz="0" w:space="0" w:color="auto"/>
      </w:divBdr>
    </w:div>
    <w:div w:id="169989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lstreetmojo.com/creditor/" TargetMode="External"/><Relationship Id="rId13" Type="http://schemas.openxmlformats.org/officeDocument/2006/relationships/hyperlink" Target="https://www.wallstreetmojo.com/fico-score/" TargetMode="External"/><Relationship Id="rId3" Type="http://schemas.openxmlformats.org/officeDocument/2006/relationships/settings" Target="settings.xml"/><Relationship Id="rId7" Type="http://schemas.openxmlformats.org/officeDocument/2006/relationships/hyperlink" Target="https://www.wallstreetmojo.com/credit-rating-agencies/" TargetMode="External"/><Relationship Id="rId12" Type="http://schemas.openxmlformats.org/officeDocument/2006/relationships/hyperlink" Target="https://www.wallstreetmojo.com/probability-of-defaul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allstreetmojo.com/predictive-analytics/" TargetMode="External"/><Relationship Id="rId11" Type="http://schemas.openxmlformats.org/officeDocument/2006/relationships/chart" Target="charts/chart1.xml"/><Relationship Id="rId5" Type="http://schemas.openxmlformats.org/officeDocument/2006/relationships/hyperlink" Target="https://www.wallstreetmojo.com/lender/" TargetMode="External"/><Relationship Id="rId15" Type="http://schemas.openxmlformats.org/officeDocument/2006/relationships/fontTable" Target="fontTable.xml"/><Relationship Id="rId10" Type="http://schemas.openxmlformats.org/officeDocument/2006/relationships/hyperlink" Target="https://www.bankrate.com/finance/credit-cards/credit-denial-survey/" TargetMode="External"/><Relationship Id="rId4" Type="http://schemas.openxmlformats.org/officeDocument/2006/relationships/webSettings" Target="webSettings.xml"/><Relationship Id="rId9" Type="http://schemas.openxmlformats.org/officeDocument/2006/relationships/hyperlink" Target="https://www.wallstreetmojo.com/credit-score/"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25641809423153727"/>
          <c:y val="0.18812312721329338"/>
          <c:w val="0.48716352316425565"/>
          <c:h val="0.72470716426041948"/>
        </c:manualLayout>
      </c:layout>
      <c:pieChart>
        <c:varyColors val="1"/>
        <c:ser>
          <c:idx val="0"/>
          <c:order val="0"/>
          <c:tx>
            <c:strRef>
              <c:f>Sheet1!$C$41</c:f>
              <c:strCache>
                <c:ptCount val="1"/>
                <c:pt idx="0">
                  <c:v>Percentage</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9354-4707-B436-9FCCC616746F}"/>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9354-4707-B436-9FCCC616746F}"/>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9354-4707-B436-9FCCC616746F}"/>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9354-4707-B436-9FCCC616746F}"/>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9354-4707-B436-9FCCC616746F}"/>
              </c:ext>
            </c:extLst>
          </c:dPt>
          <c:dLbls>
            <c:dLbl>
              <c:idx val="0"/>
              <c:layout>
                <c:manualLayout>
                  <c:x val="-0.12554807561433123"/>
                  <c:y val="0.17872300180354547"/>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3743294257897873"/>
                      <c:h val="0.20086614173228345"/>
                    </c:manualLayout>
                  </c15:layout>
                </c:ext>
                <c:ext xmlns:c16="http://schemas.microsoft.com/office/drawing/2014/chart" uri="{C3380CC4-5D6E-409C-BE32-E72D297353CC}">
                  <c16:uniqueId val="{00000001-9354-4707-B436-9FCCC616746F}"/>
                </c:ext>
              </c:extLst>
            </c:dLbl>
            <c:dLbl>
              <c:idx val="1"/>
              <c:layout>
                <c:manualLayout>
                  <c:x val="-0.16422352630121512"/>
                  <c:y val="1.3108916553028586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22698191933240611"/>
                      <c:h val="0.18410636519597059"/>
                    </c:manualLayout>
                  </c15:layout>
                </c:ext>
                <c:ext xmlns:c16="http://schemas.microsoft.com/office/drawing/2014/chart" uri="{C3380CC4-5D6E-409C-BE32-E72D297353CC}">
                  <c16:uniqueId val="{00000003-9354-4707-B436-9FCCC616746F}"/>
                </c:ext>
              </c:extLst>
            </c:dLbl>
            <c:dLbl>
              <c:idx val="2"/>
              <c:layout>
                <c:manualLayout>
                  <c:x val="-0.12192869641294839"/>
                  <c:y val="-0.14174504228638088"/>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354-4707-B436-9FCCC616746F}"/>
                </c:ext>
              </c:extLst>
            </c:dLbl>
            <c:dLbl>
              <c:idx val="4"/>
              <c:layout>
                <c:manualLayout>
                  <c:x val="0.13802228128994304"/>
                  <c:y val="0.1993775568556723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34491224062917031"/>
                      <c:h val="0.16645845246997756"/>
                    </c:manualLayout>
                  </c15:layout>
                </c:ext>
                <c:ext xmlns:c16="http://schemas.microsoft.com/office/drawing/2014/chart" uri="{C3380CC4-5D6E-409C-BE32-E72D297353CC}">
                  <c16:uniqueId val="{00000009-9354-4707-B436-9FCCC616746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Sheet1!$A$42:$B$46</c:f>
              <c:multiLvlStrCache>
                <c:ptCount val="5"/>
                <c:lvl>
                  <c:pt idx="0">
                    <c:v>300-579</c:v>
                  </c:pt>
                  <c:pt idx="1">
                    <c:v>580-669</c:v>
                  </c:pt>
                  <c:pt idx="2">
                    <c:v>670-739</c:v>
                  </c:pt>
                  <c:pt idx="3">
                    <c:v>740-799</c:v>
                  </c:pt>
                  <c:pt idx="4">
                    <c:v>800-850</c:v>
                  </c:pt>
                </c:lvl>
                <c:lvl>
                  <c:pt idx="0">
                    <c:v>Poor</c:v>
                  </c:pt>
                  <c:pt idx="1">
                    <c:v>Fair</c:v>
                  </c:pt>
                  <c:pt idx="2">
                    <c:v>Good</c:v>
                  </c:pt>
                  <c:pt idx="3">
                    <c:v>Very Good</c:v>
                  </c:pt>
                  <c:pt idx="4">
                    <c:v>Exceptional</c:v>
                  </c:pt>
                </c:lvl>
              </c:multiLvlStrCache>
            </c:multiLvlStrRef>
          </c:cat>
          <c:val>
            <c:numRef>
              <c:f>Sheet1!$C$42:$C$46</c:f>
              <c:numCache>
                <c:formatCode>0%</c:formatCode>
                <c:ptCount val="5"/>
                <c:pt idx="0">
                  <c:v>0.16</c:v>
                </c:pt>
                <c:pt idx="1">
                  <c:v>0.17</c:v>
                </c:pt>
                <c:pt idx="2">
                  <c:v>0.21</c:v>
                </c:pt>
                <c:pt idx="3">
                  <c:v>0.25</c:v>
                </c:pt>
                <c:pt idx="4">
                  <c:v>0.21</c:v>
                </c:pt>
              </c:numCache>
            </c:numRef>
          </c:val>
          <c:extLst>
            <c:ext xmlns:c16="http://schemas.microsoft.com/office/drawing/2014/chart" uri="{C3380CC4-5D6E-409C-BE32-E72D297353CC}">
              <c16:uniqueId val="{0000000A-9354-4707-B436-9FCCC616746F}"/>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Sheet1!$C$59</c:f>
              <c:strCache>
                <c:ptCount val="1"/>
                <c:pt idx="0">
                  <c:v>Percentage</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2610-4078-8E40-EBBAD8632017}"/>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2610-4078-8E40-EBBAD8632017}"/>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2610-4078-8E40-EBBAD8632017}"/>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2610-4078-8E40-EBBAD8632017}"/>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2610-4078-8E40-EBBAD8632017}"/>
              </c:ext>
            </c:extLst>
          </c:dPt>
          <c:dLbls>
            <c:dLbl>
              <c:idx val="0"/>
              <c:layout>
                <c:manualLayout>
                  <c:x val="-2.1769247594050745E-2"/>
                  <c:y val="9.0746937882764639E-2"/>
                </c:manualLayout>
              </c:layout>
              <c:spPr>
                <a:gradFill>
                  <a:gsLst>
                    <a:gs pos="0">
                      <a:srgbClr val="4472C4">
                        <a:lumMod val="5000"/>
                        <a:lumOff val="95000"/>
                      </a:srgbClr>
                    </a:gs>
                    <a:gs pos="74000">
                      <a:srgbClr val="4472C4">
                        <a:lumMod val="45000"/>
                        <a:lumOff val="55000"/>
                      </a:srgbClr>
                    </a:gs>
                    <a:gs pos="83000">
                      <a:srgbClr val="4472C4">
                        <a:lumMod val="45000"/>
                        <a:lumOff val="55000"/>
                      </a:srgbClr>
                    </a:gs>
                    <a:gs pos="100000">
                      <a:srgbClr val="4472C4">
                        <a:lumMod val="30000"/>
                        <a:lumOff val="70000"/>
                      </a:srgbClr>
                    </a:gs>
                  </a:gsLst>
                  <a:lin ang="5400000" scaled="1"/>
                </a:gra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2549059492563428"/>
                      <c:h val="0.13104695246427531"/>
                    </c:manualLayout>
                  </c15:layout>
                </c:ext>
                <c:ext xmlns:c16="http://schemas.microsoft.com/office/drawing/2014/chart" uri="{C3380CC4-5D6E-409C-BE32-E72D297353CC}">
                  <c16:uniqueId val="{00000001-2610-4078-8E40-EBBAD8632017}"/>
                </c:ext>
              </c:extLst>
            </c:dLbl>
            <c:dLbl>
              <c:idx val="1"/>
              <c:layout>
                <c:manualLayout>
                  <c:x val="-7.5295713035870612E-2"/>
                  <c:y val="0.10998687664041995"/>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2610-4078-8E40-EBBAD8632017}"/>
                </c:ext>
              </c:extLst>
            </c:dLbl>
            <c:dLbl>
              <c:idx val="2"/>
              <c:layout>
                <c:manualLayout>
                  <c:x val="-0.11229833770778652"/>
                  <c:y val="-9.8094196558763488E-2"/>
                </c:manualLayout>
              </c:layout>
              <c:spPr>
                <a:gradFill>
                  <a:gsLst>
                    <a:gs pos="0">
                      <a:srgbClr val="4472C4">
                        <a:lumMod val="5000"/>
                        <a:lumOff val="95000"/>
                      </a:srgbClr>
                    </a:gs>
                    <a:gs pos="74000">
                      <a:srgbClr val="4472C4">
                        <a:lumMod val="45000"/>
                        <a:lumOff val="55000"/>
                      </a:srgbClr>
                    </a:gs>
                    <a:gs pos="83000">
                      <a:srgbClr val="4472C4">
                        <a:lumMod val="45000"/>
                        <a:lumOff val="55000"/>
                      </a:srgbClr>
                    </a:gs>
                    <a:gs pos="100000">
                      <a:srgbClr val="4472C4">
                        <a:lumMod val="30000"/>
                        <a:lumOff val="70000"/>
                      </a:srgbClr>
                    </a:gs>
                  </a:gsLst>
                  <a:lin ang="5400000" scaled="1"/>
                </a:gra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7029396325459317"/>
                      <c:h val="0.13061971420239138"/>
                    </c:manualLayout>
                  </c15:layout>
                </c:ext>
                <c:ext xmlns:c16="http://schemas.microsoft.com/office/drawing/2014/chart" uri="{C3380CC4-5D6E-409C-BE32-E72D297353CC}">
                  <c16:uniqueId val="{00000005-2610-4078-8E40-EBBAD8632017}"/>
                </c:ext>
              </c:extLst>
            </c:dLbl>
            <c:dLbl>
              <c:idx val="3"/>
              <c:layout>
                <c:manualLayout>
                  <c:x val="9.5351049868766399E-2"/>
                  <c:y val="-0.16166265675123942"/>
                </c:manualLayout>
              </c:layout>
              <c:spPr>
                <a:gradFill flip="none" rotWithShape="1">
                  <a:gsLst>
                    <a:gs pos="0">
                      <a:srgbClr val="4472C4">
                        <a:lumMod val="5000"/>
                        <a:lumOff val="95000"/>
                      </a:srgbClr>
                    </a:gs>
                    <a:gs pos="74000">
                      <a:srgbClr val="4472C4">
                        <a:lumMod val="45000"/>
                        <a:lumOff val="55000"/>
                      </a:srgbClr>
                    </a:gs>
                    <a:gs pos="83000">
                      <a:srgbClr val="4472C4">
                        <a:lumMod val="45000"/>
                        <a:lumOff val="55000"/>
                      </a:srgbClr>
                    </a:gs>
                    <a:gs pos="100000">
                      <a:srgbClr val="4472C4">
                        <a:lumMod val="30000"/>
                        <a:lumOff val="70000"/>
                      </a:srgbClr>
                    </a:gs>
                  </a:gsLst>
                  <a:lin ang="5400000" scaled="1"/>
                  <a:tileRect/>
                </a:gra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4343"/>
                        <a:gd name="adj2" fmla="val 37647"/>
                      </a:avLst>
                    </a:prstGeom>
                    <a:noFill/>
                    <a:ln>
                      <a:noFill/>
                    </a:ln>
                  </c15:spPr>
                </c:ext>
                <c:ext xmlns:c16="http://schemas.microsoft.com/office/drawing/2014/chart" uri="{C3380CC4-5D6E-409C-BE32-E72D297353CC}">
                  <c16:uniqueId val="{00000007-2610-4078-8E40-EBBAD8632017}"/>
                </c:ext>
              </c:extLst>
            </c:dLbl>
            <c:dLbl>
              <c:idx val="4"/>
              <c:layout>
                <c:manualLayout>
                  <c:x val="9.3132545931758473E-2"/>
                  <c:y val="0.19442038495188102"/>
                </c:manualLayout>
              </c:layout>
              <c:spPr>
                <a:gradFill flip="none" rotWithShape="1">
                  <a:gsLst>
                    <a:gs pos="0">
                      <a:srgbClr val="4472C4">
                        <a:lumMod val="5000"/>
                        <a:lumOff val="95000"/>
                      </a:srgbClr>
                    </a:gs>
                    <a:gs pos="74000">
                      <a:srgbClr val="4472C4">
                        <a:lumMod val="45000"/>
                        <a:lumOff val="55000"/>
                      </a:srgbClr>
                    </a:gs>
                    <a:gs pos="83000">
                      <a:srgbClr val="4472C4">
                        <a:lumMod val="45000"/>
                        <a:lumOff val="55000"/>
                      </a:srgbClr>
                    </a:gs>
                    <a:gs pos="100000">
                      <a:srgbClr val="4472C4">
                        <a:lumMod val="30000"/>
                        <a:lumOff val="70000"/>
                      </a:srgbClr>
                    </a:gs>
                  </a:gsLst>
                  <a:lin ang="5400000" scaled="1"/>
                  <a:tileRect/>
                </a:gra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9422"/>
                        <a:gd name="adj2" fmla="val -44045"/>
                      </a:avLst>
                    </a:prstGeom>
                    <a:noFill/>
                    <a:ln>
                      <a:noFill/>
                    </a:ln>
                  </c15:spPr>
                </c:ext>
                <c:ext xmlns:c16="http://schemas.microsoft.com/office/drawing/2014/chart" uri="{C3380CC4-5D6E-409C-BE32-E72D297353CC}">
                  <c16:uniqueId val="{00000009-2610-4078-8E40-EBBAD8632017}"/>
                </c:ext>
              </c:extLst>
            </c:dLbl>
            <c:spPr>
              <a:gradFill>
                <a:gsLst>
                  <a:gs pos="0">
                    <a:srgbClr val="4472C4">
                      <a:lumMod val="5000"/>
                      <a:lumOff val="95000"/>
                    </a:srgbClr>
                  </a:gs>
                  <a:gs pos="74000">
                    <a:srgbClr val="4472C4">
                      <a:lumMod val="45000"/>
                      <a:lumOff val="55000"/>
                    </a:srgbClr>
                  </a:gs>
                  <a:gs pos="83000">
                    <a:srgbClr val="4472C4">
                      <a:lumMod val="45000"/>
                      <a:lumOff val="55000"/>
                    </a:srgbClr>
                  </a:gs>
                  <a:gs pos="100000">
                    <a:srgbClr val="4472C4">
                      <a:lumMod val="30000"/>
                      <a:lumOff val="70000"/>
                    </a:srgbClr>
                  </a:gs>
                </a:gsLst>
                <a:lin ang="5400000" scaled="1"/>
              </a:gra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multiLvlStrRef>
              <c:f>Sheet1!$A$60:$B$64</c:f>
              <c:multiLvlStrCache>
                <c:ptCount val="5"/>
                <c:lvl>
                  <c:pt idx="0">
                    <c:v>300-499</c:v>
                  </c:pt>
                  <c:pt idx="1">
                    <c:v>500-600</c:v>
                  </c:pt>
                  <c:pt idx="2">
                    <c:v>601-660</c:v>
                  </c:pt>
                  <c:pt idx="3">
                    <c:v>661-780</c:v>
                  </c:pt>
                  <c:pt idx="4">
                    <c:v>781-850</c:v>
                  </c:pt>
                </c:lvl>
                <c:lvl>
                  <c:pt idx="0">
                    <c:v>Very Poor</c:v>
                  </c:pt>
                  <c:pt idx="1">
                    <c:v>Poor</c:v>
                  </c:pt>
                  <c:pt idx="2">
                    <c:v>Fair</c:v>
                  </c:pt>
                  <c:pt idx="3">
                    <c:v>Good</c:v>
                  </c:pt>
                  <c:pt idx="4">
                    <c:v>Excellent</c:v>
                  </c:pt>
                </c:lvl>
              </c:multiLvlStrCache>
            </c:multiLvlStrRef>
          </c:cat>
          <c:val>
            <c:numRef>
              <c:f>Sheet1!$C$60:$C$64</c:f>
              <c:numCache>
                <c:formatCode>0%</c:formatCode>
                <c:ptCount val="5"/>
                <c:pt idx="0">
                  <c:v>0.05</c:v>
                </c:pt>
                <c:pt idx="1">
                  <c:v>0.21</c:v>
                </c:pt>
                <c:pt idx="2">
                  <c:v>0.13</c:v>
                </c:pt>
                <c:pt idx="3">
                  <c:v>0.38</c:v>
                </c:pt>
                <c:pt idx="4">
                  <c:v>0.23</c:v>
                </c:pt>
              </c:numCache>
            </c:numRef>
          </c:val>
          <c:extLst>
            <c:ext xmlns:c16="http://schemas.microsoft.com/office/drawing/2014/chart" uri="{C3380CC4-5D6E-409C-BE32-E72D297353CC}">
              <c16:uniqueId val="{0000000A-2610-4078-8E40-EBBAD8632017}"/>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2024-07-10T06:26:00Z</dcterms:created>
  <dcterms:modified xsi:type="dcterms:W3CDTF">2024-07-10T07:25:00Z</dcterms:modified>
</cp:coreProperties>
</file>