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D187BE" w14:textId="2EC24D6A" w:rsidR="00001581" w:rsidRPr="00E12017" w:rsidRDefault="00D858F4">
      <w:pPr>
        <w:rPr>
          <w:rFonts w:ascii="Times New Roman" w:hAnsi="Times New Roman" w:cs="Times New Roman"/>
          <w:b/>
          <w:bCs/>
          <w:color w:val="000000" w:themeColor="text1"/>
          <w:sz w:val="36"/>
          <w:szCs w:val="36"/>
          <w:u w:val="single"/>
          <w:lang w:val="en-US"/>
        </w:rPr>
      </w:pPr>
      <w:r w:rsidRPr="00E12017">
        <w:rPr>
          <w:rFonts w:ascii="Times New Roman" w:hAnsi="Times New Roman" w:cs="Times New Roman"/>
          <w:b/>
          <w:bCs/>
          <w:color w:val="000000" w:themeColor="text1"/>
          <w:sz w:val="36"/>
          <w:szCs w:val="36"/>
          <w:u w:val="single"/>
          <w:lang w:val="en-US"/>
        </w:rPr>
        <w:t>HELOCs</w:t>
      </w:r>
    </w:p>
    <w:p w14:paraId="50423DE6" w14:textId="5F6A62C3" w:rsidR="00D858F4" w:rsidRPr="00E12017" w:rsidRDefault="00D858F4" w:rsidP="00E12017">
      <w:pPr>
        <w:pStyle w:val="ListParagraph"/>
        <w:numPr>
          <w:ilvl w:val="0"/>
          <w:numId w:val="3"/>
        </w:numPr>
        <w:rPr>
          <w:rFonts w:ascii="Times New Roman" w:hAnsi="Times New Roman" w:cs="Times New Roman"/>
          <w:color w:val="000000" w:themeColor="text1"/>
          <w:spacing w:val="1"/>
          <w:sz w:val="24"/>
          <w:szCs w:val="24"/>
          <w:shd w:val="clear" w:color="auto" w:fill="FFFFFF"/>
        </w:rPr>
      </w:pPr>
      <w:hyperlink r:id="rId5" w:history="1">
        <w:r w:rsidRPr="00E12017">
          <w:rPr>
            <w:rStyle w:val="Hyperlink"/>
            <w:rFonts w:ascii="Times New Roman" w:hAnsi="Times New Roman" w:cs="Times New Roman"/>
            <w:color w:val="000000" w:themeColor="text1"/>
            <w:spacing w:val="1"/>
            <w:sz w:val="24"/>
            <w:szCs w:val="24"/>
            <w:shd w:val="clear" w:color="auto" w:fill="FFFFFF"/>
          </w:rPr>
          <w:t>Home equity loans and HELOCs</w:t>
        </w:r>
      </w:hyperlink>
      <w:r w:rsidRPr="00E12017">
        <w:rPr>
          <w:rFonts w:ascii="Times New Roman" w:hAnsi="Times New Roman" w:cs="Times New Roman"/>
          <w:color w:val="000000" w:themeColor="text1"/>
          <w:spacing w:val="1"/>
          <w:sz w:val="24"/>
          <w:szCs w:val="24"/>
          <w:shd w:val="clear" w:color="auto" w:fill="FFFFFF"/>
        </w:rPr>
        <w:t> both use the equity in your home—that is, the difference between your home's current value and how much you still owe on your mortgage—as collateral. Because they are secured by that </w:t>
      </w:r>
      <w:hyperlink r:id="rId6" w:history="1">
        <w:r w:rsidRPr="00E12017">
          <w:rPr>
            <w:rStyle w:val="Hyperlink"/>
            <w:rFonts w:ascii="Times New Roman" w:hAnsi="Times New Roman" w:cs="Times New Roman"/>
            <w:color w:val="000000" w:themeColor="text1"/>
            <w:spacing w:val="1"/>
            <w:sz w:val="24"/>
            <w:szCs w:val="24"/>
            <w:shd w:val="clear" w:color="auto" w:fill="FFFFFF"/>
          </w:rPr>
          <w:t>collateral</w:t>
        </w:r>
      </w:hyperlink>
      <w:r w:rsidRPr="00E12017">
        <w:rPr>
          <w:rFonts w:ascii="Times New Roman" w:hAnsi="Times New Roman" w:cs="Times New Roman"/>
          <w:color w:val="000000" w:themeColor="text1"/>
          <w:spacing w:val="1"/>
          <w:sz w:val="24"/>
          <w:szCs w:val="24"/>
          <w:shd w:val="clear" w:color="auto" w:fill="FFFFFF"/>
        </w:rPr>
        <w:t>, lenders are willing to offer home equity loans at very competitive interest rates—usually close to those of first mortgages. </w:t>
      </w:r>
    </w:p>
    <w:p w14:paraId="08F98701" w14:textId="51FCBA89" w:rsidR="00D858F4" w:rsidRPr="00E12017" w:rsidRDefault="00D858F4" w:rsidP="00E12017">
      <w:pPr>
        <w:pStyle w:val="ListParagraph"/>
        <w:numPr>
          <w:ilvl w:val="0"/>
          <w:numId w:val="3"/>
        </w:numPr>
        <w:rPr>
          <w:rFonts w:ascii="Times New Roman" w:hAnsi="Times New Roman" w:cs="Times New Roman"/>
          <w:color w:val="000000" w:themeColor="text1"/>
          <w:spacing w:val="1"/>
          <w:sz w:val="24"/>
          <w:szCs w:val="24"/>
          <w:shd w:val="clear" w:color="auto" w:fill="FFFFFF"/>
        </w:rPr>
      </w:pPr>
      <w:r w:rsidRPr="00E12017">
        <w:rPr>
          <w:rFonts w:ascii="Times New Roman" w:hAnsi="Times New Roman" w:cs="Times New Roman"/>
          <w:color w:val="000000" w:themeColor="text1"/>
          <w:spacing w:val="1"/>
          <w:sz w:val="24"/>
          <w:szCs w:val="24"/>
          <w:shd w:val="clear" w:color="auto" w:fill="FFFFFF"/>
        </w:rPr>
        <w:t>The biggest downside, again, is that your home serves as collateral for a HELOC. If you're unable to repay it for any reason, you risk losing the home to </w:t>
      </w:r>
      <w:hyperlink r:id="rId7" w:history="1">
        <w:r w:rsidRPr="00E12017">
          <w:rPr>
            <w:rStyle w:val="Hyperlink"/>
            <w:rFonts w:ascii="Times New Roman" w:hAnsi="Times New Roman" w:cs="Times New Roman"/>
            <w:color w:val="000000" w:themeColor="text1"/>
            <w:spacing w:val="1"/>
            <w:sz w:val="24"/>
            <w:szCs w:val="24"/>
            <w:shd w:val="clear" w:color="auto" w:fill="FFFFFF"/>
          </w:rPr>
          <w:t>foreclosure</w:t>
        </w:r>
      </w:hyperlink>
      <w:r w:rsidRPr="00E12017">
        <w:rPr>
          <w:rFonts w:ascii="Times New Roman" w:hAnsi="Times New Roman" w:cs="Times New Roman"/>
          <w:color w:val="000000" w:themeColor="text1"/>
          <w:spacing w:val="1"/>
          <w:sz w:val="24"/>
          <w:szCs w:val="24"/>
          <w:shd w:val="clear" w:color="auto" w:fill="FFFFFF"/>
        </w:rPr>
        <w:t>.</w:t>
      </w:r>
    </w:p>
    <w:p w14:paraId="075AB053" w14:textId="213E4FC0" w:rsidR="00027B31" w:rsidRPr="00E12017" w:rsidRDefault="00027B31" w:rsidP="00E12017">
      <w:pPr>
        <w:pStyle w:val="ListParagraph"/>
        <w:numPr>
          <w:ilvl w:val="0"/>
          <w:numId w:val="3"/>
        </w:numPr>
        <w:rPr>
          <w:rStyle w:val="Strong"/>
          <w:rFonts w:ascii="Times New Roman" w:hAnsi="Times New Roman" w:cs="Times New Roman"/>
          <w:b w:val="0"/>
          <w:bCs w:val="0"/>
          <w:color w:val="000000" w:themeColor="text1"/>
          <w:sz w:val="24"/>
          <w:szCs w:val="24"/>
        </w:rPr>
      </w:pPr>
      <w:r w:rsidRPr="00E12017">
        <w:rPr>
          <w:rStyle w:val="Strong"/>
          <w:rFonts w:ascii="Times New Roman" w:hAnsi="Times New Roman" w:cs="Times New Roman"/>
          <w:b w:val="0"/>
          <w:bCs w:val="0"/>
          <w:color w:val="000000" w:themeColor="text1"/>
          <w:sz w:val="24"/>
          <w:szCs w:val="24"/>
        </w:rPr>
        <w:fldChar w:fldCharType="begin"/>
      </w:r>
      <w:r w:rsidRPr="00E12017">
        <w:rPr>
          <w:rStyle w:val="Strong"/>
          <w:rFonts w:ascii="Times New Roman" w:hAnsi="Times New Roman" w:cs="Times New Roman"/>
          <w:b w:val="0"/>
          <w:bCs w:val="0"/>
          <w:color w:val="000000" w:themeColor="text1"/>
          <w:sz w:val="24"/>
          <w:szCs w:val="24"/>
        </w:rPr>
        <w:instrText>HYPERLINK "https://www.bing.com/ck/a?!&amp;&amp;p=3ee355e5711472e6JmltdHM9MTcxOTQ0NjQwMCZpZ3VpZD0zMzk1NjI5Yy01MjRjLTY2NDUtMDhlOC03MWVmNTNiZTY3MDQmaW5zaWQ9NTY5Ng&amp;ptn=3&amp;ver=2&amp;hsh=3&amp;fclid=3395629c-524c-6645-08e8-71ef53be6704&amp;psq=Heloc+stats+information+of+us&amp;u=a1aHR0cHM6Ly9jb3Jwb3JhdGVmaW5hbmNlaW5zdGl0dXRlLmNvbS9yZXNvdXJjZXMvY29tbWVyY2lhbC1yZWFsLWVzdGF0ZS9ob21lLWVxdWl0eS1saW5lLW9mLWNyZWRpdC1oZWxvYy8jOn46dGV4dD1UaGV5JTIwdHlwaWNhbGx5JTIwZW5hYmxlJTIwdGhlJTIwaG9tZW93bmVyJTIwdG8&amp;ntb=1" \t "_blank"</w:instrText>
      </w:r>
      <w:r w:rsidRPr="00E12017">
        <w:rPr>
          <w:rStyle w:val="Strong"/>
          <w:rFonts w:ascii="Times New Roman" w:hAnsi="Times New Roman" w:cs="Times New Roman"/>
          <w:b w:val="0"/>
          <w:bCs w:val="0"/>
          <w:color w:val="000000" w:themeColor="text1"/>
          <w:sz w:val="24"/>
          <w:szCs w:val="24"/>
        </w:rPr>
      </w:r>
      <w:r w:rsidRPr="00E12017">
        <w:rPr>
          <w:rStyle w:val="Strong"/>
          <w:rFonts w:ascii="Times New Roman" w:hAnsi="Times New Roman" w:cs="Times New Roman"/>
          <w:b w:val="0"/>
          <w:bCs w:val="0"/>
          <w:color w:val="000000" w:themeColor="text1"/>
          <w:sz w:val="24"/>
          <w:szCs w:val="24"/>
        </w:rPr>
        <w:fldChar w:fldCharType="separate"/>
      </w:r>
      <w:r w:rsidRPr="00E12017">
        <w:rPr>
          <w:rStyle w:val="Strong"/>
          <w:rFonts w:ascii="Times New Roman" w:hAnsi="Times New Roman" w:cs="Times New Roman"/>
          <w:b w:val="0"/>
          <w:bCs w:val="0"/>
          <w:color w:val="000000" w:themeColor="text1"/>
          <w:sz w:val="24"/>
          <w:szCs w:val="24"/>
        </w:rPr>
        <w:t>They typically enable the homeowner to borrow up to 65% of their home’s value. To qualify for a HELOC, the borrower usually needs to have at least 20% home equity.</w:t>
      </w:r>
    </w:p>
    <w:p w14:paraId="3880CCE1" w14:textId="6E86361D" w:rsidR="00D858F4" w:rsidRPr="00E12017" w:rsidRDefault="00027B31" w:rsidP="00E12017">
      <w:pPr>
        <w:pStyle w:val="ListParagraph"/>
        <w:numPr>
          <w:ilvl w:val="0"/>
          <w:numId w:val="3"/>
        </w:numPr>
        <w:rPr>
          <w:spacing w:val="1"/>
          <w:shd w:val="clear" w:color="auto" w:fill="FFFFFF"/>
        </w:rPr>
      </w:pPr>
      <w:r w:rsidRPr="00E12017">
        <w:rPr>
          <w:rStyle w:val="Strong"/>
          <w:rFonts w:ascii="Times New Roman" w:hAnsi="Times New Roman" w:cs="Times New Roman"/>
          <w:b w:val="0"/>
          <w:bCs w:val="0"/>
          <w:color w:val="000000" w:themeColor="text1"/>
          <w:sz w:val="24"/>
          <w:szCs w:val="24"/>
        </w:rPr>
        <w:fldChar w:fldCharType="end"/>
      </w:r>
      <w:r w:rsidR="00D858F4" w:rsidRPr="00E12017">
        <w:rPr>
          <w:lang w:eastAsia="en-IN"/>
        </w:rPr>
        <w:t xml:space="preserve">As of Q2 2023, there </w:t>
      </w:r>
      <w:r w:rsidR="00D858F4" w:rsidRPr="00E12017">
        <w:t>is $340 billion in outstanding HELOC debt</w:t>
      </w:r>
      <w:r w:rsidR="00D858F4" w:rsidRPr="00E12017">
        <w:rPr>
          <w:lang w:eastAsia="en-IN"/>
        </w:rPr>
        <w:t> held by </w:t>
      </w:r>
      <w:r w:rsidR="00D858F4" w:rsidRPr="00E12017">
        <w:t>13.1 million active HELOC accounts.</w:t>
      </w:r>
      <w:r w:rsidR="00667333" w:rsidRPr="00E12017">
        <w:rPr>
          <w:shd w:val="clear" w:color="auto" w:fill="FFFFFF"/>
        </w:rPr>
        <w:t xml:space="preserve"> </w:t>
      </w:r>
      <w:r w:rsidR="00667333" w:rsidRPr="00E12017">
        <w:rPr>
          <w:shd w:val="clear" w:color="auto" w:fill="FFFFFF"/>
        </w:rPr>
        <w:t>HELOC debt nationwide increased by 6.6% in 2023</w:t>
      </w:r>
      <w:r w:rsidR="00667333" w:rsidRPr="00E12017">
        <w:rPr>
          <w:shd w:val="clear" w:color="auto" w:fill="FFFFFF"/>
        </w:rPr>
        <w:t>.</w:t>
      </w:r>
    </w:p>
    <w:p w14:paraId="40DA23FF" w14:textId="77777777" w:rsidR="00667333" w:rsidRPr="00E12017" w:rsidRDefault="00667333" w:rsidP="00E12017">
      <w:pPr>
        <w:pStyle w:val="ListParagraph"/>
        <w:numPr>
          <w:ilvl w:val="0"/>
          <w:numId w:val="3"/>
        </w:numPr>
        <w:rPr>
          <w:rFonts w:ascii="Times New Roman" w:hAnsi="Times New Roman" w:cs="Times New Roman"/>
          <w:color w:val="000000" w:themeColor="text1"/>
          <w:sz w:val="24"/>
          <w:szCs w:val="24"/>
          <w:shd w:val="clear" w:color="auto" w:fill="FFFFFF"/>
        </w:rPr>
      </w:pPr>
      <w:r w:rsidRPr="00E12017">
        <w:rPr>
          <w:rFonts w:ascii="Times New Roman" w:hAnsi="Times New Roman" w:cs="Times New Roman"/>
          <w:color w:val="000000" w:themeColor="text1"/>
          <w:sz w:val="24"/>
          <w:szCs w:val="24"/>
          <w:shd w:val="clear" w:color="auto" w:fill="FFFFFF"/>
        </w:rPr>
        <w:t>In 2023, the average HELOC balance grew 2.7% to $42,139, and more than $20 billion was added to the total HELOC debt across all U.S. consumers.</w:t>
      </w:r>
    </w:p>
    <w:p w14:paraId="6C6068EE" w14:textId="08EE8111" w:rsidR="00112DB2" w:rsidRPr="00E12017" w:rsidRDefault="00112DB2" w:rsidP="00E12017">
      <w:pPr>
        <w:pStyle w:val="ListParagraph"/>
        <w:numPr>
          <w:ilvl w:val="0"/>
          <w:numId w:val="3"/>
        </w:numPr>
        <w:rPr>
          <w:rFonts w:ascii="Times New Roman" w:hAnsi="Times New Roman" w:cs="Times New Roman"/>
          <w:color w:val="000000" w:themeColor="text1"/>
          <w:sz w:val="24"/>
          <w:szCs w:val="24"/>
          <w:lang w:eastAsia="en-IN"/>
        </w:rPr>
      </w:pPr>
      <w:r w:rsidRPr="00E12017">
        <w:rPr>
          <w:rFonts w:ascii="Times New Roman" w:hAnsi="Times New Roman" w:cs="Times New Roman"/>
          <w:color w:val="000000" w:themeColor="text1"/>
          <w:sz w:val="24"/>
          <w:szCs w:val="24"/>
          <w:lang w:eastAsia="en-IN"/>
        </w:rPr>
        <w:t>As of 2022, individuals aged 42–57 (Gen X) hold the </w:t>
      </w:r>
      <w:r w:rsidRPr="00E12017">
        <w:rPr>
          <w:rFonts w:ascii="Times New Roman" w:hAnsi="Times New Roman" w:cs="Times New Roman"/>
          <w:color w:val="000000" w:themeColor="text1"/>
          <w:sz w:val="24"/>
          <w:szCs w:val="24"/>
        </w:rPr>
        <w:t>highest HELOC balance at $48,509.</w:t>
      </w:r>
    </w:p>
    <w:p w14:paraId="117D5D60" w14:textId="3A78721F" w:rsidR="00112DB2" w:rsidRPr="00E12017" w:rsidRDefault="00112DB2" w:rsidP="00E12017">
      <w:pPr>
        <w:pStyle w:val="ListParagraph"/>
        <w:numPr>
          <w:ilvl w:val="0"/>
          <w:numId w:val="3"/>
        </w:numPr>
        <w:rPr>
          <w:rFonts w:ascii="Times New Roman" w:hAnsi="Times New Roman" w:cs="Times New Roman"/>
          <w:color w:val="000000" w:themeColor="text1"/>
          <w:sz w:val="24"/>
          <w:szCs w:val="24"/>
          <w:lang w:eastAsia="en-IN"/>
        </w:rPr>
      </w:pPr>
      <w:r w:rsidRPr="00E12017">
        <w:rPr>
          <w:rFonts w:ascii="Times New Roman" w:hAnsi="Times New Roman" w:cs="Times New Roman"/>
          <w:color w:val="000000" w:themeColor="text1"/>
          <w:sz w:val="24"/>
          <w:szCs w:val="24"/>
          <w:shd w:val="clear" w:color="auto" w:fill="FFFFFF"/>
        </w:rPr>
        <w:t xml:space="preserve">By Q2 2023, </w:t>
      </w:r>
      <w:r w:rsidRPr="00E12017">
        <w:rPr>
          <w:rFonts w:ascii="Times New Roman" w:hAnsi="Times New Roman" w:cs="Times New Roman"/>
          <w:color w:val="000000" w:themeColor="text1"/>
          <w:sz w:val="24"/>
          <w:szCs w:val="24"/>
          <w:shd w:val="clear" w:color="auto" w:fill="FFFFFF"/>
        </w:rPr>
        <w:t xml:space="preserve">the average HELOC limit </w:t>
      </w:r>
      <w:r w:rsidRPr="00E12017">
        <w:rPr>
          <w:rFonts w:ascii="Times New Roman" w:hAnsi="Times New Roman" w:cs="Times New Roman"/>
          <w:color w:val="000000" w:themeColor="text1"/>
          <w:sz w:val="24"/>
          <w:szCs w:val="24"/>
          <w:shd w:val="clear" w:color="auto" w:fill="FFFFFF"/>
        </w:rPr>
        <w:t>reached $69,519, likely driven by banks offering higher credit limits due to </w:t>
      </w:r>
      <w:hyperlink r:id="rId8" w:tgtFrame="_blank" w:history="1">
        <w:r w:rsidRPr="00E12017">
          <w:rPr>
            <w:rFonts w:ascii="Times New Roman" w:hAnsi="Times New Roman" w:cs="Times New Roman"/>
            <w:color w:val="000000" w:themeColor="text1"/>
            <w:sz w:val="24"/>
            <w:szCs w:val="24"/>
          </w:rPr>
          <w:t>rising home values</w:t>
        </w:r>
      </w:hyperlink>
      <w:r w:rsidRPr="00E12017">
        <w:rPr>
          <w:rFonts w:ascii="Times New Roman" w:hAnsi="Times New Roman" w:cs="Times New Roman"/>
          <w:color w:val="000000" w:themeColor="text1"/>
          <w:sz w:val="24"/>
          <w:szCs w:val="24"/>
        </w:rPr>
        <w:t>.</w:t>
      </w:r>
    </w:p>
    <w:p w14:paraId="2753235C" w14:textId="607D552F" w:rsidR="00D858F4" w:rsidRPr="00E12017" w:rsidRDefault="00667333" w:rsidP="00E12017">
      <w:pPr>
        <w:pStyle w:val="ListParagraph"/>
        <w:numPr>
          <w:ilvl w:val="0"/>
          <w:numId w:val="3"/>
        </w:numPr>
        <w:rPr>
          <w:rFonts w:ascii="Times New Roman" w:hAnsi="Times New Roman" w:cs="Times New Roman"/>
          <w:color w:val="000000" w:themeColor="text1"/>
          <w:spacing w:val="-4"/>
          <w:sz w:val="24"/>
          <w:szCs w:val="24"/>
          <w:shd w:val="clear" w:color="auto" w:fill="FFFFFF"/>
        </w:rPr>
      </w:pPr>
      <w:r w:rsidRPr="00E12017">
        <w:rPr>
          <w:rFonts w:ascii="Times New Roman" w:hAnsi="Times New Roman" w:cs="Times New Roman"/>
          <w:color w:val="000000" w:themeColor="text1"/>
          <w:spacing w:val="-4"/>
          <w:sz w:val="24"/>
          <w:szCs w:val="24"/>
          <w:shd w:val="clear" w:color="auto" w:fill="FFFFFF"/>
        </w:rPr>
        <w:t>As of early 2024 t</w:t>
      </w:r>
      <w:r w:rsidR="00112DB2" w:rsidRPr="00E12017">
        <w:rPr>
          <w:rFonts w:ascii="Times New Roman" w:hAnsi="Times New Roman" w:cs="Times New Roman"/>
          <w:color w:val="000000" w:themeColor="text1"/>
          <w:spacing w:val="-4"/>
          <w:sz w:val="24"/>
          <w:szCs w:val="24"/>
          <w:shd w:val="clear" w:color="auto" w:fill="FFFFFF"/>
        </w:rPr>
        <w:t>he home equity stake of the average American homeowner with a mortgage is worth $299,000, $193,000 of which is “tappable”</w:t>
      </w:r>
    </w:p>
    <w:p w14:paraId="1DB1CDEB" w14:textId="2DF40D31" w:rsidR="00667333" w:rsidRDefault="00667333" w:rsidP="00E12017">
      <w:pPr>
        <w:pStyle w:val="ListParagraph"/>
        <w:numPr>
          <w:ilvl w:val="0"/>
          <w:numId w:val="3"/>
        </w:numPr>
        <w:rPr>
          <w:rFonts w:ascii="Times New Roman" w:hAnsi="Times New Roman" w:cs="Times New Roman"/>
          <w:color w:val="000000" w:themeColor="text1"/>
          <w:sz w:val="24"/>
          <w:szCs w:val="24"/>
          <w:shd w:val="clear" w:color="auto" w:fill="FFFFFF"/>
        </w:rPr>
      </w:pPr>
      <w:r w:rsidRPr="00E12017">
        <w:rPr>
          <w:rFonts w:ascii="Times New Roman" w:hAnsi="Times New Roman" w:cs="Times New Roman"/>
          <w:color w:val="000000" w:themeColor="text1"/>
          <w:sz w:val="24"/>
          <w:szCs w:val="24"/>
          <w:shd w:val="clear" w:color="auto" w:fill="FFFFFF"/>
        </w:rPr>
        <w:t>T</w:t>
      </w:r>
      <w:r w:rsidRPr="00E12017">
        <w:rPr>
          <w:rFonts w:ascii="Times New Roman" w:hAnsi="Times New Roman" w:cs="Times New Roman"/>
          <w:color w:val="000000" w:themeColor="text1"/>
          <w:sz w:val="24"/>
          <w:szCs w:val="24"/>
          <w:shd w:val="clear" w:color="auto" w:fill="FFFFFF"/>
        </w:rPr>
        <w:t>he value of homeowner equity in the United States increased from approximately 8.77 trillion U.S. dollars in 2010 to approximately 29.3 trillion U.S. dollars in 2022.</w:t>
      </w:r>
    </w:p>
    <w:p w14:paraId="461644A4" w14:textId="52B27691" w:rsidR="00E12017" w:rsidRPr="00E12017" w:rsidRDefault="00E12017" w:rsidP="00E12017">
      <w:pPr>
        <w:pStyle w:val="ListParagraph"/>
        <w:rPr>
          <w:rFonts w:ascii="Times New Roman" w:hAnsi="Times New Roman" w:cs="Times New Roman"/>
          <w:color w:val="000000" w:themeColor="text1"/>
          <w:sz w:val="24"/>
          <w:szCs w:val="24"/>
          <w:shd w:val="clear" w:color="auto" w:fill="FFFFFF"/>
        </w:rPr>
      </w:pPr>
    </w:p>
    <w:p w14:paraId="111CCE23" w14:textId="77777777" w:rsidR="00027B31" w:rsidRDefault="00027B31" w:rsidP="00D858F4">
      <w:pPr>
        <w:rPr>
          <w:rFonts w:ascii="Open Sans" w:hAnsi="Open Sans" w:cs="Open Sans"/>
          <w:color w:val="455F7C"/>
          <w:sz w:val="23"/>
          <w:szCs w:val="23"/>
          <w:shd w:val="clear" w:color="auto" w:fill="FFFFFF"/>
        </w:rPr>
      </w:pPr>
    </w:p>
    <w:p w14:paraId="6BDDADB2" w14:textId="108E4CE8" w:rsidR="00027B31" w:rsidRDefault="00027B31" w:rsidP="00D858F4">
      <w:pPr>
        <w:rPr>
          <w:rFonts w:ascii="Open Sans" w:hAnsi="Open Sans" w:cs="Open Sans"/>
          <w:color w:val="455F7C"/>
          <w:sz w:val="23"/>
          <w:szCs w:val="23"/>
          <w:shd w:val="clear" w:color="auto" w:fill="FFFFFF"/>
        </w:rPr>
      </w:pPr>
      <w:r>
        <w:rPr>
          <w:noProof/>
        </w:rPr>
        <w:drawing>
          <wp:inline distT="0" distB="0" distL="0" distR="0" wp14:anchorId="3E291868" wp14:editId="620D082A">
            <wp:extent cx="5136543" cy="3601941"/>
            <wp:effectExtent l="0" t="0" r="6985" b="17780"/>
            <wp:docPr id="376358490" name="Chart 1">
              <a:extLst xmlns:a="http://schemas.openxmlformats.org/drawingml/2006/main">
                <a:ext uri="{FF2B5EF4-FFF2-40B4-BE49-F238E27FC236}">
                  <a16:creationId xmlns:a16="http://schemas.microsoft.com/office/drawing/2014/main" id="{7BD486B0-2B13-89D1-973C-CA290AEE465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0468DA7" w14:textId="44507A23" w:rsidR="00027B31" w:rsidRPr="00306778" w:rsidRDefault="00E967F8" w:rsidP="00D858F4">
      <w:pPr>
        <w:rPr>
          <w:rFonts w:ascii="Times New Roman" w:hAnsi="Times New Roman" w:cs="Times New Roman"/>
          <w:b/>
          <w:bCs/>
          <w:sz w:val="36"/>
          <w:szCs w:val="36"/>
          <w:u w:val="single"/>
          <w:lang w:val="en-US"/>
        </w:rPr>
      </w:pPr>
      <w:r w:rsidRPr="00306778">
        <w:rPr>
          <w:rFonts w:ascii="Times New Roman" w:hAnsi="Times New Roman" w:cs="Times New Roman"/>
          <w:b/>
          <w:bCs/>
          <w:sz w:val="36"/>
          <w:szCs w:val="36"/>
          <w:u w:val="single"/>
          <w:lang w:val="en-US"/>
        </w:rPr>
        <w:lastRenderedPageBreak/>
        <w:t>CREDIT CARDS</w:t>
      </w:r>
    </w:p>
    <w:p w14:paraId="35CE2101" w14:textId="27E7D0C4" w:rsidR="00E967F8" w:rsidRPr="00306778" w:rsidRDefault="00E967F8" w:rsidP="00306778">
      <w:pPr>
        <w:pStyle w:val="ListParagraph"/>
        <w:numPr>
          <w:ilvl w:val="0"/>
          <w:numId w:val="5"/>
        </w:numPr>
        <w:rPr>
          <w:rFonts w:ascii="Times New Roman" w:hAnsi="Times New Roman" w:cs="Times New Roman"/>
          <w:color w:val="111111"/>
          <w:spacing w:val="1"/>
          <w:sz w:val="24"/>
          <w:szCs w:val="24"/>
          <w:shd w:val="clear" w:color="auto" w:fill="FFFFFF"/>
        </w:rPr>
      </w:pPr>
      <w:r w:rsidRPr="00306778">
        <w:rPr>
          <w:rFonts w:ascii="Times New Roman" w:hAnsi="Times New Roman" w:cs="Times New Roman"/>
          <w:color w:val="111111"/>
          <w:spacing w:val="1"/>
          <w:sz w:val="24"/>
          <w:szCs w:val="24"/>
          <w:shd w:val="clear" w:color="auto" w:fill="FFFFFF"/>
        </w:rPr>
        <w:t>A credit card is a thin rectangular piece of plastic or metal issued by a bank or financial services company that allows cardholders to borrow funds with which to pay for goods and services with merchants that accept cards for payment.</w:t>
      </w:r>
    </w:p>
    <w:p w14:paraId="2283CA4D" w14:textId="77777777" w:rsidR="00E967F8" w:rsidRPr="00306778" w:rsidRDefault="00E967F8" w:rsidP="0030677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06778">
        <w:rPr>
          <w:rFonts w:ascii="Times New Roman" w:eastAsia="Times New Roman" w:hAnsi="Times New Roman" w:cs="Times New Roman"/>
          <w:color w:val="111111"/>
          <w:spacing w:val="1"/>
          <w:kern w:val="0"/>
          <w:sz w:val="24"/>
          <w:szCs w:val="24"/>
          <w:lang w:eastAsia="en-IN"/>
          <w14:ligatures w14:val="none"/>
        </w:rPr>
        <w:t>Credit cards charge interest on the money spent.</w:t>
      </w:r>
    </w:p>
    <w:p w14:paraId="34F49F73" w14:textId="77777777" w:rsidR="00E967F8" w:rsidRPr="00306778" w:rsidRDefault="00E967F8" w:rsidP="00306778">
      <w:pPr>
        <w:pStyle w:val="ListParagraph"/>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111111"/>
          <w:spacing w:val="1"/>
          <w:kern w:val="0"/>
          <w:sz w:val="24"/>
          <w:szCs w:val="24"/>
          <w:lang w:eastAsia="en-IN"/>
          <w14:ligatures w14:val="none"/>
        </w:rPr>
      </w:pPr>
      <w:r w:rsidRPr="00306778">
        <w:rPr>
          <w:rFonts w:ascii="Times New Roman" w:eastAsia="Times New Roman" w:hAnsi="Times New Roman" w:cs="Times New Roman"/>
          <w:color w:val="111111"/>
          <w:spacing w:val="1"/>
          <w:kern w:val="0"/>
          <w:sz w:val="24"/>
          <w:szCs w:val="24"/>
          <w:lang w:eastAsia="en-IN"/>
          <w14:ligatures w14:val="none"/>
        </w:rPr>
        <w:t>Credit cards may be issued by stores, banks, or other financial institutions and often offer perks like cash back, discounts, or reward miles.</w:t>
      </w:r>
    </w:p>
    <w:p w14:paraId="27249183" w14:textId="05392AEB" w:rsidR="00E967F8" w:rsidRDefault="00E967F8"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111111"/>
          <w:spacing w:val="1"/>
          <w:sz w:val="24"/>
          <w:szCs w:val="24"/>
          <w:shd w:val="clear" w:color="auto" w:fill="FFFFFF"/>
        </w:rPr>
      </w:pPr>
      <w:r w:rsidRPr="00306778">
        <w:rPr>
          <w:rFonts w:ascii="Times New Roman" w:hAnsi="Times New Roman" w:cs="Times New Roman"/>
          <w:color w:val="111111"/>
          <w:spacing w:val="1"/>
          <w:sz w:val="24"/>
          <w:szCs w:val="24"/>
          <w:shd w:val="clear" w:color="auto" w:fill="FFFFFF"/>
        </w:rPr>
        <w:t>Most major credit cards—which include Visa, Mastercard, Discover, and American Express—are issued by banks, credit unions, or other financial institutions.</w:t>
      </w:r>
    </w:p>
    <w:p w14:paraId="51388CB2" w14:textId="3D3E89B3" w:rsidR="00306778" w:rsidRPr="00306778" w:rsidRDefault="00306778"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111111"/>
          <w:spacing w:val="1"/>
          <w:sz w:val="20"/>
          <w:szCs w:val="20"/>
          <w:shd w:val="clear" w:color="auto" w:fill="FFFFFF"/>
        </w:rPr>
      </w:pPr>
      <w:r w:rsidRPr="00306778">
        <w:rPr>
          <w:rFonts w:ascii="Times New Roman" w:hAnsi="Times New Roman" w:cs="Times New Roman"/>
          <w:color w:val="273C46"/>
          <w:sz w:val="24"/>
          <w:szCs w:val="24"/>
          <w:shd w:val="clear" w:color="auto" w:fill="FFFFFF"/>
        </w:rPr>
        <w:t>The credit card industry has a combined global market value of </w:t>
      </w:r>
      <w:r w:rsidRPr="00306778">
        <w:rPr>
          <w:rFonts w:ascii="Times New Roman" w:hAnsi="Times New Roman" w:cs="Times New Roman"/>
          <w:b/>
          <w:bCs/>
          <w:color w:val="273C46"/>
          <w:sz w:val="24"/>
          <w:szCs w:val="24"/>
          <w:shd w:val="clear" w:color="auto" w:fill="FFFFFF"/>
        </w:rPr>
        <w:t>$876.9 billion</w:t>
      </w:r>
      <w:r w:rsidRPr="00306778">
        <w:rPr>
          <w:rFonts w:ascii="Times New Roman" w:hAnsi="Times New Roman" w:cs="Times New Roman"/>
          <w:color w:val="273C46"/>
          <w:sz w:val="24"/>
          <w:szCs w:val="24"/>
          <w:shd w:val="clear" w:color="auto" w:fill="FFFFFF"/>
        </w:rPr>
        <w:t>; projections indicate that by 2032, the consumer credit card market will be worth </w:t>
      </w:r>
      <w:r w:rsidRPr="00306778">
        <w:rPr>
          <w:rFonts w:ascii="Times New Roman" w:hAnsi="Times New Roman" w:cs="Times New Roman"/>
          <w:i/>
          <w:iCs/>
          <w:color w:val="273C46"/>
          <w:sz w:val="24"/>
          <w:szCs w:val="24"/>
          <w:shd w:val="clear" w:color="auto" w:fill="FFFFFF"/>
        </w:rPr>
        <w:t>$1.54 trillion</w:t>
      </w:r>
      <w:r w:rsidRPr="00306778">
        <w:rPr>
          <w:rFonts w:ascii="Times New Roman" w:hAnsi="Times New Roman" w:cs="Times New Roman"/>
          <w:color w:val="273C46"/>
          <w:sz w:val="24"/>
          <w:szCs w:val="24"/>
          <w:shd w:val="clear" w:color="auto" w:fill="FFFFFF"/>
        </w:rPr>
        <w:t>.</w:t>
      </w:r>
    </w:p>
    <w:p w14:paraId="412C211A" w14:textId="77777777" w:rsidR="003A528F" w:rsidRDefault="00E967F8"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At the end of 2023, the average credit card debt per borrower was $6,360, or about 10% higher than the year before—ushering in an all-time high.</w:t>
      </w:r>
    </w:p>
    <w:p w14:paraId="23480200" w14:textId="54FEA8CD" w:rsidR="00747E5A" w:rsidRPr="003A528F" w:rsidRDefault="003A528F"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A528F">
        <w:rPr>
          <w:rFonts w:ascii="Times New Roman" w:eastAsia="Times New Roman" w:hAnsi="Times New Roman" w:cs="Times New Roman"/>
          <w:color w:val="273C46"/>
          <w:kern w:val="0"/>
          <w:sz w:val="24"/>
          <w:szCs w:val="24"/>
          <w:lang w:eastAsia="en-IN"/>
          <w14:ligatures w14:val="none"/>
        </w:rPr>
        <w:t>181 million or 70% of U.S. adults have a credit card account in their name.</w:t>
      </w:r>
      <w:r>
        <w:rPr>
          <w:rFonts w:ascii="Times New Roman" w:eastAsia="Times New Roman" w:hAnsi="Times New Roman" w:cs="Times New Roman"/>
          <w:color w:val="273C46"/>
          <w:kern w:val="0"/>
          <w:sz w:val="24"/>
          <w:szCs w:val="24"/>
          <w:lang w:eastAsia="en-IN"/>
          <w14:ligatures w14:val="none"/>
        </w:rPr>
        <w:t xml:space="preserve"> </w:t>
      </w:r>
      <w:r w:rsidR="00747E5A" w:rsidRPr="003A528F">
        <w:rPr>
          <w:rFonts w:ascii="Times New Roman" w:hAnsi="Times New Roman" w:cs="Times New Roman"/>
          <w:sz w:val="24"/>
          <w:szCs w:val="24"/>
          <w:shd w:val="clear" w:color="auto" w:fill="FFFFFF"/>
        </w:rPr>
        <w:t>According to 2022 data from the Federal Reserve, Americans between the ages of 45 and 54 are most likely to have credit card debt (57%), while those aged 75 or older are least likely to have credit card debt (29.8%</w:t>
      </w:r>
      <w:proofErr w:type="gramStart"/>
      <w:r w:rsidR="00747E5A" w:rsidRPr="003A528F">
        <w:rPr>
          <w:rFonts w:ascii="Times New Roman" w:hAnsi="Times New Roman" w:cs="Times New Roman"/>
          <w:sz w:val="24"/>
          <w:szCs w:val="24"/>
          <w:shd w:val="clear" w:color="auto" w:fill="FFFFFF"/>
        </w:rPr>
        <w:t>).When</w:t>
      </w:r>
      <w:proofErr w:type="gramEnd"/>
      <w:r w:rsidR="00747E5A" w:rsidRPr="003A528F">
        <w:rPr>
          <w:rFonts w:ascii="Times New Roman" w:hAnsi="Times New Roman" w:cs="Times New Roman"/>
          <w:sz w:val="24"/>
          <w:szCs w:val="24"/>
          <w:shd w:val="clear" w:color="auto" w:fill="FFFFFF"/>
        </w:rPr>
        <w:t xml:space="preserve"> it comes to median credit card debt, the 55 to 64 and 65 to 74 age groups rank the highest at $3,500.</w:t>
      </w:r>
    </w:p>
    <w:p w14:paraId="0273C9A3" w14:textId="0E5FE3AD" w:rsidR="00747E5A" w:rsidRPr="00306778" w:rsidRDefault="00747E5A"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A study by the Federal Reserve Bank of San Francisco found that in 2022, credit cards were used to make 31% of all payments.</w:t>
      </w:r>
    </w:p>
    <w:p w14:paraId="2BAB2147" w14:textId="5D2F2825" w:rsidR="00747E5A" w:rsidRPr="00306778" w:rsidRDefault="00747E5A"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Forbes Advisor survey from December 2023 shows that less than 10% of Americans primarily use cash to pay for purchases. Debit cards and credit cards are the primary payment method used, with 53% of consumers using a physical or virtual debit card and 37% using a physical or virtual credit card.</w:t>
      </w:r>
    </w:p>
    <w:p w14:paraId="0F0A23B7" w14:textId="7DF6965E" w:rsidR="00747E5A" w:rsidRPr="00306778" w:rsidRDefault="00747E5A"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By mid-2023, credit card users reached a total of 167.2 million according to TransUnion, up from the prior three years.</w:t>
      </w:r>
    </w:p>
    <w:p w14:paraId="73E69956" w14:textId="1B301277" w:rsidR="00AC19B7" w:rsidRPr="00306778" w:rsidRDefault="00AC19B7"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According to FICO data from April 2023, the average credit score is 718.</w:t>
      </w:r>
    </w:p>
    <w:p w14:paraId="3C7DD58D" w14:textId="77777777" w:rsidR="003A528F" w:rsidRDefault="00AC19B7"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333333"/>
          <w:sz w:val="24"/>
          <w:szCs w:val="24"/>
          <w:shd w:val="clear" w:color="auto" w:fill="FFFFFF"/>
        </w:rPr>
        <w:t>The average credit card interest rate is 27.89%, according to Forbes Advisor’s </w:t>
      </w:r>
      <w:hyperlink r:id="rId10" w:history="1">
        <w:r w:rsidRPr="00306778">
          <w:rPr>
            <w:rStyle w:val="Hyperlink"/>
            <w:rFonts w:ascii="Times New Roman" w:hAnsi="Times New Roman" w:cs="Times New Roman"/>
            <w:color w:val="395BB6"/>
            <w:sz w:val="24"/>
            <w:szCs w:val="24"/>
            <w:shd w:val="clear" w:color="auto" w:fill="FFFFFF"/>
          </w:rPr>
          <w:t>credit card rate report</w:t>
        </w:r>
      </w:hyperlink>
      <w:r w:rsidRPr="00306778">
        <w:rPr>
          <w:rFonts w:ascii="Times New Roman" w:hAnsi="Times New Roman" w:cs="Times New Roman"/>
          <w:color w:val="333333"/>
          <w:sz w:val="24"/>
          <w:szCs w:val="24"/>
          <w:shd w:val="clear" w:color="auto" w:fill="FFFFFF"/>
        </w:rPr>
        <w:t> as of mid-March 2024.</w:t>
      </w:r>
      <w:r w:rsidRPr="00306778">
        <w:rPr>
          <w:rFonts w:ascii="Times New Roman" w:hAnsi="Times New Roman" w:cs="Times New Roman"/>
          <w:color w:val="333333"/>
          <w:sz w:val="24"/>
          <w:szCs w:val="24"/>
          <w:shd w:val="clear" w:color="auto" w:fill="FFFFFF"/>
        </w:rPr>
        <w:t xml:space="preserve"> </w:t>
      </w:r>
      <w:r w:rsidRPr="00306778">
        <w:rPr>
          <w:rFonts w:ascii="Times New Roman" w:hAnsi="Times New Roman" w:cs="Times New Roman"/>
          <w:color w:val="333333"/>
          <w:sz w:val="24"/>
          <w:szCs w:val="24"/>
          <w:shd w:val="clear" w:color="auto" w:fill="FFFFFF"/>
        </w:rPr>
        <w:t>According to a Forbes Advisor survey from December 2023, 46% of U.S. cardholders reported that they don’t know or are unsure about the interest rate on their card.</w:t>
      </w:r>
    </w:p>
    <w:p w14:paraId="3AE65AB8" w14:textId="42766128" w:rsidR="00306778" w:rsidRPr="003A528F" w:rsidRDefault="00306778"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A528F">
        <w:rPr>
          <w:rFonts w:ascii="Times New Roman" w:hAnsi="Times New Roman" w:cs="Times New Roman"/>
          <w:color w:val="333333"/>
          <w:sz w:val="24"/>
          <w:szCs w:val="24"/>
          <w:shd w:val="clear" w:color="auto" w:fill="FFFFFF"/>
        </w:rPr>
        <w:t>Of the four main types of credit cards—</w:t>
      </w:r>
      <w:hyperlink r:id="rId11" w:history="1">
        <w:r w:rsidRPr="003A528F">
          <w:rPr>
            <w:rStyle w:val="Hyperlink"/>
            <w:rFonts w:ascii="Times New Roman" w:hAnsi="Times New Roman" w:cs="Times New Roman"/>
            <w:color w:val="395BB6"/>
            <w:sz w:val="24"/>
            <w:szCs w:val="24"/>
            <w:shd w:val="clear" w:color="auto" w:fill="FFFFFF"/>
          </w:rPr>
          <w:t>Visa</w:t>
        </w:r>
      </w:hyperlink>
      <w:r w:rsidRPr="003A528F">
        <w:rPr>
          <w:rFonts w:ascii="Times New Roman" w:hAnsi="Times New Roman" w:cs="Times New Roman"/>
          <w:color w:val="333333"/>
          <w:sz w:val="24"/>
          <w:szCs w:val="24"/>
          <w:shd w:val="clear" w:color="auto" w:fill="FFFFFF"/>
        </w:rPr>
        <w:t>, </w:t>
      </w:r>
      <w:hyperlink r:id="rId12" w:history="1">
        <w:r w:rsidRPr="003A528F">
          <w:rPr>
            <w:rStyle w:val="Hyperlink"/>
            <w:rFonts w:ascii="Times New Roman" w:hAnsi="Times New Roman" w:cs="Times New Roman"/>
            <w:color w:val="395BB6"/>
            <w:sz w:val="24"/>
            <w:szCs w:val="24"/>
            <w:shd w:val="clear" w:color="auto" w:fill="FFFFFF"/>
          </w:rPr>
          <w:t>Mastercard</w:t>
        </w:r>
      </w:hyperlink>
      <w:r w:rsidRPr="003A528F">
        <w:rPr>
          <w:rFonts w:ascii="Times New Roman" w:hAnsi="Times New Roman" w:cs="Times New Roman"/>
          <w:color w:val="333333"/>
          <w:sz w:val="24"/>
          <w:szCs w:val="24"/>
          <w:shd w:val="clear" w:color="auto" w:fill="FFFFFF"/>
        </w:rPr>
        <w:t>, </w:t>
      </w:r>
      <w:hyperlink r:id="rId13" w:history="1">
        <w:r w:rsidRPr="003A528F">
          <w:rPr>
            <w:rStyle w:val="Hyperlink"/>
            <w:rFonts w:ascii="Times New Roman" w:hAnsi="Times New Roman" w:cs="Times New Roman"/>
            <w:color w:val="395BB6"/>
            <w:sz w:val="24"/>
            <w:szCs w:val="24"/>
            <w:shd w:val="clear" w:color="auto" w:fill="FFFFFF"/>
          </w:rPr>
          <w:t>American Express</w:t>
        </w:r>
      </w:hyperlink>
      <w:r w:rsidRPr="003A528F">
        <w:rPr>
          <w:rFonts w:ascii="Times New Roman" w:hAnsi="Times New Roman" w:cs="Times New Roman"/>
          <w:color w:val="333333"/>
          <w:sz w:val="24"/>
          <w:szCs w:val="24"/>
          <w:shd w:val="clear" w:color="auto" w:fill="FFFFFF"/>
        </w:rPr>
        <w:t> and </w:t>
      </w:r>
      <w:hyperlink r:id="rId14" w:history="1">
        <w:r w:rsidRPr="003A528F">
          <w:rPr>
            <w:rStyle w:val="Hyperlink"/>
            <w:rFonts w:ascii="Times New Roman" w:hAnsi="Times New Roman" w:cs="Times New Roman"/>
            <w:color w:val="395BB6"/>
            <w:sz w:val="24"/>
            <w:szCs w:val="24"/>
            <w:shd w:val="clear" w:color="auto" w:fill="FFFFFF"/>
          </w:rPr>
          <w:t>Discover</w:t>
        </w:r>
      </w:hyperlink>
      <w:r w:rsidRPr="003A528F">
        <w:rPr>
          <w:rFonts w:ascii="Times New Roman" w:hAnsi="Times New Roman" w:cs="Times New Roman"/>
          <w:color w:val="333333"/>
          <w:sz w:val="24"/>
          <w:szCs w:val="24"/>
          <w:shd w:val="clear" w:color="auto" w:fill="FFFFFF"/>
        </w:rPr>
        <w:t xml:space="preserve">—Visa is by far the most common, making up 58.3% </w:t>
      </w:r>
      <w:r w:rsidRPr="003A528F">
        <w:rPr>
          <w:rFonts w:ascii="Times New Roman" w:hAnsi="Times New Roman" w:cs="Times New Roman"/>
          <w:color w:val="333333"/>
          <w:sz w:val="24"/>
          <w:szCs w:val="24"/>
          <w:shd w:val="clear" w:color="auto" w:fill="FFFFFF"/>
        </w:rPr>
        <w:t xml:space="preserve">or </w:t>
      </w:r>
      <w:r w:rsidRPr="003A528F">
        <w:rPr>
          <w:rFonts w:ascii="Times New Roman" w:hAnsi="Times New Roman" w:cs="Times New Roman"/>
          <w:color w:val="273C46"/>
          <w:sz w:val="24"/>
          <w:szCs w:val="24"/>
          <w:shd w:val="clear" w:color="auto" w:fill="FFFFFF"/>
        </w:rPr>
        <w:t>4.16 billion cards</w:t>
      </w:r>
      <w:r w:rsidRPr="003A528F">
        <w:rPr>
          <w:rFonts w:ascii="Times New Roman" w:hAnsi="Times New Roman" w:cs="Times New Roman"/>
          <w:color w:val="333333"/>
          <w:sz w:val="24"/>
          <w:szCs w:val="24"/>
          <w:shd w:val="clear" w:color="auto" w:fill="FFFFFF"/>
        </w:rPr>
        <w:t xml:space="preserve"> in circulation.</w:t>
      </w:r>
      <w:r w:rsidR="003A528F" w:rsidRPr="003A528F">
        <w:rPr>
          <w:rFonts w:ascii="Times New Roman" w:hAnsi="Times New Roman" w:cs="Times New Roman"/>
          <w:color w:val="273C46"/>
          <w:sz w:val="24"/>
          <w:szCs w:val="24"/>
        </w:rPr>
        <w:t xml:space="preserve"> </w:t>
      </w:r>
      <w:r w:rsidR="003A528F" w:rsidRPr="003A528F">
        <w:rPr>
          <w:rFonts w:ascii="Times New Roman" w:eastAsia="Times New Roman" w:hAnsi="Times New Roman" w:cs="Times New Roman"/>
          <w:color w:val="273C46"/>
          <w:kern w:val="0"/>
          <w:sz w:val="24"/>
          <w:szCs w:val="24"/>
          <w:lang w:eastAsia="en-IN"/>
          <w14:ligatures w14:val="none"/>
        </w:rPr>
        <w:t>Visa’s revenue for FY 2023 was $32.653 billion, up 12.9% YoY.</w:t>
      </w:r>
      <w:r w:rsidR="003A528F">
        <w:rPr>
          <w:rFonts w:ascii="Times New Roman" w:eastAsia="Times New Roman" w:hAnsi="Times New Roman" w:cs="Times New Roman"/>
          <w:color w:val="273C46"/>
          <w:kern w:val="0"/>
          <w:sz w:val="24"/>
          <w:szCs w:val="24"/>
          <w:lang w:eastAsia="en-IN"/>
          <w14:ligatures w14:val="none"/>
        </w:rPr>
        <w:t xml:space="preserve"> </w:t>
      </w:r>
      <w:r w:rsidR="003A528F" w:rsidRPr="003A528F">
        <w:rPr>
          <w:rFonts w:ascii="Times New Roman" w:eastAsia="Times New Roman" w:hAnsi="Times New Roman" w:cs="Times New Roman"/>
          <w:color w:val="273C46"/>
          <w:kern w:val="0"/>
          <w:sz w:val="24"/>
          <w:szCs w:val="24"/>
          <w:lang w:eastAsia="en-IN"/>
          <w14:ligatures w14:val="none"/>
        </w:rPr>
        <w:t>Consumers charged a total of $5.040 trillion to their Visa credit cards in FY 2023</w:t>
      </w:r>
      <w:r w:rsidR="003A528F" w:rsidRPr="003A528F">
        <w:rPr>
          <w:rFonts w:ascii="Times New Roman" w:eastAsia="Times New Roman" w:hAnsi="Times New Roman" w:cs="Times New Roman"/>
          <w:color w:val="273C46"/>
          <w:kern w:val="0"/>
          <w:sz w:val="24"/>
          <w:szCs w:val="24"/>
          <w:lang w:eastAsia="en-IN"/>
          <w14:ligatures w14:val="none"/>
        </w:rPr>
        <w:t>.</w:t>
      </w:r>
    </w:p>
    <w:p w14:paraId="749999A2" w14:textId="5BDFFC7E" w:rsidR="00306778" w:rsidRPr="00306778" w:rsidRDefault="00306778" w:rsidP="00306778">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eastAsia="Times New Roman" w:hAnsi="Times New Roman" w:cs="Times New Roman"/>
          <w:color w:val="273C46"/>
          <w:kern w:val="0"/>
          <w:sz w:val="24"/>
          <w:szCs w:val="24"/>
          <w:lang w:eastAsia="en-IN"/>
          <w14:ligatures w14:val="none"/>
        </w:rPr>
        <w:t>Citibank is the largest credit card issuer in terms of the number of accounts, with 95 million active accounts in 2020.</w:t>
      </w:r>
    </w:p>
    <w:p w14:paraId="4479972E" w14:textId="77777777" w:rsidR="003A528F" w:rsidRPr="003A528F" w:rsidRDefault="00306778"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06778">
        <w:rPr>
          <w:rFonts w:ascii="Times New Roman" w:hAnsi="Times New Roman" w:cs="Times New Roman"/>
          <w:color w:val="273C46"/>
          <w:sz w:val="24"/>
          <w:szCs w:val="24"/>
          <w:shd w:val="clear" w:color="auto" w:fill="FFFFFF"/>
        </w:rPr>
        <w:t>T</w:t>
      </w:r>
      <w:r w:rsidRPr="00306778">
        <w:rPr>
          <w:rFonts w:ascii="Times New Roman" w:hAnsi="Times New Roman" w:cs="Times New Roman"/>
          <w:color w:val="273C46"/>
          <w:sz w:val="24"/>
          <w:szCs w:val="24"/>
          <w:shd w:val="clear" w:color="auto" w:fill="FFFFFF"/>
        </w:rPr>
        <w:t>he largest credit card issuer in terms of payment volume is Chase Bank, which facilitated $1.25 trillion in 2023 payments.</w:t>
      </w:r>
    </w:p>
    <w:p w14:paraId="559E23B8" w14:textId="77777777" w:rsidR="003A528F" w:rsidRPr="003A528F" w:rsidRDefault="003A528F"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A528F">
        <w:rPr>
          <w:rFonts w:ascii="Times New Roman" w:hAnsi="Times New Roman" w:cs="Times New Roman"/>
          <w:sz w:val="24"/>
          <w:szCs w:val="24"/>
          <w:lang w:eastAsia="en-IN"/>
        </w:rPr>
        <w:t>After California and New York, Virginia has the highest credit card industry market value at $24.4 trillion as of 2023.</w:t>
      </w:r>
    </w:p>
    <w:p w14:paraId="3906C39F" w14:textId="77777777" w:rsidR="003A528F" w:rsidRPr="003A528F" w:rsidRDefault="003A528F" w:rsidP="003A528F">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A528F">
        <w:rPr>
          <w:rFonts w:ascii="Times New Roman" w:hAnsi="Times New Roman" w:cs="Times New Roman"/>
          <w:sz w:val="24"/>
          <w:szCs w:val="24"/>
          <w:lang w:eastAsia="en-IN"/>
        </w:rPr>
        <w:t>States with the highest-valued credit card issuing industry are New York ($29.0 trillion), Virginia ($22.8 trillion), and Florida ($18.1 trillion).</w:t>
      </w:r>
    </w:p>
    <w:p w14:paraId="0ACBBB9F" w14:textId="2FBA6233" w:rsidR="003A528F" w:rsidRPr="003A528F" w:rsidRDefault="003A528F" w:rsidP="005361E7">
      <w:pPr>
        <w:pStyle w:val="ListParagraph"/>
        <w:numPr>
          <w:ilvl w:val="0"/>
          <w:numId w:val="5"/>
        </w:num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r w:rsidRPr="003A528F">
        <w:rPr>
          <w:rFonts w:ascii="Times New Roman" w:hAnsi="Times New Roman" w:cs="Times New Roman"/>
          <w:sz w:val="24"/>
          <w:szCs w:val="24"/>
          <w:lang w:eastAsia="en-IN"/>
        </w:rPr>
        <w:t>States with the highest-valued credit card processing industry are California ($53.0 trillion), Texas ($10.1 trillion), and Georgia ($9.83 trillion).</w:t>
      </w:r>
    </w:p>
    <w:tbl>
      <w:tblPr>
        <w:tblW w:w="4673" w:type="dxa"/>
        <w:tblLook w:val="04A0" w:firstRow="1" w:lastRow="0" w:firstColumn="1" w:lastColumn="0" w:noHBand="0" w:noVBand="1"/>
      </w:tblPr>
      <w:tblGrid>
        <w:gridCol w:w="2628"/>
        <w:gridCol w:w="2045"/>
      </w:tblGrid>
      <w:tr w:rsidR="00747E5A" w:rsidRPr="00747E5A" w14:paraId="1F04109B" w14:textId="77777777" w:rsidTr="00747E5A">
        <w:trPr>
          <w:trHeight w:val="310"/>
        </w:trPr>
        <w:tc>
          <w:tcPr>
            <w:tcW w:w="262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D5D82F" w14:textId="77777777" w:rsidR="00747E5A" w:rsidRPr="00747E5A" w:rsidRDefault="00747E5A" w:rsidP="00747E5A">
            <w:pPr>
              <w:spacing w:after="0" w:line="240" w:lineRule="auto"/>
              <w:rPr>
                <w:rFonts w:ascii="Times New Roman" w:eastAsia="Times New Roman" w:hAnsi="Times New Roman" w:cs="Times New Roman"/>
                <w:b/>
                <w:bCs/>
                <w:color w:val="000000"/>
                <w:kern w:val="0"/>
                <w:sz w:val="24"/>
                <w:szCs w:val="24"/>
                <w:lang w:eastAsia="en-IN"/>
                <w14:ligatures w14:val="none"/>
              </w:rPr>
            </w:pPr>
            <w:r w:rsidRPr="00747E5A">
              <w:rPr>
                <w:rFonts w:ascii="Times New Roman" w:eastAsia="Times New Roman" w:hAnsi="Times New Roman" w:cs="Times New Roman"/>
                <w:b/>
                <w:bCs/>
                <w:color w:val="000000"/>
                <w:kern w:val="0"/>
                <w:sz w:val="24"/>
                <w:szCs w:val="24"/>
                <w:lang w:eastAsia="en-IN"/>
                <w14:ligatures w14:val="none"/>
              </w:rPr>
              <w:lastRenderedPageBreak/>
              <w:t>Payment Method</w:t>
            </w:r>
          </w:p>
        </w:tc>
        <w:tc>
          <w:tcPr>
            <w:tcW w:w="2045" w:type="dxa"/>
            <w:tcBorders>
              <w:top w:val="single" w:sz="4" w:space="0" w:color="auto"/>
              <w:left w:val="nil"/>
              <w:bottom w:val="single" w:sz="4" w:space="0" w:color="auto"/>
              <w:right w:val="single" w:sz="4" w:space="0" w:color="auto"/>
            </w:tcBorders>
            <w:shd w:val="clear" w:color="auto" w:fill="auto"/>
            <w:vAlign w:val="center"/>
            <w:hideMark/>
          </w:tcPr>
          <w:p w14:paraId="7AD380E0" w14:textId="77777777" w:rsidR="00747E5A" w:rsidRPr="00747E5A" w:rsidRDefault="00747E5A" w:rsidP="00747E5A">
            <w:pPr>
              <w:spacing w:after="0" w:line="240" w:lineRule="auto"/>
              <w:rPr>
                <w:rFonts w:ascii="Times New Roman" w:eastAsia="Times New Roman" w:hAnsi="Times New Roman" w:cs="Times New Roman"/>
                <w:b/>
                <w:bCs/>
                <w:color w:val="000000"/>
                <w:kern w:val="0"/>
                <w:sz w:val="24"/>
                <w:szCs w:val="24"/>
                <w:lang w:eastAsia="en-IN"/>
                <w14:ligatures w14:val="none"/>
              </w:rPr>
            </w:pPr>
            <w:r w:rsidRPr="00747E5A">
              <w:rPr>
                <w:rFonts w:ascii="Times New Roman" w:eastAsia="Times New Roman" w:hAnsi="Times New Roman" w:cs="Times New Roman"/>
                <w:b/>
                <w:bCs/>
                <w:color w:val="000000"/>
                <w:kern w:val="0"/>
                <w:sz w:val="24"/>
                <w:szCs w:val="24"/>
                <w:lang w:eastAsia="en-IN"/>
                <w14:ligatures w14:val="none"/>
              </w:rPr>
              <w:t>Percentage</w:t>
            </w:r>
          </w:p>
        </w:tc>
      </w:tr>
      <w:tr w:rsidR="00747E5A" w:rsidRPr="00747E5A" w14:paraId="3DA5F4C9" w14:textId="77777777" w:rsidTr="00747E5A">
        <w:trPr>
          <w:trHeight w:val="589"/>
        </w:trPr>
        <w:tc>
          <w:tcPr>
            <w:tcW w:w="2628" w:type="dxa"/>
            <w:tcBorders>
              <w:top w:val="nil"/>
              <w:left w:val="single" w:sz="4" w:space="0" w:color="auto"/>
              <w:bottom w:val="single" w:sz="4" w:space="0" w:color="auto"/>
              <w:right w:val="single" w:sz="4" w:space="0" w:color="auto"/>
            </w:tcBorders>
            <w:shd w:val="clear" w:color="auto" w:fill="auto"/>
            <w:vAlign w:val="center"/>
            <w:hideMark/>
          </w:tcPr>
          <w:p w14:paraId="79FDCE44"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Physical debit card</w:t>
            </w:r>
          </w:p>
        </w:tc>
        <w:tc>
          <w:tcPr>
            <w:tcW w:w="2045" w:type="dxa"/>
            <w:tcBorders>
              <w:top w:val="nil"/>
              <w:left w:val="nil"/>
              <w:bottom w:val="single" w:sz="4" w:space="0" w:color="auto"/>
              <w:right w:val="single" w:sz="4" w:space="0" w:color="auto"/>
            </w:tcBorders>
            <w:shd w:val="clear" w:color="auto" w:fill="auto"/>
            <w:vAlign w:val="center"/>
            <w:hideMark/>
          </w:tcPr>
          <w:p w14:paraId="18DEFD3E"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47%</w:t>
            </w:r>
          </w:p>
        </w:tc>
      </w:tr>
      <w:tr w:rsidR="00747E5A" w:rsidRPr="00747E5A" w14:paraId="6ABC63E8" w14:textId="77777777" w:rsidTr="00747E5A">
        <w:trPr>
          <w:trHeight w:val="445"/>
        </w:trPr>
        <w:tc>
          <w:tcPr>
            <w:tcW w:w="2628" w:type="dxa"/>
            <w:tcBorders>
              <w:top w:val="nil"/>
              <w:left w:val="single" w:sz="4" w:space="0" w:color="auto"/>
              <w:bottom w:val="single" w:sz="4" w:space="0" w:color="auto"/>
              <w:right w:val="single" w:sz="4" w:space="0" w:color="auto"/>
            </w:tcBorders>
            <w:shd w:val="clear" w:color="auto" w:fill="auto"/>
            <w:vAlign w:val="center"/>
            <w:hideMark/>
          </w:tcPr>
          <w:p w14:paraId="22ACA4E1"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Physical credit card</w:t>
            </w:r>
          </w:p>
        </w:tc>
        <w:tc>
          <w:tcPr>
            <w:tcW w:w="2045" w:type="dxa"/>
            <w:tcBorders>
              <w:top w:val="nil"/>
              <w:left w:val="nil"/>
              <w:bottom w:val="single" w:sz="4" w:space="0" w:color="auto"/>
              <w:right w:val="single" w:sz="4" w:space="0" w:color="auto"/>
            </w:tcBorders>
            <w:shd w:val="clear" w:color="auto" w:fill="auto"/>
            <w:vAlign w:val="center"/>
            <w:hideMark/>
          </w:tcPr>
          <w:p w14:paraId="543E07C1"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33%</w:t>
            </w:r>
          </w:p>
        </w:tc>
      </w:tr>
      <w:tr w:rsidR="00747E5A" w:rsidRPr="00747E5A" w14:paraId="76A0B3AA" w14:textId="77777777" w:rsidTr="00747E5A">
        <w:trPr>
          <w:trHeight w:val="437"/>
        </w:trPr>
        <w:tc>
          <w:tcPr>
            <w:tcW w:w="2628" w:type="dxa"/>
            <w:tcBorders>
              <w:top w:val="nil"/>
              <w:left w:val="single" w:sz="4" w:space="0" w:color="auto"/>
              <w:bottom w:val="single" w:sz="4" w:space="0" w:color="auto"/>
              <w:right w:val="single" w:sz="4" w:space="0" w:color="auto"/>
            </w:tcBorders>
            <w:shd w:val="clear" w:color="auto" w:fill="auto"/>
            <w:vAlign w:val="center"/>
            <w:hideMark/>
          </w:tcPr>
          <w:p w14:paraId="5851B198"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Cash or check</w:t>
            </w:r>
          </w:p>
        </w:tc>
        <w:tc>
          <w:tcPr>
            <w:tcW w:w="2045" w:type="dxa"/>
            <w:tcBorders>
              <w:top w:val="nil"/>
              <w:left w:val="nil"/>
              <w:bottom w:val="single" w:sz="4" w:space="0" w:color="auto"/>
              <w:right w:val="single" w:sz="4" w:space="0" w:color="auto"/>
            </w:tcBorders>
            <w:shd w:val="clear" w:color="auto" w:fill="auto"/>
            <w:vAlign w:val="center"/>
            <w:hideMark/>
          </w:tcPr>
          <w:p w14:paraId="5116E6CA"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9%</w:t>
            </w:r>
          </w:p>
        </w:tc>
      </w:tr>
      <w:tr w:rsidR="00747E5A" w:rsidRPr="00747E5A" w14:paraId="3C431727" w14:textId="77777777" w:rsidTr="00747E5A">
        <w:trPr>
          <w:trHeight w:val="306"/>
        </w:trPr>
        <w:tc>
          <w:tcPr>
            <w:tcW w:w="2628" w:type="dxa"/>
            <w:tcBorders>
              <w:top w:val="nil"/>
              <w:left w:val="single" w:sz="4" w:space="0" w:color="auto"/>
              <w:bottom w:val="single" w:sz="4" w:space="0" w:color="auto"/>
              <w:right w:val="single" w:sz="4" w:space="0" w:color="auto"/>
            </w:tcBorders>
            <w:shd w:val="clear" w:color="auto" w:fill="auto"/>
            <w:vAlign w:val="center"/>
            <w:hideMark/>
          </w:tcPr>
          <w:p w14:paraId="0E196A43"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Virtual debit card</w:t>
            </w:r>
          </w:p>
        </w:tc>
        <w:tc>
          <w:tcPr>
            <w:tcW w:w="2045" w:type="dxa"/>
            <w:tcBorders>
              <w:top w:val="nil"/>
              <w:left w:val="nil"/>
              <w:bottom w:val="single" w:sz="4" w:space="0" w:color="auto"/>
              <w:right w:val="single" w:sz="4" w:space="0" w:color="auto"/>
            </w:tcBorders>
            <w:shd w:val="clear" w:color="auto" w:fill="auto"/>
            <w:vAlign w:val="center"/>
            <w:hideMark/>
          </w:tcPr>
          <w:p w14:paraId="000E363B"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6%</w:t>
            </w:r>
          </w:p>
        </w:tc>
      </w:tr>
      <w:tr w:rsidR="00747E5A" w:rsidRPr="00747E5A" w14:paraId="13E2F8B6" w14:textId="77777777" w:rsidTr="00747E5A">
        <w:trPr>
          <w:trHeight w:val="445"/>
        </w:trPr>
        <w:tc>
          <w:tcPr>
            <w:tcW w:w="2628" w:type="dxa"/>
            <w:tcBorders>
              <w:top w:val="nil"/>
              <w:left w:val="single" w:sz="4" w:space="0" w:color="auto"/>
              <w:bottom w:val="single" w:sz="4" w:space="0" w:color="auto"/>
              <w:right w:val="single" w:sz="4" w:space="0" w:color="auto"/>
            </w:tcBorders>
            <w:shd w:val="clear" w:color="auto" w:fill="auto"/>
            <w:vAlign w:val="center"/>
            <w:hideMark/>
          </w:tcPr>
          <w:p w14:paraId="74DC02F7"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Virtual credit card</w:t>
            </w:r>
          </w:p>
        </w:tc>
        <w:tc>
          <w:tcPr>
            <w:tcW w:w="2045" w:type="dxa"/>
            <w:tcBorders>
              <w:top w:val="nil"/>
              <w:left w:val="nil"/>
              <w:bottom w:val="single" w:sz="4" w:space="0" w:color="auto"/>
              <w:right w:val="single" w:sz="4" w:space="0" w:color="auto"/>
            </w:tcBorders>
            <w:shd w:val="clear" w:color="auto" w:fill="auto"/>
            <w:vAlign w:val="center"/>
            <w:hideMark/>
          </w:tcPr>
          <w:p w14:paraId="376AB65E" w14:textId="77777777" w:rsidR="00747E5A" w:rsidRPr="00747E5A" w:rsidRDefault="00747E5A" w:rsidP="00747E5A">
            <w:pPr>
              <w:spacing w:after="0" w:line="240" w:lineRule="auto"/>
              <w:rPr>
                <w:rFonts w:ascii="Times New Roman" w:eastAsia="Times New Roman" w:hAnsi="Times New Roman" w:cs="Times New Roman"/>
                <w:color w:val="000000"/>
                <w:kern w:val="0"/>
                <w:sz w:val="24"/>
                <w:szCs w:val="24"/>
                <w:lang w:eastAsia="en-IN"/>
                <w14:ligatures w14:val="none"/>
              </w:rPr>
            </w:pPr>
            <w:r w:rsidRPr="00747E5A">
              <w:rPr>
                <w:rFonts w:ascii="Times New Roman" w:eastAsia="Times New Roman" w:hAnsi="Times New Roman" w:cs="Times New Roman"/>
                <w:color w:val="000000"/>
                <w:kern w:val="0"/>
                <w:sz w:val="24"/>
                <w:szCs w:val="24"/>
                <w:lang w:eastAsia="en-IN"/>
                <w14:ligatures w14:val="none"/>
              </w:rPr>
              <w:t>4%</w:t>
            </w:r>
          </w:p>
        </w:tc>
      </w:tr>
    </w:tbl>
    <w:p w14:paraId="63731D64" w14:textId="77777777" w:rsidR="00747E5A" w:rsidRPr="00306778" w:rsidRDefault="00747E5A" w:rsidP="00E967F8">
      <w:pPr>
        <w:shd w:val="clear" w:color="auto" w:fill="FFFFFF"/>
        <w:spacing w:before="100" w:beforeAutospacing="1" w:after="100" w:afterAutospacing="1" w:line="240" w:lineRule="auto"/>
        <w:rPr>
          <w:rFonts w:ascii="Times New Roman" w:hAnsi="Times New Roman" w:cs="Times New Roman"/>
          <w:color w:val="333333"/>
          <w:sz w:val="24"/>
          <w:szCs w:val="24"/>
          <w:shd w:val="clear" w:color="auto" w:fill="FFFFFF"/>
        </w:rPr>
      </w:pPr>
    </w:p>
    <w:p w14:paraId="683F3ECC" w14:textId="6F240343" w:rsidR="00747E5A" w:rsidRPr="00E967F8" w:rsidRDefault="00747E5A" w:rsidP="00E967F8">
      <w:pPr>
        <w:shd w:val="clear" w:color="auto" w:fill="FFFFFF"/>
        <w:spacing w:before="100" w:beforeAutospacing="1" w:after="100" w:afterAutospacing="1" w:line="240" w:lineRule="auto"/>
        <w:rPr>
          <w:rFonts w:ascii="Arial" w:eastAsia="Times New Roman" w:hAnsi="Arial" w:cs="Arial"/>
          <w:color w:val="111111"/>
          <w:spacing w:val="1"/>
          <w:kern w:val="0"/>
          <w:sz w:val="27"/>
          <w:szCs w:val="27"/>
          <w:lang w:eastAsia="en-IN"/>
          <w14:ligatures w14:val="none"/>
        </w:rPr>
      </w:pPr>
      <w:r>
        <w:rPr>
          <w:noProof/>
        </w:rPr>
        <w:drawing>
          <wp:inline distT="0" distB="0" distL="0" distR="0" wp14:anchorId="539E0525" wp14:editId="362B8B68">
            <wp:extent cx="4667416" cy="2941983"/>
            <wp:effectExtent l="0" t="0" r="0" b="10795"/>
            <wp:docPr id="552688777" name="Chart 1">
              <a:extLst xmlns:a="http://schemas.openxmlformats.org/drawingml/2006/main">
                <a:ext uri="{FF2B5EF4-FFF2-40B4-BE49-F238E27FC236}">
                  <a16:creationId xmlns:a16="http://schemas.microsoft.com/office/drawing/2014/main" id="{6336DAD4-59E8-BF3E-0C23-D6E5CA346A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16D1206" w14:textId="77777777" w:rsidR="00E967F8" w:rsidRPr="00D858F4" w:rsidRDefault="00E967F8" w:rsidP="00D858F4">
      <w:pPr>
        <w:rPr>
          <w:lang w:val="en-US"/>
        </w:rPr>
      </w:pPr>
    </w:p>
    <w:sectPr w:rsidR="00E967F8" w:rsidRPr="00D858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376E87"/>
    <w:multiLevelType w:val="multilevel"/>
    <w:tmpl w:val="1108B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DE4EB8"/>
    <w:multiLevelType w:val="multilevel"/>
    <w:tmpl w:val="5D283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CA6979"/>
    <w:multiLevelType w:val="multilevel"/>
    <w:tmpl w:val="0BE0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901B0"/>
    <w:multiLevelType w:val="multilevel"/>
    <w:tmpl w:val="D4B0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433B60"/>
    <w:multiLevelType w:val="hybridMultilevel"/>
    <w:tmpl w:val="EFB69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15A230F"/>
    <w:multiLevelType w:val="hybridMultilevel"/>
    <w:tmpl w:val="60B8D9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EA06F76"/>
    <w:multiLevelType w:val="multilevel"/>
    <w:tmpl w:val="802A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C43CAA"/>
    <w:multiLevelType w:val="multilevel"/>
    <w:tmpl w:val="2434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CE4A3F"/>
    <w:multiLevelType w:val="multilevel"/>
    <w:tmpl w:val="337C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42754225">
    <w:abstractNumId w:val="3"/>
  </w:num>
  <w:num w:numId="2" w16cid:durableId="2098863721">
    <w:abstractNumId w:val="8"/>
  </w:num>
  <w:num w:numId="3" w16cid:durableId="483939211">
    <w:abstractNumId w:val="5"/>
  </w:num>
  <w:num w:numId="4" w16cid:durableId="1993873884">
    <w:abstractNumId w:val="2"/>
  </w:num>
  <w:num w:numId="5" w16cid:durableId="1791044965">
    <w:abstractNumId w:val="4"/>
  </w:num>
  <w:num w:numId="6" w16cid:durableId="1887833231">
    <w:abstractNumId w:val="7"/>
  </w:num>
  <w:num w:numId="7" w16cid:durableId="593125476">
    <w:abstractNumId w:val="6"/>
  </w:num>
  <w:num w:numId="8" w16cid:durableId="1547108965">
    <w:abstractNumId w:val="1"/>
  </w:num>
  <w:num w:numId="9" w16cid:durableId="301084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F4"/>
    <w:rsid w:val="00001581"/>
    <w:rsid w:val="00027B31"/>
    <w:rsid w:val="00112DB2"/>
    <w:rsid w:val="00306778"/>
    <w:rsid w:val="003A528F"/>
    <w:rsid w:val="006223C2"/>
    <w:rsid w:val="00667333"/>
    <w:rsid w:val="00747E5A"/>
    <w:rsid w:val="00AC19B7"/>
    <w:rsid w:val="00D858F4"/>
    <w:rsid w:val="00E12017"/>
    <w:rsid w:val="00E967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687D"/>
  <w15:chartTrackingRefBased/>
  <w15:docId w15:val="{ADA0DF77-073B-42C2-9D30-18BDEC6576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858F4"/>
    <w:rPr>
      <w:color w:val="0000FF"/>
      <w:u w:val="single"/>
    </w:rPr>
  </w:style>
  <w:style w:type="character" w:styleId="Strong">
    <w:name w:val="Strong"/>
    <w:basedOn w:val="DefaultParagraphFont"/>
    <w:uiPriority w:val="22"/>
    <w:qFormat/>
    <w:rsid w:val="00D858F4"/>
    <w:rPr>
      <w:b/>
      <w:bCs/>
    </w:rPr>
  </w:style>
  <w:style w:type="paragraph" w:styleId="NormalWeb">
    <w:name w:val="Normal (Web)"/>
    <w:basedOn w:val="Normal"/>
    <w:uiPriority w:val="99"/>
    <w:semiHidden/>
    <w:unhideWhenUsed/>
    <w:rsid w:val="00027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lecrdtxtpln">
    <w:name w:val="l_ecrd_txt_pln"/>
    <w:basedOn w:val="DefaultParagraphFont"/>
    <w:rsid w:val="00027B31"/>
  </w:style>
  <w:style w:type="character" w:customStyle="1" w:styleId="lecrdtxthlt">
    <w:name w:val="l_ecrd_txt_hlt"/>
    <w:basedOn w:val="DefaultParagraphFont"/>
    <w:rsid w:val="00027B31"/>
  </w:style>
  <w:style w:type="paragraph" w:styleId="ListParagraph">
    <w:name w:val="List Paragraph"/>
    <w:basedOn w:val="Normal"/>
    <w:uiPriority w:val="34"/>
    <w:qFormat/>
    <w:rsid w:val="00E12017"/>
    <w:pPr>
      <w:ind w:left="720"/>
      <w:contextualSpacing/>
    </w:pPr>
  </w:style>
  <w:style w:type="paragraph" w:styleId="NoSpacing">
    <w:name w:val="No Spacing"/>
    <w:uiPriority w:val="1"/>
    <w:qFormat/>
    <w:rsid w:val="003A528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376539">
      <w:bodyDiv w:val="1"/>
      <w:marLeft w:val="0"/>
      <w:marRight w:val="0"/>
      <w:marTop w:val="0"/>
      <w:marBottom w:val="0"/>
      <w:divBdr>
        <w:top w:val="none" w:sz="0" w:space="0" w:color="auto"/>
        <w:left w:val="none" w:sz="0" w:space="0" w:color="auto"/>
        <w:bottom w:val="none" w:sz="0" w:space="0" w:color="auto"/>
        <w:right w:val="none" w:sz="0" w:space="0" w:color="auto"/>
      </w:divBdr>
    </w:div>
    <w:div w:id="265963475">
      <w:bodyDiv w:val="1"/>
      <w:marLeft w:val="0"/>
      <w:marRight w:val="0"/>
      <w:marTop w:val="0"/>
      <w:marBottom w:val="0"/>
      <w:divBdr>
        <w:top w:val="none" w:sz="0" w:space="0" w:color="auto"/>
        <w:left w:val="none" w:sz="0" w:space="0" w:color="auto"/>
        <w:bottom w:val="none" w:sz="0" w:space="0" w:color="auto"/>
        <w:right w:val="none" w:sz="0" w:space="0" w:color="auto"/>
      </w:divBdr>
    </w:div>
    <w:div w:id="286087186">
      <w:bodyDiv w:val="1"/>
      <w:marLeft w:val="0"/>
      <w:marRight w:val="0"/>
      <w:marTop w:val="0"/>
      <w:marBottom w:val="0"/>
      <w:divBdr>
        <w:top w:val="none" w:sz="0" w:space="0" w:color="auto"/>
        <w:left w:val="none" w:sz="0" w:space="0" w:color="auto"/>
        <w:bottom w:val="none" w:sz="0" w:space="0" w:color="auto"/>
        <w:right w:val="none" w:sz="0" w:space="0" w:color="auto"/>
      </w:divBdr>
    </w:div>
    <w:div w:id="362634556">
      <w:bodyDiv w:val="1"/>
      <w:marLeft w:val="0"/>
      <w:marRight w:val="0"/>
      <w:marTop w:val="0"/>
      <w:marBottom w:val="0"/>
      <w:divBdr>
        <w:top w:val="none" w:sz="0" w:space="0" w:color="auto"/>
        <w:left w:val="none" w:sz="0" w:space="0" w:color="auto"/>
        <w:bottom w:val="none" w:sz="0" w:space="0" w:color="auto"/>
        <w:right w:val="none" w:sz="0" w:space="0" w:color="auto"/>
      </w:divBdr>
    </w:div>
    <w:div w:id="584336516">
      <w:bodyDiv w:val="1"/>
      <w:marLeft w:val="0"/>
      <w:marRight w:val="0"/>
      <w:marTop w:val="0"/>
      <w:marBottom w:val="0"/>
      <w:divBdr>
        <w:top w:val="none" w:sz="0" w:space="0" w:color="auto"/>
        <w:left w:val="none" w:sz="0" w:space="0" w:color="auto"/>
        <w:bottom w:val="none" w:sz="0" w:space="0" w:color="auto"/>
        <w:right w:val="none" w:sz="0" w:space="0" w:color="auto"/>
      </w:divBdr>
    </w:div>
    <w:div w:id="1039626208">
      <w:bodyDiv w:val="1"/>
      <w:marLeft w:val="0"/>
      <w:marRight w:val="0"/>
      <w:marTop w:val="0"/>
      <w:marBottom w:val="0"/>
      <w:divBdr>
        <w:top w:val="none" w:sz="0" w:space="0" w:color="auto"/>
        <w:left w:val="none" w:sz="0" w:space="0" w:color="auto"/>
        <w:bottom w:val="none" w:sz="0" w:space="0" w:color="auto"/>
        <w:right w:val="none" w:sz="0" w:space="0" w:color="auto"/>
      </w:divBdr>
    </w:div>
    <w:div w:id="1087386295">
      <w:bodyDiv w:val="1"/>
      <w:marLeft w:val="0"/>
      <w:marRight w:val="0"/>
      <w:marTop w:val="0"/>
      <w:marBottom w:val="0"/>
      <w:divBdr>
        <w:top w:val="none" w:sz="0" w:space="0" w:color="auto"/>
        <w:left w:val="none" w:sz="0" w:space="0" w:color="auto"/>
        <w:bottom w:val="none" w:sz="0" w:space="0" w:color="auto"/>
        <w:right w:val="none" w:sz="0" w:space="0" w:color="auto"/>
      </w:divBdr>
    </w:div>
    <w:div w:id="1629241920">
      <w:bodyDiv w:val="1"/>
      <w:marLeft w:val="0"/>
      <w:marRight w:val="0"/>
      <w:marTop w:val="0"/>
      <w:marBottom w:val="0"/>
      <w:divBdr>
        <w:top w:val="none" w:sz="0" w:space="0" w:color="auto"/>
        <w:left w:val="none" w:sz="0" w:space="0" w:color="auto"/>
        <w:bottom w:val="none" w:sz="0" w:space="0" w:color="auto"/>
        <w:right w:val="none" w:sz="0" w:space="0" w:color="auto"/>
      </w:divBdr>
    </w:div>
    <w:div w:id="1744571383">
      <w:bodyDiv w:val="1"/>
      <w:marLeft w:val="0"/>
      <w:marRight w:val="0"/>
      <w:marTop w:val="0"/>
      <w:marBottom w:val="0"/>
      <w:divBdr>
        <w:top w:val="none" w:sz="0" w:space="0" w:color="auto"/>
        <w:left w:val="none" w:sz="0" w:space="0" w:color="auto"/>
        <w:bottom w:val="none" w:sz="0" w:space="0" w:color="auto"/>
        <w:right w:val="none" w:sz="0" w:space="0" w:color="auto"/>
      </w:divBdr>
    </w:div>
    <w:div w:id="1856072785">
      <w:bodyDiv w:val="1"/>
      <w:marLeft w:val="0"/>
      <w:marRight w:val="0"/>
      <w:marTop w:val="0"/>
      <w:marBottom w:val="0"/>
      <w:divBdr>
        <w:top w:val="none" w:sz="0" w:space="0" w:color="auto"/>
        <w:left w:val="none" w:sz="0" w:space="0" w:color="auto"/>
        <w:bottom w:val="none" w:sz="0" w:space="0" w:color="auto"/>
        <w:right w:val="none" w:sz="0" w:space="0" w:color="auto"/>
      </w:divBdr>
    </w:div>
    <w:div w:id="1936282688">
      <w:bodyDiv w:val="1"/>
      <w:marLeft w:val="0"/>
      <w:marRight w:val="0"/>
      <w:marTop w:val="0"/>
      <w:marBottom w:val="0"/>
      <w:divBdr>
        <w:top w:val="none" w:sz="0" w:space="0" w:color="auto"/>
        <w:left w:val="none" w:sz="0" w:space="0" w:color="auto"/>
        <w:bottom w:val="none" w:sz="0" w:space="0" w:color="auto"/>
        <w:right w:val="none" w:sz="0" w:space="0" w:color="auto"/>
      </w:divBdr>
    </w:div>
    <w:div w:id="1949966908">
      <w:bodyDiv w:val="1"/>
      <w:marLeft w:val="0"/>
      <w:marRight w:val="0"/>
      <w:marTop w:val="0"/>
      <w:marBottom w:val="0"/>
      <w:divBdr>
        <w:top w:val="none" w:sz="0" w:space="0" w:color="auto"/>
        <w:left w:val="none" w:sz="0" w:space="0" w:color="auto"/>
        <w:bottom w:val="none" w:sz="0" w:space="0" w:color="auto"/>
        <w:right w:val="none" w:sz="0" w:space="0" w:color="auto"/>
      </w:divBdr>
    </w:div>
    <w:div w:id="2141486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xperian.com/blogs/ask-experian/research/home-equity-line-of-credit-study/" TargetMode="External"/><Relationship Id="rId13" Type="http://schemas.openxmlformats.org/officeDocument/2006/relationships/hyperlink" Target="https://www.forbes.com/advisor/credit-cards/best/american-express/" TargetMode="External"/><Relationship Id="rId3" Type="http://schemas.openxmlformats.org/officeDocument/2006/relationships/settings" Target="settings.xml"/><Relationship Id="rId7" Type="http://schemas.openxmlformats.org/officeDocument/2006/relationships/hyperlink" Target="https://www.investopedia.com/terms/f/foreclosure.asp" TargetMode="External"/><Relationship Id="rId12" Type="http://schemas.openxmlformats.org/officeDocument/2006/relationships/hyperlink" Target="https://www.forbes.com/advisor/credit-cards/best/mastercard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investopedia.com/terms/c/collateral.asp" TargetMode="External"/><Relationship Id="rId11" Type="http://schemas.openxmlformats.org/officeDocument/2006/relationships/hyperlink" Target="https://www.forbes.com/advisor/credit-cards/best/visa/" TargetMode="External"/><Relationship Id="rId5" Type="http://schemas.openxmlformats.org/officeDocument/2006/relationships/hyperlink" Target="https://www.investopedia.com/mortgage/heloc/home-equity-vs-heloc/" TargetMode="External"/><Relationship Id="rId15" Type="http://schemas.openxmlformats.org/officeDocument/2006/relationships/chart" Target="charts/chart2.xml"/><Relationship Id="rId10" Type="http://schemas.openxmlformats.org/officeDocument/2006/relationships/hyperlink" Target="https://www.forbes.com/advisor/credit-cards/average-credit-card-interest-rate/"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www.forbes.com/advisor/credit-cards/best/discov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1521734470691164"/>
          <c:y val="2.777777777777777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Sheet1!$B$1:$B$3</c:f>
              <c:strCache>
                <c:ptCount val="3"/>
                <c:pt idx="0">
                  <c:v>Number of HELOC Accounts (2018 to 2023)</c:v>
                </c:pt>
                <c:pt idx="2">
                  <c:v>Revolving Accounts (millions)</c:v>
                </c:pt>
              </c:strCache>
            </c:strRef>
          </c:tx>
          <c:spPr>
            <a:solidFill>
              <a:schemeClr val="accent1"/>
            </a:solidFill>
            <a:ln>
              <a:noFill/>
            </a:ln>
            <a:effectLst/>
          </c:spPr>
          <c:invertIfNegative val="0"/>
          <c:trendline>
            <c:spPr>
              <a:ln w="19050" cap="rnd">
                <a:solidFill>
                  <a:schemeClr val="accent1"/>
                </a:solidFill>
                <a:prstDash val="sysDot"/>
              </a:ln>
              <a:effectLst/>
            </c:spPr>
            <c:trendlineType val="linear"/>
            <c:dispRSqr val="0"/>
            <c:dispEq val="0"/>
          </c:trendline>
          <c:cat>
            <c:strRef>
              <c:f>Sheet1!$A$4:$A$31</c:f>
              <c:strCache>
                <c:ptCount val="21"/>
                <c:pt idx="0">
                  <c:v>2018 Q2</c:v>
                </c:pt>
                <c:pt idx="1">
                  <c:v>2018 Q3</c:v>
                </c:pt>
                <c:pt idx="2">
                  <c:v>2018 Q4</c:v>
                </c:pt>
                <c:pt idx="3">
                  <c:v>2019 Q1</c:v>
                </c:pt>
                <c:pt idx="4">
                  <c:v>2019 Q2</c:v>
                </c:pt>
                <c:pt idx="5">
                  <c:v>2019 Q3</c:v>
                </c:pt>
                <c:pt idx="6">
                  <c:v>2019 Q4</c:v>
                </c:pt>
                <c:pt idx="7">
                  <c:v>2020 Q1</c:v>
                </c:pt>
                <c:pt idx="8">
                  <c:v>2020 Q2</c:v>
                </c:pt>
                <c:pt idx="9">
                  <c:v>2020 Q3</c:v>
                </c:pt>
                <c:pt idx="10">
                  <c:v>2020 Q4</c:v>
                </c:pt>
                <c:pt idx="11">
                  <c:v>2021 Q1</c:v>
                </c:pt>
                <c:pt idx="12">
                  <c:v>2021 Q2</c:v>
                </c:pt>
                <c:pt idx="13">
                  <c:v>2021 Q3</c:v>
                </c:pt>
                <c:pt idx="14">
                  <c:v>2021 Q4</c:v>
                </c:pt>
                <c:pt idx="15">
                  <c:v>2022 Q1</c:v>
                </c:pt>
                <c:pt idx="16">
                  <c:v>2022 Q2</c:v>
                </c:pt>
                <c:pt idx="17">
                  <c:v>2022 Q3</c:v>
                </c:pt>
                <c:pt idx="18">
                  <c:v>2022 Q4</c:v>
                </c:pt>
                <c:pt idx="19">
                  <c:v>2023 Q1</c:v>
                </c:pt>
                <c:pt idx="20">
                  <c:v>2023 Q2</c:v>
                </c:pt>
              </c:strCache>
            </c:strRef>
          </c:cat>
          <c:val>
            <c:numRef>
              <c:f>Sheet1!$B$4:$B$31</c:f>
              <c:numCache>
                <c:formatCode>General</c:formatCode>
                <c:ptCount val="28"/>
                <c:pt idx="0">
                  <c:v>15.8</c:v>
                </c:pt>
                <c:pt idx="1">
                  <c:v>15.6</c:v>
                </c:pt>
                <c:pt idx="2">
                  <c:v>15.6</c:v>
                </c:pt>
                <c:pt idx="3">
                  <c:v>15.5</c:v>
                </c:pt>
                <c:pt idx="4">
                  <c:v>15.4</c:v>
                </c:pt>
                <c:pt idx="5">
                  <c:v>15.3</c:v>
                </c:pt>
                <c:pt idx="6">
                  <c:v>15.3</c:v>
                </c:pt>
                <c:pt idx="7">
                  <c:v>15.1</c:v>
                </c:pt>
                <c:pt idx="8">
                  <c:v>15</c:v>
                </c:pt>
                <c:pt idx="9">
                  <c:v>14.8</c:v>
                </c:pt>
                <c:pt idx="10">
                  <c:v>14.6</c:v>
                </c:pt>
                <c:pt idx="11">
                  <c:v>14.1</c:v>
                </c:pt>
                <c:pt idx="12">
                  <c:v>13.8</c:v>
                </c:pt>
                <c:pt idx="13">
                  <c:v>13.4</c:v>
                </c:pt>
                <c:pt idx="14">
                  <c:v>13.1</c:v>
                </c:pt>
                <c:pt idx="15">
                  <c:v>12.8</c:v>
                </c:pt>
                <c:pt idx="16">
                  <c:v>12.8</c:v>
                </c:pt>
                <c:pt idx="17">
                  <c:v>12.7</c:v>
                </c:pt>
                <c:pt idx="18">
                  <c:v>12.8</c:v>
                </c:pt>
                <c:pt idx="19">
                  <c:v>13.1</c:v>
                </c:pt>
                <c:pt idx="20">
                  <c:v>13.1</c:v>
                </c:pt>
              </c:numCache>
            </c:numRef>
          </c:val>
          <c:extLst>
            <c:ext xmlns:c16="http://schemas.microsoft.com/office/drawing/2014/chart" uri="{C3380CC4-5D6E-409C-BE32-E72D297353CC}">
              <c16:uniqueId val="{00000001-AA4C-474D-8F3D-458AAE38F153}"/>
            </c:ext>
          </c:extLst>
        </c:ser>
        <c:dLbls>
          <c:showLegendKey val="0"/>
          <c:showVal val="0"/>
          <c:showCatName val="0"/>
          <c:showSerName val="0"/>
          <c:showPercent val="0"/>
          <c:showBubbleSize val="0"/>
        </c:dLbls>
        <c:gapWidth val="219"/>
        <c:overlap val="-27"/>
        <c:axId val="1609443168"/>
        <c:axId val="1609461888"/>
        <c:extLst>
          <c:ext xmlns:c15="http://schemas.microsoft.com/office/drawing/2012/chart" uri="{02D57815-91ED-43cb-92C2-25804820EDAC}">
            <c15:filteredBarSeries>
              <c15:ser>
                <c:idx val="1"/>
                <c:order val="1"/>
                <c:tx>
                  <c:strRef>
                    <c:extLst>
                      <c:ext uri="{02D57815-91ED-43cb-92C2-25804820EDAC}">
                        <c15:formulaRef>
                          <c15:sqref>Sheet1!$C$1:$C$3</c15:sqref>
                        </c15:formulaRef>
                      </c:ext>
                    </c:extLst>
                    <c:strCache>
                      <c:ptCount val="3"/>
                      <c:pt idx="0">
                        <c:v>Number of HELOC Accounts (2018 to 2023)</c:v>
                      </c:pt>
                      <c:pt idx="2">
                        <c:v>Revolving Accounts (millions)</c:v>
                      </c:pt>
                    </c:strCache>
                  </c:strRef>
                </c:tx>
                <c:spPr>
                  <a:solidFill>
                    <a:schemeClr val="accent2"/>
                  </a:solidFill>
                  <a:ln>
                    <a:noFill/>
                  </a:ln>
                  <a:effectLst/>
                </c:spPr>
                <c:invertIfNegative val="0"/>
                <c:cat>
                  <c:strRef>
                    <c:extLst>
                      <c:ext uri="{02D57815-91ED-43cb-92C2-25804820EDAC}">
                        <c15:formulaRef>
                          <c15:sqref>Sheet1!$A$4:$A$31</c15:sqref>
                        </c15:formulaRef>
                      </c:ext>
                    </c:extLst>
                    <c:strCache>
                      <c:ptCount val="21"/>
                      <c:pt idx="0">
                        <c:v>2018 Q2</c:v>
                      </c:pt>
                      <c:pt idx="1">
                        <c:v>2018 Q3</c:v>
                      </c:pt>
                      <c:pt idx="2">
                        <c:v>2018 Q4</c:v>
                      </c:pt>
                      <c:pt idx="3">
                        <c:v>2019 Q1</c:v>
                      </c:pt>
                      <c:pt idx="4">
                        <c:v>2019 Q2</c:v>
                      </c:pt>
                      <c:pt idx="5">
                        <c:v>2019 Q3</c:v>
                      </c:pt>
                      <c:pt idx="6">
                        <c:v>2019 Q4</c:v>
                      </c:pt>
                      <c:pt idx="7">
                        <c:v>2020 Q1</c:v>
                      </c:pt>
                      <c:pt idx="8">
                        <c:v>2020 Q2</c:v>
                      </c:pt>
                      <c:pt idx="9">
                        <c:v>2020 Q3</c:v>
                      </c:pt>
                      <c:pt idx="10">
                        <c:v>2020 Q4</c:v>
                      </c:pt>
                      <c:pt idx="11">
                        <c:v>2021 Q1</c:v>
                      </c:pt>
                      <c:pt idx="12">
                        <c:v>2021 Q2</c:v>
                      </c:pt>
                      <c:pt idx="13">
                        <c:v>2021 Q3</c:v>
                      </c:pt>
                      <c:pt idx="14">
                        <c:v>2021 Q4</c:v>
                      </c:pt>
                      <c:pt idx="15">
                        <c:v>2022 Q1</c:v>
                      </c:pt>
                      <c:pt idx="16">
                        <c:v>2022 Q2</c:v>
                      </c:pt>
                      <c:pt idx="17">
                        <c:v>2022 Q3</c:v>
                      </c:pt>
                      <c:pt idx="18">
                        <c:v>2022 Q4</c:v>
                      </c:pt>
                      <c:pt idx="19">
                        <c:v>2023 Q1</c:v>
                      </c:pt>
                      <c:pt idx="20">
                        <c:v>2023 Q2</c:v>
                      </c:pt>
                    </c:strCache>
                  </c:strRef>
                </c:cat>
                <c:val>
                  <c:numRef>
                    <c:extLst>
                      <c:ext uri="{02D57815-91ED-43cb-92C2-25804820EDAC}">
                        <c15:formulaRef>
                          <c15:sqref>Sheet1!$C$4:$C$31</c15:sqref>
                        </c15:formulaRef>
                      </c:ext>
                    </c:extLst>
                    <c:numCache>
                      <c:formatCode>General</c:formatCode>
                      <c:ptCount val="28"/>
                    </c:numCache>
                  </c:numRef>
                </c:val>
                <c:extLst>
                  <c:ext xmlns:c16="http://schemas.microsoft.com/office/drawing/2014/chart" uri="{C3380CC4-5D6E-409C-BE32-E72D297353CC}">
                    <c16:uniqueId val="{00000002-AA4C-474D-8F3D-458AAE38F153}"/>
                  </c:ext>
                </c:extLst>
              </c15:ser>
            </c15:filteredBarSeries>
            <c15:filteredBarSeries>
              <c15:ser>
                <c:idx val="2"/>
                <c:order val="2"/>
                <c:tx>
                  <c:strRef>
                    <c:extLst xmlns:c15="http://schemas.microsoft.com/office/drawing/2012/chart">
                      <c:ext xmlns:c15="http://schemas.microsoft.com/office/drawing/2012/chart" uri="{02D57815-91ED-43cb-92C2-25804820EDAC}">
                        <c15:formulaRef>
                          <c15:sqref>Sheet1!$D$1:$D$3</c15:sqref>
                        </c15:formulaRef>
                      </c:ext>
                    </c:extLst>
                    <c:strCache>
                      <c:ptCount val="3"/>
                      <c:pt idx="0">
                        <c:v>Number of HELOC Accounts (2018 to 2023)</c:v>
                      </c:pt>
                      <c:pt idx="2">
                        <c:v>Revolving Accounts (millions)</c:v>
                      </c:pt>
                    </c:strCache>
                  </c:strRef>
                </c:tx>
                <c:spPr>
                  <a:solidFill>
                    <a:schemeClr val="accent3"/>
                  </a:solidFill>
                  <a:ln>
                    <a:noFill/>
                  </a:ln>
                  <a:effectLst/>
                </c:spPr>
                <c:invertIfNegative val="0"/>
                <c:cat>
                  <c:strRef>
                    <c:extLst xmlns:c15="http://schemas.microsoft.com/office/drawing/2012/chart">
                      <c:ext xmlns:c15="http://schemas.microsoft.com/office/drawing/2012/chart" uri="{02D57815-91ED-43cb-92C2-25804820EDAC}">
                        <c15:formulaRef>
                          <c15:sqref>Sheet1!$A$4:$A$31</c15:sqref>
                        </c15:formulaRef>
                      </c:ext>
                    </c:extLst>
                    <c:strCache>
                      <c:ptCount val="21"/>
                      <c:pt idx="0">
                        <c:v>2018 Q2</c:v>
                      </c:pt>
                      <c:pt idx="1">
                        <c:v>2018 Q3</c:v>
                      </c:pt>
                      <c:pt idx="2">
                        <c:v>2018 Q4</c:v>
                      </c:pt>
                      <c:pt idx="3">
                        <c:v>2019 Q1</c:v>
                      </c:pt>
                      <c:pt idx="4">
                        <c:v>2019 Q2</c:v>
                      </c:pt>
                      <c:pt idx="5">
                        <c:v>2019 Q3</c:v>
                      </c:pt>
                      <c:pt idx="6">
                        <c:v>2019 Q4</c:v>
                      </c:pt>
                      <c:pt idx="7">
                        <c:v>2020 Q1</c:v>
                      </c:pt>
                      <c:pt idx="8">
                        <c:v>2020 Q2</c:v>
                      </c:pt>
                      <c:pt idx="9">
                        <c:v>2020 Q3</c:v>
                      </c:pt>
                      <c:pt idx="10">
                        <c:v>2020 Q4</c:v>
                      </c:pt>
                      <c:pt idx="11">
                        <c:v>2021 Q1</c:v>
                      </c:pt>
                      <c:pt idx="12">
                        <c:v>2021 Q2</c:v>
                      </c:pt>
                      <c:pt idx="13">
                        <c:v>2021 Q3</c:v>
                      </c:pt>
                      <c:pt idx="14">
                        <c:v>2021 Q4</c:v>
                      </c:pt>
                      <c:pt idx="15">
                        <c:v>2022 Q1</c:v>
                      </c:pt>
                      <c:pt idx="16">
                        <c:v>2022 Q2</c:v>
                      </c:pt>
                      <c:pt idx="17">
                        <c:v>2022 Q3</c:v>
                      </c:pt>
                      <c:pt idx="18">
                        <c:v>2022 Q4</c:v>
                      </c:pt>
                      <c:pt idx="19">
                        <c:v>2023 Q1</c:v>
                      </c:pt>
                      <c:pt idx="20">
                        <c:v>2023 Q2</c:v>
                      </c:pt>
                    </c:strCache>
                  </c:strRef>
                </c:cat>
                <c:val>
                  <c:numRef>
                    <c:extLst xmlns:c15="http://schemas.microsoft.com/office/drawing/2012/chart">
                      <c:ext xmlns:c15="http://schemas.microsoft.com/office/drawing/2012/chart" uri="{02D57815-91ED-43cb-92C2-25804820EDAC}">
                        <c15:formulaRef>
                          <c15:sqref>Sheet1!$D$4:$D$31</c15:sqref>
                        </c15:formulaRef>
                      </c:ext>
                    </c:extLst>
                    <c:numCache>
                      <c:formatCode>General</c:formatCode>
                      <c:ptCount val="28"/>
                    </c:numCache>
                  </c:numRef>
                </c:val>
                <c:extLst xmlns:c15="http://schemas.microsoft.com/office/drawing/2012/chart">
                  <c:ext xmlns:c16="http://schemas.microsoft.com/office/drawing/2014/chart" uri="{C3380CC4-5D6E-409C-BE32-E72D297353CC}">
                    <c16:uniqueId val="{00000003-AA4C-474D-8F3D-458AAE38F153}"/>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Sheet1!$E$1:$E$3</c15:sqref>
                        </c15:formulaRef>
                      </c:ext>
                    </c:extLst>
                    <c:strCache>
                      <c:ptCount val="3"/>
                      <c:pt idx="0">
                        <c:v>Number of HELOC Accounts (2018 to 2023)</c:v>
                      </c:pt>
                      <c:pt idx="2">
                        <c:v>Revolving Accounts (millions)</c:v>
                      </c:pt>
                    </c:strCache>
                  </c:strRef>
                </c:tx>
                <c:spPr>
                  <a:solidFill>
                    <a:schemeClr val="accent4"/>
                  </a:solidFill>
                  <a:ln>
                    <a:noFill/>
                  </a:ln>
                  <a:effectLst/>
                </c:spPr>
                <c:invertIfNegative val="0"/>
                <c:cat>
                  <c:strRef>
                    <c:extLst xmlns:c15="http://schemas.microsoft.com/office/drawing/2012/chart">
                      <c:ext xmlns:c15="http://schemas.microsoft.com/office/drawing/2012/chart" uri="{02D57815-91ED-43cb-92C2-25804820EDAC}">
                        <c15:formulaRef>
                          <c15:sqref>Sheet1!$A$4:$A$31</c15:sqref>
                        </c15:formulaRef>
                      </c:ext>
                    </c:extLst>
                    <c:strCache>
                      <c:ptCount val="21"/>
                      <c:pt idx="0">
                        <c:v>2018 Q2</c:v>
                      </c:pt>
                      <c:pt idx="1">
                        <c:v>2018 Q3</c:v>
                      </c:pt>
                      <c:pt idx="2">
                        <c:v>2018 Q4</c:v>
                      </c:pt>
                      <c:pt idx="3">
                        <c:v>2019 Q1</c:v>
                      </c:pt>
                      <c:pt idx="4">
                        <c:v>2019 Q2</c:v>
                      </c:pt>
                      <c:pt idx="5">
                        <c:v>2019 Q3</c:v>
                      </c:pt>
                      <c:pt idx="6">
                        <c:v>2019 Q4</c:v>
                      </c:pt>
                      <c:pt idx="7">
                        <c:v>2020 Q1</c:v>
                      </c:pt>
                      <c:pt idx="8">
                        <c:v>2020 Q2</c:v>
                      </c:pt>
                      <c:pt idx="9">
                        <c:v>2020 Q3</c:v>
                      </c:pt>
                      <c:pt idx="10">
                        <c:v>2020 Q4</c:v>
                      </c:pt>
                      <c:pt idx="11">
                        <c:v>2021 Q1</c:v>
                      </c:pt>
                      <c:pt idx="12">
                        <c:v>2021 Q2</c:v>
                      </c:pt>
                      <c:pt idx="13">
                        <c:v>2021 Q3</c:v>
                      </c:pt>
                      <c:pt idx="14">
                        <c:v>2021 Q4</c:v>
                      </c:pt>
                      <c:pt idx="15">
                        <c:v>2022 Q1</c:v>
                      </c:pt>
                      <c:pt idx="16">
                        <c:v>2022 Q2</c:v>
                      </c:pt>
                      <c:pt idx="17">
                        <c:v>2022 Q3</c:v>
                      </c:pt>
                      <c:pt idx="18">
                        <c:v>2022 Q4</c:v>
                      </c:pt>
                      <c:pt idx="19">
                        <c:v>2023 Q1</c:v>
                      </c:pt>
                      <c:pt idx="20">
                        <c:v>2023 Q2</c:v>
                      </c:pt>
                    </c:strCache>
                  </c:strRef>
                </c:cat>
                <c:val>
                  <c:numRef>
                    <c:extLst xmlns:c15="http://schemas.microsoft.com/office/drawing/2012/chart">
                      <c:ext xmlns:c15="http://schemas.microsoft.com/office/drawing/2012/chart" uri="{02D57815-91ED-43cb-92C2-25804820EDAC}">
                        <c15:formulaRef>
                          <c15:sqref>Sheet1!$E$4:$E$31</c15:sqref>
                        </c15:formulaRef>
                      </c:ext>
                    </c:extLst>
                    <c:numCache>
                      <c:formatCode>General</c:formatCode>
                      <c:ptCount val="28"/>
                    </c:numCache>
                  </c:numRef>
                </c:val>
                <c:extLst xmlns:c15="http://schemas.microsoft.com/office/drawing/2012/chart">
                  <c:ext xmlns:c16="http://schemas.microsoft.com/office/drawing/2014/chart" uri="{C3380CC4-5D6E-409C-BE32-E72D297353CC}">
                    <c16:uniqueId val="{00000004-AA4C-474D-8F3D-458AAE38F153}"/>
                  </c:ext>
                </c:extLst>
              </c15:ser>
            </c15:filteredBarSeries>
          </c:ext>
        </c:extLst>
      </c:barChart>
      <c:catAx>
        <c:axId val="16094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461888"/>
        <c:crosses val="autoZero"/>
        <c:auto val="1"/>
        <c:lblAlgn val="ctr"/>
        <c:lblOffset val="100"/>
        <c:noMultiLvlLbl val="0"/>
      </c:catAx>
      <c:valAx>
        <c:axId val="1609461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94431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Sheet1!$B$34</c:f>
              <c:strCache>
                <c:ptCount val="1"/>
                <c:pt idx="0">
                  <c:v>Percentage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96E-42AB-AEC7-9886E04E285B}"/>
              </c:ext>
            </c:extLst>
          </c:dPt>
          <c:dPt>
            <c:idx val="1"/>
            <c:bubble3D val="0"/>
            <c:explosion val="1"/>
            <c:spPr>
              <a:solidFill>
                <a:schemeClr val="accent2"/>
              </a:solidFill>
              <a:ln w="19050">
                <a:solidFill>
                  <a:schemeClr val="lt1"/>
                </a:solidFill>
              </a:ln>
              <a:effectLst/>
            </c:spPr>
            <c:extLst>
              <c:ext xmlns:c16="http://schemas.microsoft.com/office/drawing/2014/chart" uri="{C3380CC4-5D6E-409C-BE32-E72D297353CC}">
                <c16:uniqueId val="{00000003-596E-42AB-AEC7-9886E04E285B}"/>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96E-42AB-AEC7-9886E04E285B}"/>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96E-42AB-AEC7-9886E04E285B}"/>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96E-42AB-AEC7-9886E04E285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Sheet1!$A$35:$A$39</c:f>
              <c:strCache>
                <c:ptCount val="5"/>
                <c:pt idx="0">
                  <c:v>Physical debit card</c:v>
                </c:pt>
                <c:pt idx="1">
                  <c:v>Physical credit card</c:v>
                </c:pt>
                <c:pt idx="2">
                  <c:v>Cash or check</c:v>
                </c:pt>
                <c:pt idx="3">
                  <c:v>Virtual debit card</c:v>
                </c:pt>
                <c:pt idx="4">
                  <c:v>Virtual credit card</c:v>
                </c:pt>
              </c:strCache>
            </c:strRef>
          </c:cat>
          <c:val>
            <c:numRef>
              <c:f>Sheet1!$B$35:$B$39</c:f>
              <c:numCache>
                <c:formatCode>0%</c:formatCode>
                <c:ptCount val="5"/>
                <c:pt idx="0">
                  <c:v>0.47</c:v>
                </c:pt>
                <c:pt idx="1">
                  <c:v>0.33</c:v>
                </c:pt>
                <c:pt idx="2">
                  <c:v>0.09</c:v>
                </c:pt>
                <c:pt idx="3">
                  <c:v>0.06</c:v>
                </c:pt>
                <c:pt idx="4">
                  <c:v>0.04</c:v>
                </c:pt>
              </c:numCache>
            </c:numRef>
          </c:val>
          <c:extLst>
            <c:ext xmlns:c16="http://schemas.microsoft.com/office/drawing/2014/chart" uri="{C3380CC4-5D6E-409C-BE32-E72D297353CC}">
              <c16:uniqueId val="{0000000A-596E-42AB-AEC7-9886E04E285B}"/>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layout>
        <c:manualLayout>
          <c:xMode val="edge"/>
          <c:yMode val="edge"/>
          <c:x val="0.68470427847004567"/>
          <c:y val="9.2854489276297331E-2"/>
          <c:w val="0.28755647048973249"/>
          <c:h val="0.24309777733479518"/>
        </c:manualLayout>
      </c:layout>
      <c:overlay val="1"/>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908</Words>
  <Characters>5176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Mishra</dc:creator>
  <cp:keywords/>
  <dc:description/>
  <cp:lastModifiedBy>Nidhi Mishra</cp:lastModifiedBy>
  <cp:revision>1</cp:revision>
  <dcterms:created xsi:type="dcterms:W3CDTF">2024-06-28T02:49:00Z</dcterms:created>
  <dcterms:modified xsi:type="dcterms:W3CDTF">2024-06-28T05:20:00Z</dcterms:modified>
</cp:coreProperties>
</file>