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BF9DC" w14:textId="07EC7490" w:rsidR="00001581" w:rsidRPr="005C726E" w:rsidRDefault="00E34132">
      <w:pPr>
        <w:rPr>
          <w:rFonts w:ascii="Times New Roman" w:hAnsi="Times New Roman" w:cs="Times New Roman"/>
          <w:b/>
          <w:bCs/>
          <w:sz w:val="28"/>
          <w:szCs w:val="28"/>
          <w:u w:val="single"/>
          <w:lang w:val="en-US"/>
        </w:rPr>
      </w:pPr>
      <w:r w:rsidRPr="005C726E">
        <w:rPr>
          <w:rFonts w:ascii="Times New Roman" w:hAnsi="Times New Roman" w:cs="Times New Roman"/>
          <w:b/>
          <w:bCs/>
          <w:sz w:val="28"/>
          <w:szCs w:val="28"/>
          <w:u w:val="single"/>
          <w:lang w:val="en-US"/>
        </w:rPr>
        <w:t>IPO</w:t>
      </w:r>
    </w:p>
    <w:p w14:paraId="63F5503C" w14:textId="290C2CDF" w:rsidR="00E34132" w:rsidRPr="005C726E" w:rsidRDefault="00E34132" w:rsidP="005C726E">
      <w:pPr>
        <w:pStyle w:val="ListParagraph"/>
        <w:numPr>
          <w:ilvl w:val="0"/>
          <w:numId w:val="5"/>
        </w:numPr>
        <w:rPr>
          <w:rFonts w:ascii="Times New Roman" w:hAnsi="Times New Roman" w:cs="Times New Roman"/>
          <w:sz w:val="24"/>
          <w:szCs w:val="24"/>
          <w:lang w:val="en-US"/>
        </w:rPr>
      </w:pPr>
      <w:r w:rsidRPr="005C726E">
        <w:rPr>
          <w:rFonts w:ascii="Times New Roman" w:hAnsi="Times New Roman" w:cs="Times New Roman"/>
          <w:sz w:val="24"/>
          <w:szCs w:val="24"/>
          <w:lang w:val="en-US"/>
        </w:rPr>
        <w:t>An Initial Public Offering is when a private company offers it’s share to the public for the first time. This allows the company to raise funds by selling ownership stakes to individuals and institutional investors. It changes from a privately owned company to a publicly traded one, so people and investors can buy its shares.</w:t>
      </w:r>
    </w:p>
    <w:p w14:paraId="58091374" w14:textId="77777777" w:rsidR="005C726E" w:rsidRPr="005C726E" w:rsidRDefault="00E34132" w:rsidP="005C726E">
      <w:pPr>
        <w:pStyle w:val="ListParagraph"/>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C726E">
        <w:rPr>
          <w:rFonts w:ascii="Times New Roman" w:eastAsia="Times New Roman" w:hAnsi="Times New Roman" w:cs="Times New Roman"/>
          <w:kern w:val="0"/>
          <w:sz w:val="24"/>
          <w:szCs w:val="24"/>
          <w:lang w:eastAsia="en-IN"/>
          <w14:ligatures w14:val="none"/>
        </w:rPr>
        <w:t>IPO Terms</w:t>
      </w:r>
    </w:p>
    <w:p w14:paraId="504E7D61" w14:textId="4B13F775" w:rsidR="00E34132" w:rsidRPr="00E34132" w:rsidRDefault="00E34132" w:rsidP="001C310D">
      <w:pPr>
        <w:pStyle w:val="ListParagraph"/>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34132">
        <w:rPr>
          <w:rFonts w:ascii="Times New Roman" w:eastAsia="Times New Roman" w:hAnsi="Times New Roman" w:cs="Times New Roman"/>
          <w:b/>
          <w:bCs/>
          <w:kern w:val="0"/>
          <w:sz w:val="24"/>
          <w:szCs w:val="24"/>
          <w:lang w:eastAsia="en-IN"/>
          <w14:ligatures w14:val="none"/>
        </w:rPr>
        <w:t>Exchange</w:t>
      </w:r>
      <w:r w:rsidRPr="00E34132">
        <w:rPr>
          <w:rFonts w:ascii="Times New Roman" w:eastAsia="Times New Roman" w:hAnsi="Times New Roman" w:cs="Times New Roman"/>
          <w:kern w:val="0"/>
          <w:sz w:val="24"/>
          <w:szCs w:val="24"/>
          <w:lang w:eastAsia="en-IN"/>
          <w14:ligatures w14:val="none"/>
        </w:rPr>
        <w:t xml:space="preserve">: The stock exchange where the IPO shares are proposed to be listed. Mainline </w:t>
      </w:r>
      <w:proofErr w:type="gramStart"/>
      <w:r w:rsidRPr="00E34132">
        <w:rPr>
          <w:rFonts w:ascii="Times New Roman" w:eastAsia="Times New Roman" w:hAnsi="Times New Roman" w:cs="Times New Roman"/>
          <w:kern w:val="0"/>
          <w:sz w:val="24"/>
          <w:szCs w:val="24"/>
          <w:lang w:eastAsia="en-IN"/>
          <w14:ligatures w14:val="none"/>
        </w:rPr>
        <w:t>IPO's</w:t>
      </w:r>
      <w:proofErr w:type="gramEnd"/>
      <w:r w:rsidRPr="00E34132">
        <w:rPr>
          <w:rFonts w:ascii="Times New Roman" w:eastAsia="Times New Roman" w:hAnsi="Times New Roman" w:cs="Times New Roman"/>
          <w:kern w:val="0"/>
          <w:sz w:val="24"/>
          <w:szCs w:val="24"/>
          <w:lang w:eastAsia="en-IN"/>
          <w14:ligatures w14:val="none"/>
        </w:rPr>
        <w:t xml:space="preserve"> are listed on BSE and NSE. The SME </w:t>
      </w:r>
      <w:proofErr w:type="gramStart"/>
      <w:r w:rsidRPr="00E34132">
        <w:rPr>
          <w:rFonts w:ascii="Times New Roman" w:eastAsia="Times New Roman" w:hAnsi="Times New Roman" w:cs="Times New Roman"/>
          <w:kern w:val="0"/>
          <w:sz w:val="24"/>
          <w:szCs w:val="24"/>
          <w:lang w:eastAsia="en-IN"/>
          <w14:ligatures w14:val="none"/>
        </w:rPr>
        <w:t>IPO's</w:t>
      </w:r>
      <w:proofErr w:type="gramEnd"/>
      <w:r w:rsidRPr="00E34132">
        <w:rPr>
          <w:rFonts w:ascii="Times New Roman" w:eastAsia="Times New Roman" w:hAnsi="Times New Roman" w:cs="Times New Roman"/>
          <w:kern w:val="0"/>
          <w:sz w:val="24"/>
          <w:szCs w:val="24"/>
          <w:lang w:eastAsia="en-IN"/>
          <w14:ligatures w14:val="none"/>
        </w:rPr>
        <w:t xml:space="preserve"> are listed on NSE EMERGE or BSE SME platform of the respective exchanges.</w:t>
      </w:r>
    </w:p>
    <w:p w14:paraId="6E2CCE66" w14:textId="77777777" w:rsidR="00E34132" w:rsidRPr="00E34132" w:rsidRDefault="00E34132" w:rsidP="00E3413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132">
        <w:rPr>
          <w:rFonts w:ascii="Times New Roman" w:eastAsia="Times New Roman" w:hAnsi="Times New Roman" w:cs="Times New Roman"/>
          <w:b/>
          <w:bCs/>
          <w:kern w:val="0"/>
          <w:sz w:val="24"/>
          <w:szCs w:val="24"/>
          <w:lang w:eastAsia="en-IN"/>
          <w14:ligatures w14:val="none"/>
        </w:rPr>
        <w:t>IPO Open Date / Issue Close Date</w:t>
      </w:r>
      <w:r w:rsidRPr="00E34132">
        <w:rPr>
          <w:rFonts w:ascii="Times New Roman" w:eastAsia="Times New Roman" w:hAnsi="Times New Roman" w:cs="Times New Roman"/>
          <w:kern w:val="0"/>
          <w:sz w:val="24"/>
          <w:szCs w:val="24"/>
          <w:lang w:eastAsia="en-IN"/>
          <w14:ligatures w14:val="none"/>
        </w:rPr>
        <w:t>: The opening and closing date of the IPO bidding process. Investors can apply in an IPO during this time only.</w:t>
      </w:r>
    </w:p>
    <w:p w14:paraId="47F708EE" w14:textId="77777777" w:rsidR="00E34132" w:rsidRPr="00E34132" w:rsidRDefault="00E34132" w:rsidP="00E3413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132">
        <w:rPr>
          <w:rFonts w:ascii="Times New Roman" w:eastAsia="Times New Roman" w:hAnsi="Times New Roman" w:cs="Times New Roman"/>
          <w:b/>
          <w:bCs/>
          <w:kern w:val="0"/>
          <w:sz w:val="24"/>
          <w:szCs w:val="24"/>
          <w:lang w:eastAsia="en-IN"/>
          <w14:ligatures w14:val="none"/>
        </w:rPr>
        <w:t>Lot Size</w:t>
      </w:r>
      <w:r w:rsidRPr="00E34132">
        <w:rPr>
          <w:rFonts w:ascii="Times New Roman" w:eastAsia="Times New Roman" w:hAnsi="Times New Roman" w:cs="Times New Roman"/>
          <w:kern w:val="0"/>
          <w:sz w:val="24"/>
          <w:szCs w:val="24"/>
          <w:lang w:eastAsia="en-IN"/>
          <w14:ligatures w14:val="none"/>
        </w:rPr>
        <w:t>: The minimum count of shares an investor can apply for in an IPO. A lot size of '400' means that an investor needs to bid for at least 400 shares.</w:t>
      </w:r>
    </w:p>
    <w:p w14:paraId="6B1E5F43" w14:textId="77777777" w:rsidR="00E34132" w:rsidRPr="00E34132" w:rsidRDefault="00E34132" w:rsidP="00E3413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132">
        <w:rPr>
          <w:rFonts w:ascii="Times New Roman" w:eastAsia="Times New Roman" w:hAnsi="Times New Roman" w:cs="Times New Roman"/>
          <w:b/>
          <w:bCs/>
          <w:kern w:val="0"/>
          <w:sz w:val="24"/>
          <w:szCs w:val="24"/>
          <w:lang w:eastAsia="en-IN"/>
          <w14:ligatures w14:val="none"/>
        </w:rPr>
        <w:t>Issue Price</w:t>
      </w:r>
      <w:r w:rsidRPr="00E34132">
        <w:rPr>
          <w:rFonts w:ascii="Times New Roman" w:eastAsia="Times New Roman" w:hAnsi="Times New Roman" w:cs="Times New Roman"/>
          <w:kern w:val="0"/>
          <w:sz w:val="24"/>
          <w:szCs w:val="24"/>
          <w:lang w:eastAsia="en-IN"/>
          <w14:ligatures w14:val="none"/>
        </w:rPr>
        <w:t>: The price per equity share. There are 2 types of IPO's- Book Building and Fixed Price IPOs. Book Building IPOs will have a price range, say Rs 120-125 and investors need to bid within the price range. Fixed price issue has a specific price to bid.</w:t>
      </w:r>
    </w:p>
    <w:p w14:paraId="3DD46F71" w14:textId="77777777" w:rsidR="005C726E" w:rsidRDefault="00E34132" w:rsidP="005C726E">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132">
        <w:rPr>
          <w:rFonts w:ascii="Times New Roman" w:eastAsia="Times New Roman" w:hAnsi="Times New Roman" w:cs="Times New Roman"/>
          <w:b/>
          <w:bCs/>
          <w:kern w:val="0"/>
          <w:sz w:val="24"/>
          <w:szCs w:val="24"/>
          <w:lang w:eastAsia="en-IN"/>
          <w14:ligatures w14:val="none"/>
        </w:rPr>
        <w:t>Issue Size</w:t>
      </w:r>
      <w:r w:rsidRPr="00E34132">
        <w:rPr>
          <w:rFonts w:ascii="Times New Roman" w:eastAsia="Times New Roman" w:hAnsi="Times New Roman" w:cs="Times New Roman"/>
          <w:kern w:val="0"/>
          <w:sz w:val="24"/>
          <w:szCs w:val="24"/>
          <w:lang w:eastAsia="en-IN"/>
          <w14:ligatures w14:val="none"/>
        </w:rPr>
        <w:t>: The total monetary value of the IPO. It is arrived by multiplying the number of shares offered by the company with the issue price per share.</w:t>
      </w:r>
    </w:p>
    <w:p w14:paraId="608F85DD" w14:textId="79D00ECB" w:rsidR="00E34132" w:rsidRPr="005C726E" w:rsidRDefault="00E34132" w:rsidP="005C726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726E">
        <w:rPr>
          <w:rFonts w:ascii="Times New Roman" w:hAnsi="Times New Roman" w:cs="Times New Roman"/>
          <w:sz w:val="24"/>
          <w:szCs w:val="24"/>
        </w:rPr>
        <w:t>GMP, or Grey Market Premium, refers to the extra amount that traders are willing to pay for shares of an IPO (Initial Public Offering) before they are officially listed on the stock exchange. It is an informal, unofficial market where IPO shares are traded before they become publicly available.</w:t>
      </w:r>
    </w:p>
    <w:p w14:paraId="1FB845EF" w14:textId="051E0217" w:rsidR="00E34132" w:rsidRPr="005C726E" w:rsidRDefault="00E34132" w:rsidP="005C726E">
      <w:pPr>
        <w:pStyle w:val="ListParagraph"/>
        <w:numPr>
          <w:ilvl w:val="1"/>
          <w:numId w:val="7"/>
        </w:numPr>
        <w:spacing w:after="0" w:line="240" w:lineRule="auto"/>
        <w:rPr>
          <w:rFonts w:ascii="Times New Roman" w:eastAsia="Times New Roman" w:hAnsi="Times New Roman" w:cs="Times New Roman"/>
          <w:kern w:val="0"/>
          <w:sz w:val="24"/>
          <w:szCs w:val="24"/>
          <w:lang w:eastAsia="en-IN"/>
          <w14:ligatures w14:val="none"/>
        </w:rPr>
      </w:pPr>
      <w:r w:rsidRPr="005C726E">
        <w:rPr>
          <w:rFonts w:ascii="Times New Roman" w:eastAsia="Times New Roman" w:hAnsi="Times New Roman" w:cs="Times New Roman"/>
          <w:kern w:val="0"/>
          <w:sz w:val="24"/>
          <w:szCs w:val="24"/>
          <w:lang w:eastAsia="en-IN"/>
          <w14:ligatures w14:val="none"/>
        </w:rPr>
        <w:t>GMP provides an indication of the demand for the IPO. A high GMP suggests strong demand, while a low or negative GMP indicates weak demand.</w:t>
      </w:r>
    </w:p>
    <w:p w14:paraId="7B5F9380" w14:textId="1FA6C845" w:rsidR="00E34132" w:rsidRPr="005C726E" w:rsidRDefault="00E34132" w:rsidP="005C726E">
      <w:pPr>
        <w:pStyle w:val="ListParagraph"/>
        <w:numPr>
          <w:ilvl w:val="1"/>
          <w:numId w:val="7"/>
        </w:numPr>
        <w:spacing w:after="0" w:line="240" w:lineRule="auto"/>
        <w:rPr>
          <w:rFonts w:ascii="Times New Roman" w:eastAsia="Times New Roman" w:hAnsi="Times New Roman" w:cs="Times New Roman"/>
          <w:kern w:val="0"/>
          <w:sz w:val="24"/>
          <w:szCs w:val="24"/>
          <w:lang w:eastAsia="en-IN"/>
          <w14:ligatures w14:val="none"/>
        </w:rPr>
      </w:pPr>
      <w:r w:rsidRPr="005C726E">
        <w:rPr>
          <w:rFonts w:ascii="Times New Roman" w:eastAsia="Times New Roman" w:hAnsi="Times New Roman" w:cs="Times New Roman"/>
          <w:kern w:val="0"/>
          <w:sz w:val="24"/>
          <w:szCs w:val="24"/>
          <w:lang w:eastAsia="en-IN"/>
          <w14:ligatures w14:val="none"/>
        </w:rPr>
        <w:t>It reflects investor sentiment and expectations about the company's future performance.</w:t>
      </w:r>
    </w:p>
    <w:p w14:paraId="7F1A46E9" w14:textId="072D2805" w:rsidR="00E34132" w:rsidRPr="005C726E" w:rsidRDefault="00E34132" w:rsidP="005C726E">
      <w:pPr>
        <w:pStyle w:val="ListParagraph"/>
        <w:numPr>
          <w:ilvl w:val="1"/>
          <w:numId w:val="7"/>
        </w:numPr>
        <w:rPr>
          <w:rFonts w:ascii="Times New Roman" w:eastAsia="Times New Roman" w:hAnsi="Times New Roman" w:cs="Times New Roman"/>
          <w:kern w:val="0"/>
          <w:sz w:val="24"/>
          <w:szCs w:val="24"/>
          <w:lang w:eastAsia="en-IN"/>
          <w14:ligatures w14:val="none"/>
        </w:rPr>
      </w:pPr>
      <w:r w:rsidRPr="005C726E">
        <w:rPr>
          <w:rFonts w:ascii="Times New Roman" w:eastAsia="Times New Roman" w:hAnsi="Times New Roman" w:cs="Times New Roman"/>
          <w:kern w:val="0"/>
          <w:sz w:val="24"/>
          <w:szCs w:val="24"/>
          <w:lang w:eastAsia="en-IN"/>
          <w14:ligatures w14:val="none"/>
        </w:rPr>
        <w:t>It can help investors gauge whether the IPO is likely to be under or over-subscribed.</w:t>
      </w:r>
    </w:p>
    <w:p w14:paraId="578AFD28" w14:textId="46230EC9" w:rsidR="00A109FB" w:rsidRPr="005C726E" w:rsidRDefault="00A109FB" w:rsidP="005C726E">
      <w:pPr>
        <w:pStyle w:val="ListParagraph"/>
        <w:numPr>
          <w:ilvl w:val="0"/>
          <w:numId w:val="7"/>
        </w:numPr>
        <w:rPr>
          <w:rFonts w:ascii="Times New Roman" w:hAnsi="Times New Roman" w:cs="Times New Roman"/>
          <w:sz w:val="24"/>
          <w:szCs w:val="24"/>
        </w:rPr>
      </w:pPr>
      <w:r w:rsidRPr="005C726E">
        <w:rPr>
          <w:rFonts w:ascii="Times New Roman" w:hAnsi="Times New Roman" w:cs="Times New Roman"/>
          <w:sz w:val="24"/>
          <w:szCs w:val="24"/>
        </w:rPr>
        <w:t>2021 saw a strong bullish market driven by investor optimism, economic recovery post-pandemic, and significant liquidity in the financial system.</w:t>
      </w:r>
    </w:p>
    <w:p w14:paraId="2618CC87" w14:textId="60840FD5" w:rsidR="00A109FB" w:rsidRPr="005C726E" w:rsidRDefault="00A109FB" w:rsidP="005C726E">
      <w:pPr>
        <w:pStyle w:val="ListParagraph"/>
        <w:numPr>
          <w:ilvl w:val="0"/>
          <w:numId w:val="7"/>
        </w:numPr>
        <w:rPr>
          <w:rFonts w:ascii="Times New Roman" w:hAnsi="Times New Roman" w:cs="Times New Roman"/>
          <w:sz w:val="24"/>
          <w:szCs w:val="24"/>
        </w:rPr>
      </w:pPr>
      <w:r w:rsidRPr="005C726E">
        <w:rPr>
          <w:rFonts w:ascii="Times New Roman" w:hAnsi="Times New Roman" w:cs="Times New Roman"/>
          <w:sz w:val="24"/>
          <w:szCs w:val="24"/>
        </w:rPr>
        <w:t>The high valuations in the stock market encouraged many companies to go public to capitalize on the favo</w:t>
      </w:r>
      <w:r w:rsidR="005C726E">
        <w:rPr>
          <w:rFonts w:ascii="Times New Roman" w:hAnsi="Times New Roman" w:cs="Times New Roman"/>
          <w:sz w:val="24"/>
          <w:szCs w:val="24"/>
        </w:rPr>
        <w:t>u</w:t>
      </w:r>
      <w:r w:rsidRPr="005C726E">
        <w:rPr>
          <w:rFonts w:ascii="Times New Roman" w:hAnsi="Times New Roman" w:cs="Times New Roman"/>
          <w:sz w:val="24"/>
          <w:szCs w:val="24"/>
        </w:rPr>
        <w:t>rable market conditions.</w:t>
      </w:r>
    </w:p>
    <w:p w14:paraId="4B552B19" w14:textId="3C4252AE" w:rsidR="00A109FB" w:rsidRPr="005C726E" w:rsidRDefault="00A109FB" w:rsidP="005C726E">
      <w:pPr>
        <w:pStyle w:val="ListParagraph"/>
        <w:numPr>
          <w:ilvl w:val="0"/>
          <w:numId w:val="7"/>
        </w:numPr>
        <w:rPr>
          <w:rFonts w:ascii="Times New Roman" w:hAnsi="Times New Roman" w:cs="Times New Roman"/>
          <w:sz w:val="24"/>
          <w:szCs w:val="24"/>
        </w:rPr>
      </w:pPr>
      <w:r w:rsidRPr="005C726E">
        <w:rPr>
          <w:rFonts w:ascii="Times New Roman" w:hAnsi="Times New Roman" w:cs="Times New Roman"/>
          <w:sz w:val="24"/>
          <w:szCs w:val="24"/>
        </w:rPr>
        <w:t>There was a surge in technology and digital companies going public, driven by increased demand for technology solutions and digital services during and after the pandemic.</w:t>
      </w:r>
    </w:p>
    <w:p w14:paraId="675072A1" w14:textId="68BAE685" w:rsidR="00A109FB" w:rsidRPr="005C726E" w:rsidRDefault="00A109FB" w:rsidP="005C726E">
      <w:pPr>
        <w:pStyle w:val="ListParagraph"/>
        <w:numPr>
          <w:ilvl w:val="0"/>
          <w:numId w:val="7"/>
        </w:numPr>
        <w:rPr>
          <w:rFonts w:ascii="Times New Roman" w:hAnsi="Times New Roman" w:cs="Times New Roman"/>
          <w:sz w:val="24"/>
          <w:szCs w:val="24"/>
        </w:rPr>
      </w:pPr>
      <w:r w:rsidRPr="005C726E">
        <w:rPr>
          <w:rFonts w:ascii="Times New Roman" w:hAnsi="Times New Roman" w:cs="Times New Roman"/>
          <w:sz w:val="24"/>
          <w:szCs w:val="24"/>
        </w:rPr>
        <w:t>Increased participation from retail investors, facilitated by online trading platforms and social media, boosted demand for IPOs.</w:t>
      </w:r>
    </w:p>
    <w:p w14:paraId="3E04FA62" w14:textId="1842638B" w:rsidR="00A109FB" w:rsidRPr="005C726E" w:rsidRDefault="00A109FB" w:rsidP="005C726E">
      <w:pPr>
        <w:pStyle w:val="ListParagraph"/>
        <w:numPr>
          <w:ilvl w:val="0"/>
          <w:numId w:val="7"/>
        </w:numPr>
        <w:rPr>
          <w:rFonts w:ascii="Times New Roman" w:hAnsi="Times New Roman" w:cs="Times New Roman"/>
          <w:sz w:val="24"/>
          <w:szCs w:val="24"/>
        </w:rPr>
      </w:pPr>
      <w:r w:rsidRPr="005C726E">
        <w:rPr>
          <w:rFonts w:ascii="Times New Roman" w:hAnsi="Times New Roman" w:cs="Times New Roman"/>
          <w:sz w:val="24"/>
          <w:szCs w:val="24"/>
        </w:rPr>
        <w:t xml:space="preserve">And sudden decrease in demand from 2021 to 2022 may be due to </w:t>
      </w:r>
      <w:r w:rsidR="005C726E">
        <w:rPr>
          <w:rFonts w:ascii="Times New Roman" w:hAnsi="Times New Roman" w:cs="Times New Roman"/>
          <w:sz w:val="24"/>
          <w:szCs w:val="24"/>
        </w:rPr>
        <w:t>t</w:t>
      </w:r>
      <w:r w:rsidRPr="005C726E">
        <w:rPr>
          <w:rFonts w:ascii="Times New Roman" w:hAnsi="Times New Roman" w:cs="Times New Roman"/>
          <w:sz w:val="24"/>
          <w:szCs w:val="24"/>
        </w:rPr>
        <w:t>he outbreak of the Russia-Ukraine war in early 2022 created geopolitical instability, impacting global markets and investor confidence.</w:t>
      </w:r>
    </w:p>
    <w:p w14:paraId="5961C71B" w14:textId="37A38FBE" w:rsidR="00A109FB" w:rsidRPr="005C726E" w:rsidRDefault="00A109FB" w:rsidP="005C726E">
      <w:pPr>
        <w:pStyle w:val="ListParagraph"/>
        <w:numPr>
          <w:ilvl w:val="0"/>
          <w:numId w:val="7"/>
        </w:numPr>
        <w:rPr>
          <w:rFonts w:ascii="Times New Roman" w:hAnsi="Times New Roman" w:cs="Times New Roman"/>
          <w:sz w:val="24"/>
          <w:szCs w:val="24"/>
        </w:rPr>
      </w:pPr>
      <w:r w:rsidRPr="005C726E">
        <w:rPr>
          <w:rFonts w:ascii="Times New Roman" w:hAnsi="Times New Roman" w:cs="Times New Roman"/>
          <w:sz w:val="24"/>
          <w:szCs w:val="24"/>
        </w:rPr>
        <w:t>Concerns about a potential global economic slowdown or recession affected companies' decisions to go public and investors' willingness to participate in IPOs.</w:t>
      </w:r>
    </w:p>
    <w:p w14:paraId="3C9AA6CE" w14:textId="4FA5C001" w:rsidR="00DF0EE0" w:rsidRPr="005C726E" w:rsidRDefault="00DF0EE0" w:rsidP="005C726E">
      <w:pPr>
        <w:pStyle w:val="ListParagraph"/>
        <w:numPr>
          <w:ilvl w:val="0"/>
          <w:numId w:val="7"/>
        </w:numPr>
        <w:rPr>
          <w:rFonts w:ascii="Times New Roman" w:eastAsia="Times New Roman" w:hAnsi="Times New Roman" w:cs="Times New Roman"/>
          <w:kern w:val="0"/>
          <w:sz w:val="24"/>
          <w:szCs w:val="24"/>
          <w:lang w:eastAsia="en-IN"/>
          <w14:ligatures w14:val="none"/>
        </w:rPr>
      </w:pPr>
      <w:r w:rsidRPr="005C726E">
        <w:rPr>
          <w:rFonts w:ascii="Times New Roman" w:hAnsi="Times New Roman" w:cs="Times New Roman"/>
          <w:sz w:val="24"/>
          <w:szCs w:val="24"/>
        </w:rPr>
        <w:t>Healthcare provider Ardent Health is targeting a valuation of about $3.15 billion in its initial public offering</w:t>
      </w:r>
      <w:r w:rsidRPr="005C726E">
        <w:rPr>
          <w:rFonts w:ascii="Times New Roman" w:hAnsi="Times New Roman" w:cs="Times New Roman"/>
          <w:sz w:val="24"/>
          <w:szCs w:val="24"/>
        </w:rPr>
        <w:t xml:space="preserve"> </w:t>
      </w:r>
      <w:r w:rsidRPr="005C726E">
        <w:rPr>
          <w:rFonts w:ascii="Times New Roman" w:hAnsi="Times New Roman" w:cs="Times New Roman"/>
          <w:sz w:val="24"/>
          <w:szCs w:val="24"/>
        </w:rPr>
        <w:t>by selling 14.3 million shares priced between $20 and $22 apiece, according to its filing with the U.S. securities regulator.</w:t>
      </w:r>
    </w:p>
    <w:p w14:paraId="26BE912F" w14:textId="5D31A1FC" w:rsidR="00A109FB" w:rsidRDefault="00A109FB" w:rsidP="00E34132">
      <w:pPr>
        <w:rPr>
          <w:rFonts w:ascii="Times New Roman" w:eastAsia="Times New Roman" w:hAnsi="Times New Roman" w:cs="Times New Roman"/>
          <w:kern w:val="0"/>
          <w:sz w:val="24"/>
          <w:szCs w:val="24"/>
          <w:lang w:eastAsia="en-IN"/>
          <w14:ligatures w14:val="none"/>
        </w:rPr>
      </w:pPr>
      <w:r>
        <w:rPr>
          <w:noProof/>
        </w:rPr>
        <w:lastRenderedPageBreak/>
        <w:drawing>
          <wp:anchor distT="0" distB="0" distL="114300" distR="114300" simplePos="0" relativeHeight="251658240" behindDoc="0" locked="0" layoutInCell="1" allowOverlap="1" wp14:anchorId="5420227A" wp14:editId="05F9FB30">
            <wp:simplePos x="0" y="0"/>
            <wp:positionH relativeFrom="column">
              <wp:posOffset>1828800</wp:posOffset>
            </wp:positionH>
            <wp:positionV relativeFrom="paragraph">
              <wp:posOffset>338455</wp:posOffset>
            </wp:positionV>
            <wp:extent cx="4690110" cy="2695575"/>
            <wp:effectExtent l="0" t="0" r="15240" b="9525"/>
            <wp:wrapSquare wrapText="bothSides"/>
            <wp:docPr id="1459391327" name="Chart 1">
              <a:extLst xmlns:a="http://schemas.openxmlformats.org/drawingml/2006/main">
                <a:ext uri="{FF2B5EF4-FFF2-40B4-BE49-F238E27FC236}">
                  <a16:creationId xmlns:a16="http://schemas.microsoft.com/office/drawing/2014/main" id="{24B43569-3A32-675A-E343-8F763FFE2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bl>
      <w:tblPr>
        <w:tblW w:w="2689" w:type="dxa"/>
        <w:tblLook w:val="04A0" w:firstRow="1" w:lastRow="0" w:firstColumn="1" w:lastColumn="0" w:noHBand="0" w:noVBand="1"/>
      </w:tblPr>
      <w:tblGrid>
        <w:gridCol w:w="960"/>
        <w:gridCol w:w="1729"/>
      </w:tblGrid>
      <w:tr w:rsidR="00A109FB" w:rsidRPr="00A109FB" w14:paraId="56D3EDA6" w14:textId="77777777" w:rsidTr="005C726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4DE0A" w14:textId="77777777" w:rsidR="00A109FB" w:rsidRPr="00A109FB" w:rsidRDefault="00A109FB" w:rsidP="00A109FB">
            <w:pPr>
              <w:spacing w:after="0" w:line="240" w:lineRule="auto"/>
              <w:jc w:val="center"/>
              <w:rPr>
                <w:rFonts w:ascii="Calibri" w:eastAsia="Times New Roman" w:hAnsi="Calibri" w:cs="Calibri"/>
                <w:b/>
                <w:bCs/>
                <w:color w:val="000000"/>
                <w:kern w:val="0"/>
                <w:lang w:eastAsia="en-IN"/>
                <w14:ligatures w14:val="none"/>
              </w:rPr>
            </w:pPr>
            <w:r w:rsidRPr="00A109FB">
              <w:rPr>
                <w:rFonts w:ascii="Calibri" w:eastAsia="Times New Roman" w:hAnsi="Calibri" w:cs="Calibri"/>
                <w:b/>
                <w:bCs/>
                <w:color w:val="000000"/>
                <w:kern w:val="0"/>
                <w:lang w:eastAsia="en-IN"/>
                <w14:ligatures w14:val="none"/>
              </w:rPr>
              <w:t>Year</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14:paraId="4196F223" w14:textId="77777777" w:rsidR="00A109FB" w:rsidRPr="00A109FB" w:rsidRDefault="00A109FB" w:rsidP="00A109FB">
            <w:pPr>
              <w:spacing w:after="0" w:line="240" w:lineRule="auto"/>
              <w:jc w:val="center"/>
              <w:rPr>
                <w:rFonts w:ascii="Calibri" w:eastAsia="Times New Roman" w:hAnsi="Calibri" w:cs="Calibri"/>
                <w:b/>
                <w:bCs/>
                <w:color w:val="000000"/>
                <w:kern w:val="0"/>
                <w:lang w:eastAsia="en-IN"/>
                <w14:ligatures w14:val="none"/>
              </w:rPr>
            </w:pPr>
            <w:r w:rsidRPr="00A109FB">
              <w:rPr>
                <w:rFonts w:ascii="Calibri" w:eastAsia="Times New Roman" w:hAnsi="Calibri" w:cs="Calibri"/>
                <w:b/>
                <w:bCs/>
                <w:color w:val="000000"/>
                <w:kern w:val="0"/>
                <w:lang w:eastAsia="en-IN"/>
                <w14:ligatures w14:val="none"/>
              </w:rPr>
              <w:t>Number of IPOs</w:t>
            </w:r>
          </w:p>
        </w:tc>
      </w:tr>
      <w:tr w:rsidR="00A109FB" w:rsidRPr="00A109FB" w14:paraId="552ECFCD"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50D758"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2011</w:t>
            </w:r>
          </w:p>
        </w:tc>
        <w:tc>
          <w:tcPr>
            <w:tcW w:w="1729" w:type="dxa"/>
            <w:tcBorders>
              <w:top w:val="nil"/>
              <w:left w:val="nil"/>
              <w:bottom w:val="single" w:sz="4" w:space="0" w:color="auto"/>
              <w:right w:val="single" w:sz="4" w:space="0" w:color="auto"/>
            </w:tcBorders>
            <w:shd w:val="clear" w:color="auto" w:fill="auto"/>
            <w:vAlign w:val="center"/>
            <w:hideMark/>
          </w:tcPr>
          <w:p w14:paraId="0761FCE0"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171</w:t>
            </w:r>
          </w:p>
        </w:tc>
      </w:tr>
      <w:tr w:rsidR="00A109FB" w:rsidRPr="00A109FB" w14:paraId="40C33D18"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E6CEAD"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2012</w:t>
            </w:r>
          </w:p>
        </w:tc>
        <w:tc>
          <w:tcPr>
            <w:tcW w:w="1729" w:type="dxa"/>
            <w:tcBorders>
              <w:top w:val="nil"/>
              <w:left w:val="nil"/>
              <w:bottom w:val="single" w:sz="4" w:space="0" w:color="auto"/>
              <w:right w:val="single" w:sz="4" w:space="0" w:color="auto"/>
            </w:tcBorders>
            <w:shd w:val="clear" w:color="auto" w:fill="auto"/>
            <w:vAlign w:val="center"/>
            <w:hideMark/>
          </w:tcPr>
          <w:p w14:paraId="5493AF91"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157</w:t>
            </w:r>
          </w:p>
        </w:tc>
      </w:tr>
      <w:tr w:rsidR="00A109FB" w:rsidRPr="00A109FB" w14:paraId="08825B94"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0B9F62"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2013</w:t>
            </w:r>
          </w:p>
        </w:tc>
        <w:tc>
          <w:tcPr>
            <w:tcW w:w="1729" w:type="dxa"/>
            <w:tcBorders>
              <w:top w:val="nil"/>
              <w:left w:val="nil"/>
              <w:bottom w:val="single" w:sz="4" w:space="0" w:color="auto"/>
              <w:right w:val="single" w:sz="4" w:space="0" w:color="auto"/>
            </w:tcBorders>
            <w:shd w:val="clear" w:color="auto" w:fill="auto"/>
            <w:vAlign w:val="center"/>
            <w:hideMark/>
          </w:tcPr>
          <w:p w14:paraId="61EE2806"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251</w:t>
            </w:r>
          </w:p>
        </w:tc>
      </w:tr>
      <w:tr w:rsidR="00A109FB" w:rsidRPr="00A109FB" w14:paraId="3DE9509F"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FFF7BD"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2014</w:t>
            </w:r>
          </w:p>
        </w:tc>
        <w:tc>
          <w:tcPr>
            <w:tcW w:w="1729" w:type="dxa"/>
            <w:tcBorders>
              <w:top w:val="nil"/>
              <w:left w:val="nil"/>
              <w:bottom w:val="single" w:sz="4" w:space="0" w:color="auto"/>
              <w:right w:val="single" w:sz="4" w:space="0" w:color="auto"/>
            </w:tcBorders>
            <w:shd w:val="clear" w:color="auto" w:fill="auto"/>
            <w:vAlign w:val="center"/>
            <w:hideMark/>
          </w:tcPr>
          <w:p w14:paraId="75CFBF42"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304</w:t>
            </w:r>
          </w:p>
        </w:tc>
      </w:tr>
      <w:tr w:rsidR="00A109FB" w:rsidRPr="00A109FB" w14:paraId="2C1772F0"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C6B12A"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2015</w:t>
            </w:r>
          </w:p>
        </w:tc>
        <w:tc>
          <w:tcPr>
            <w:tcW w:w="1729" w:type="dxa"/>
            <w:tcBorders>
              <w:top w:val="nil"/>
              <w:left w:val="nil"/>
              <w:bottom w:val="single" w:sz="4" w:space="0" w:color="auto"/>
              <w:right w:val="single" w:sz="4" w:space="0" w:color="auto"/>
            </w:tcBorders>
            <w:shd w:val="clear" w:color="auto" w:fill="auto"/>
            <w:vAlign w:val="center"/>
            <w:hideMark/>
          </w:tcPr>
          <w:p w14:paraId="73876415"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206</w:t>
            </w:r>
          </w:p>
        </w:tc>
      </w:tr>
      <w:tr w:rsidR="00A109FB" w:rsidRPr="00A109FB" w14:paraId="2F399BFF"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A13E07"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2016</w:t>
            </w:r>
          </w:p>
        </w:tc>
        <w:tc>
          <w:tcPr>
            <w:tcW w:w="1729" w:type="dxa"/>
            <w:tcBorders>
              <w:top w:val="nil"/>
              <w:left w:val="nil"/>
              <w:bottom w:val="single" w:sz="4" w:space="0" w:color="auto"/>
              <w:right w:val="single" w:sz="4" w:space="0" w:color="auto"/>
            </w:tcBorders>
            <w:shd w:val="clear" w:color="auto" w:fill="auto"/>
            <w:vAlign w:val="center"/>
            <w:hideMark/>
          </w:tcPr>
          <w:p w14:paraId="36D5480B"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133</w:t>
            </w:r>
          </w:p>
        </w:tc>
      </w:tr>
      <w:tr w:rsidR="00A109FB" w:rsidRPr="00A109FB" w14:paraId="21B532BF"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2262D9"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2017</w:t>
            </w:r>
          </w:p>
        </w:tc>
        <w:tc>
          <w:tcPr>
            <w:tcW w:w="1729" w:type="dxa"/>
            <w:tcBorders>
              <w:top w:val="nil"/>
              <w:left w:val="nil"/>
              <w:bottom w:val="single" w:sz="4" w:space="0" w:color="auto"/>
              <w:right w:val="single" w:sz="4" w:space="0" w:color="auto"/>
            </w:tcBorders>
            <w:shd w:val="clear" w:color="auto" w:fill="auto"/>
            <w:vAlign w:val="center"/>
            <w:hideMark/>
          </w:tcPr>
          <w:p w14:paraId="5236F72C"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217</w:t>
            </w:r>
          </w:p>
        </w:tc>
      </w:tr>
      <w:tr w:rsidR="00A109FB" w:rsidRPr="00A109FB" w14:paraId="6431B3BD"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68821C"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2018</w:t>
            </w:r>
          </w:p>
        </w:tc>
        <w:tc>
          <w:tcPr>
            <w:tcW w:w="1729" w:type="dxa"/>
            <w:tcBorders>
              <w:top w:val="nil"/>
              <w:left w:val="nil"/>
              <w:bottom w:val="single" w:sz="4" w:space="0" w:color="auto"/>
              <w:right w:val="single" w:sz="4" w:space="0" w:color="auto"/>
            </w:tcBorders>
            <w:shd w:val="clear" w:color="auto" w:fill="auto"/>
            <w:vAlign w:val="center"/>
            <w:hideMark/>
          </w:tcPr>
          <w:p w14:paraId="275432E8"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255</w:t>
            </w:r>
          </w:p>
        </w:tc>
      </w:tr>
      <w:tr w:rsidR="00A109FB" w:rsidRPr="00A109FB" w14:paraId="13F6250E"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C9421C"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2019</w:t>
            </w:r>
          </w:p>
        </w:tc>
        <w:tc>
          <w:tcPr>
            <w:tcW w:w="1729" w:type="dxa"/>
            <w:tcBorders>
              <w:top w:val="nil"/>
              <w:left w:val="nil"/>
              <w:bottom w:val="single" w:sz="4" w:space="0" w:color="auto"/>
              <w:right w:val="single" w:sz="4" w:space="0" w:color="auto"/>
            </w:tcBorders>
            <w:shd w:val="clear" w:color="auto" w:fill="auto"/>
            <w:vAlign w:val="center"/>
            <w:hideMark/>
          </w:tcPr>
          <w:p w14:paraId="00FA0DF5"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232</w:t>
            </w:r>
          </w:p>
        </w:tc>
      </w:tr>
      <w:tr w:rsidR="00A109FB" w:rsidRPr="00A109FB" w14:paraId="4F10D55F"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F854A4"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2020</w:t>
            </w:r>
          </w:p>
        </w:tc>
        <w:tc>
          <w:tcPr>
            <w:tcW w:w="1729" w:type="dxa"/>
            <w:tcBorders>
              <w:top w:val="nil"/>
              <w:left w:val="nil"/>
              <w:bottom w:val="single" w:sz="4" w:space="0" w:color="auto"/>
              <w:right w:val="single" w:sz="4" w:space="0" w:color="auto"/>
            </w:tcBorders>
            <w:shd w:val="clear" w:color="auto" w:fill="auto"/>
            <w:vAlign w:val="center"/>
            <w:hideMark/>
          </w:tcPr>
          <w:p w14:paraId="25D3F2A8"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480</w:t>
            </w:r>
          </w:p>
        </w:tc>
      </w:tr>
      <w:tr w:rsidR="00A109FB" w:rsidRPr="00A109FB" w14:paraId="5F162D8A"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D67C25"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2021</w:t>
            </w:r>
          </w:p>
        </w:tc>
        <w:tc>
          <w:tcPr>
            <w:tcW w:w="1729" w:type="dxa"/>
            <w:tcBorders>
              <w:top w:val="nil"/>
              <w:left w:val="nil"/>
              <w:bottom w:val="single" w:sz="4" w:space="0" w:color="auto"/>
              <w:right w:val="single" w:sz="4" w:space="0" w:color="auto"/>
            </w:tcBorders>
            <w:shd w:val="clear" w:color="auto" w:fill="auto"/>
            <w:vAlign w:val="center"/>
            <w:hideMark/>
          </w:tcPr>
          <w:p w14:paraId="66658117"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1035</w:t>
            </w:r>
          </w:p>
        </w:tc>
      </w:tr>
      <w:tr w:rsidR="00A109FB" w:rsidRPr="00A109FB" w14:paraId="0D4B456A"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DDED55"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2022</w:t>
            </w:r>
          </w:p>
        </w:tc>
        <w:tc>
          <w:tcPr>
            <w:tcW w:w="1729" w:type="dxa"/>
            <w:tcBorders>
              <w:top w:val="nil"/>
              <w:left w:val="nil"/>
              <w:bottom w:val="single" w:sz="4" w:space="0" w:color="auto"/>
              <w:right w:val="single" w:sz="4" w:space="0" w:color="auto"/>
            </w:tcBorders>
            <w:shd w:val="clear" w:color="auto" w:fill="auto"/>
            <w:vAlign w:val="center"/>
            <w:hideMark/>
          </w:tcPr>
          <w:p w14:paraId="0CE6CCCB"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181</w:t>
            </w:r>
          </w:p>
        </w:tc>
      </w:tr>
      <w:tr w:rsidR="00A109FB" w:rsidRPr="00A109FB" w14:paraId="1B6F874B"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B2B9CB"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2023</w:t>
            </w:r>
          </w:p>
        </w:tc>
        <w:tc>
          <w:tcPr>
            <w:tcW w:w="1729" w:type="dxa"/>
            <w:tcBorders>
              <w:top w:val="nil"/>
              <w:left w:val="nil"/>
              <w:bottom w:val="single" w:sz="4" w:space="0" w:color="auto"/>
              <w:right w:val="single" w:sz="4" w:space="0" w:color="auto"/>
            </w:tcBorders>
            <w:shd w:val="clear" w:color="auto" w:fill="auto"/>
            <w:vAlign w:val="center"/>
            <w:hideMark/>
          </w:tcPr>
          <w:p w14:paraId="328E62C2"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154</w:t>
            </w:r>
          </w:p>
        </w:tc>
      </w:tr>
      <w:tr w:rsidR="00A109FB" w:rsidRPr="00A109FB" w14:paraId="2BED35D2"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A6016B"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2024</w:t>
            </w:r>
          </w:p>
        </w:tc>
        <w:tc>
          <w:tcPr>
            <w:tcW w:w="1729" w:type="dxa"/>
            <w:tcBorders>
              <w:top w:val="nil"/>
              <w:left w:val="nil"/>
              <w:bottom w:val="single" w:sz="4" w:space="0" w:color="auto"/>
              <w:right w:val="single" w:sz="4" w:space="0" w:color="auto"/>
            </w:tcBorders>
            <w:shd w:val="clear" w:color="auto" w:fill="auto"/>
            <w:vAlign w:val="center"/>
            <w:hideMark/>
          </w:tcPr>
          <w:p w14:paraId="1B91300D" w14:textId="77777777" w:rsidR="00A109FB" w:rsidRPr="00A109FB" w:rsidRDefault="00A109FB" w:rsidP="00A109FB">
            <w:pPr>
              <w:spacing w:after="0" w:line="240" w:lineRule="auto"/>
              <w:jc w:val="right"/>
              <w:rPr>
                <w:rFonts w:ascii="Calibri" w:eastAsia="Times New Roman" w:hAnsi="Calibri" w:cs="Calibri"/>
                <w:color w:val="000000"/>
                <w:kern w:val="0"/>
                <w:lang w:eastAsia="en-IN"/>
                <w14:ligatures w14:val="none"/>
              </w:rPr>
            </w:pPr>
            <w:r w:rsidRPr="00A109FB">
              <w:rPr>
                <w:rFonts w:ascii="Calibri" w:eastAsia="Times New Roman" w:hAnsi="Calibri" w:cs="Calibri"/>
                <w:color w:val="000000"/>
                <w:kern w:val="0"/>
                <w:lang w:eastAsia="en-IN"/>
                <w14:ligatures w14:val="none"/>
              </w:rPr>
              <w:t>97</w:t>
            </w:r>
          </w:p>
        </w:tc>
      </w:tr>
    </w:tbl>
    <w:p w14:paraId="4308E15D" w14:textId="77777777" w:rsidR="00A109FB" w:rsidRDefault="00A109FB" w:rsidP="00E34132">
      <w:pPr>
        <w:rPr>
          <w:lang w:val="en-US"/>
        </w:rPr>
      </w:pPr>
    </w:p>
    <w:p w14:paraId="26C6762C" w14:textId="01047B1C" w:rsidR="00E34132" w:rsidRPr="005C726E" w:rsidRDefault="00DF0EE0">
      <w:pPr>
        <w:rPr>
          <w:rFonts w:ascii="Times New Roman" w:hAnsi="Times New Roman" w:cs="Times New Roman"/>
          <w:b/>
          <w:bCs/>
          <w:sz w:val="28"/>
          <w:szCs w:val="28"/>
          <w:u w:val="single"/>
          <w:lang w:val="en-US"/>
        </w:rPr>
      </w:pPr>
      <w:r w:rsidRPr="005C726E">
        <w:rPr>
          <w:rFonts w:ascii="Times New Roman" w:hAnsi="Times New Roman" w:cs="Times New Roman"/>
          <w:b/>
          <w:bCs/>
          <w:sz w:val="28"/>
          <w:szCs w:val="28"/>
          <w:u w:val="single"/>
          <w:lang w:val="en-US"/>
        </w:rPr>
        <w:t>Securities Trading</w:t>
      </w:r>
    </w:p>
    <w:p w14:paraId="27AFE15A" w14:textId="3D524D09" w:rsidR="00AE6B36" w:rsidRPr="005C726E" w:rsidRDefault="00AE6B36" w:rsidP="005C726E">
      <w:pPr>
        <w:pStyle w:val="ListParagraph"/>
        <w:numPr>
          <w:ilvl w:val="0"/>
          <w:numId w:val="8"/>
        </w:numPr>
        <w:shd w:val="clear" w:color="auto" w:fill="FFFFFF"/>
        <w:spacing w:after="100" w:afterAutospacing="1" w:line="240" w:lineRule="auto"/>
        <w:rPr>
          <w:rFonts w:ascii="Times New Roman" w:eastAsia="Times New Roman" w:hAnsi="Times New Roman" w:cs="Times New Roman"/>
          <w:spacing w:val="1"/>
          <w:kern w:val="0"/>
          <w:sz w:val="24"/>
          <w:szCs w:val="24"/>
          <w:lang w:eastAsia="en-IN"/>
          <w14:ligatures w14:val="none"/>
        </w:rPr>
      </w:pPr>
      <w:r w:rsidRPr="005C726E">
        <w:rPr>
          <w:rFonts w:ascii="Times New Roman" w:eastAsia="Times New Roman" w:hAnsi="Times New Roman" w:cs="Times New Roman"/>
          <w:spacing w:val="1"/>
          <w:kern w:val="0"/>
          <w:sz w:val="24"/>
          <w:szCs w:val="24"/>
          <w:lang w:eastAsia="en-IN"/>
          <w14:ligatures w14:val="none"/>
        </w:rPr>
        <w:t>In North America, you can trade </w:t>
      </w:r>
      <w:hyperlink r:id="rId9" w:history="1">
        <w:r w:rsidRPr="005C726E">
          <w:rPr>
            <w:rFonts w:ascii="Times New Roman" w:eastAsia="Times New Roman" w:hAnsi="Times New Roman" w:cs="Times New Roman"/>
            <w:spacing w:val="1"/>
            <w:kern w:val="0"/>
            <w:sz w:val="24"/>
            <w:szCs w:val="24"/>
            <w:lang w:eastAsia="en-IN"/>
            <w14:ligatures w14:val="none"/>
          </w:rPr>
          <w:t>investment securities</w:t>
        </w:r>
      </w:hyperlink>
      <w:r w:rsidRPr="005C726E">
        <w:rPr>
          <w:rFonts w:ascii="Times New Roman" w:eastAsia="Times New Roman" w:hAnsi="Times New Roman" w:cs="Times New Roman"/>
          <w:spacing w:val="1"/>
          <w:kern w:val="0"/>
          <w:sz w:val="24"/>
          <w:szCs w:val="24"/>
          <w:lang w:eastAsia="en-IN"/>
          <w14:ligatures w14:val="none"/>
        </w:rPr>
        <w:t> through the following four ways:</w:t>
      </w:r>
      <w:r w:rsidRPr="005C726E">
        <w:rPr>
          <w:rFonts w:ascii="Times New Roman" w:eastAsia="Times New Roman" w:hAnsi="Times New Roman" w:cs="Times New Roman"/>
          <w:spacing w:val="1"/>
          <w:kern w:val="0"/>
          <w:sz w:val="24"/>
          <w:szCs w:val="24"/>
          <w:lang w:eastAsia="en-IN"/>
          <w14:ligatures w14:val="none"/>
        </w:rPr>
        <w:t xml:space="preserve"> </w:t>
      </w:r>
      <w:r w:rsidRPr="005C726E">
        <w:rPr>
          <w:rFonts w:ascii="Times New Roman" w:eastAsia="Times New Roman" w:hAnsi="Times New Roman" w:cs="Times New Roman"/>
          <w:spacing w:val="1"/>
          <w:kern w:val="0"/>
          <w:sz w:val="24"/>
          <w:szCs w:val="24"/>
          <w:lang w:eastAsia="en-IN"/>
          <w14:ligatures w14:val="none"/>
        </w:rPr>
        <w:t>Brokerages</w:t>
      </w:r>
      <w:r w:rsidRPr="005C726E">
        <w:rPr>
          <w:rFonts w:ascii="Times New Roman" w:eastAsia="Times New Roman" w:hAnsi="Times New Roman" w:cs="Times New Roman"/>
          <w:spacing w:val="1"/>
          <w:kern w:val="0"/>
          <w:sz w:val="24"/>
          <w:szCs w:val="24"/>
          <w:lang w:eastAsia="en-IN"/>
          <w14:ligatures w14:val="none"/>
        </w:rPr>
        <w:t xml:space="preserve">, </w:t>
      </w:r>
      <w:proofErr w:type="gramStart"/>
      <w:r w:rsidRPr="005C726E">
        <w:rPr>
          <w:rFonts w:ascii="Times New Roman" w:eastAsia="Times New Roman" w:hAnsi="Times New Roman" w:cs="Times New Roman"/>
          <w:spacing w:val="1"/>
          <w:kern w:val="0"/>
          <w:sz w:val="24"/>
          <w:szCs w:val="24"/>
          <w:lang w:eastAsia="en-IN"/>
          <w14:ligatures w14:val="none"/>
        </w:rPr>
        <w:t>The</w:t>
      </w:r>
      <w:proofErr w:type="gramEnd"/>
      <w:r w:rsidRPr="005C726E">
        <w:rPr>
          <w:rFonts w:ascii="Times New Roman" w:eastAsia="Times New Roman" w:hAnsi="Times New Roman" w:cs="Times New Roman"/>
          <w:spacing w:val="1"/>
          <w:kern w:val="0"/>
          <w:sz w:val="24"/>
          <w:szCs w:val="24"/>
          <w:lang w:eastAsia="en-IN"/>
          <w14:ligatures w14:val="none"/>
        </w:rPr>
        <w:t xml:space="preserve"> company that issues them</w:t>
      </w:r>
      <w:r w:rsidRPr="005C726E">
        <w:rPr>
          <w:rFonts w:ascii="Times New Roman" w:eastAsia="Times New Roman" w:hAnsi="Times New Roman" w:cs="Times New Roman"/>
          <w:spacing w:val="1"/>
          <w:kern w:val="0"/>
          <w:sz w:val="24"/>
          <w:szCs w:val="24"/>
          <w:lang w:eastAsia="en-IN"/>
          <w14:ligatures w14:val="none"/>
        </w:rPr>
        <w:t xml:space="preserve">, </w:t>
      </w:r>
      <w:r w:rsidRPr="005C726E">
        <w:rPr>
          <w:rFonts w:ascii="Times New Roman" w:eastAsia="Times New Roman" w:hAnsi="Times New Roman" w:cs="Times New Roman"/>
          <w:spacing w:val="1"/>
          <w:kern w:val="0"/>
          <w:sz w:val="24"/>
          <w:szCs w:val="24"/>
          <w:lang w:eastAsia="en-IN"/>
          <w14:ligatures w14:val="none"/>
        </w:rPr>
        <w:t>Banks</w:t>
      </w:r>
      <w:r w:rsidRPr="005C726E">
        <w:rPr>
          <w:rFonts w:ascii="Times New Roman" w:eastAsia="Times New Roman" w:hAnsi="Times New Roman" w:cs="Times New Roman"/>
          <w:spacing w:val="1"/>
          <w:kern w:val="0"/>
          <w:sz w:val="24"/>
          <w:szCs w:val="24"/>
          <w:lang w:eastAsia="en-IN"/>
          <w14:ligatures w14:val="none"/>
        </w:rPr>
        <w:t xml:space="preserve">, </w:t>
      </w:r>
      <w:r w:rsidRPr="005C726E">
        <w:rPr>
          <w:rFonts w:ascii="Times New Roman" w:eastAsia="Times New Roman" w:hAnsi="Times New Roman" w:cs="Times New Roman"/>
          <w:spacing w:val="1"/>
          <w:kern w:val="0"/>
          <w:sz w:val="24"/>
          <w:szCs w:val="24"/>
          <w:lang w:eastAsia="en-IN"/>
          <w14:ligatures w14:val="none"/>
        </w:rPr>
        <w:t>Individual investor</w:t>
      </w:r>
      <w:r w:rsidRPr="005C726E">
        <w:rPr>
          <w:rFonts w:ascii="Times New Roman" w:eastAsia="Times New Roman" w:hAnsi="Times New Roman" w:cs="Times New Roman"/>
          <w:spacing w:val="1"/>
          <w:kern w:val="0"/>
          <w:sz w:val="24"/>
          <w:szCs w:val="24"/>
          <w:lang w:eastAsia="en-IN"/>
          <w14:ligatures w14:val="none"/>
        </w:rPr>
        <w:t>s.</w:t>
      </w:r>
    </w:p>
    <w:p w14:paraId="672615A0" w14:textId="385F6847" w:rsidR="00AE6B36" w:rsidRPr="005C726E" w:rsidRDefault="00AE6B36" w:rsidP="005C726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pacing w:val="1"/>
          <w:kern w:val="0"/>
          <w:sz w:val="24"/>
          <w:szCs w:val="24"/>
          <w:lang w:eastAsia="en-IN"/>
          <w14:ligatures w14:val="none"/>
        </w:rPr>
      </w:pPr>
      <w:r w:rsidRPr="005C726E">
        <w:rPr>
          <w:rFonts w:ascii="Times New Roman" w:eastAsia="Times New Roman" w:hAnsi="Times New Roman" w:cs="Times New Roman"/>
          <w:spacing w:val="1"/>
          <w:kern w:val="0"/>
          <w:sz w:val="24"/>
          <w:szCs w:val="24"/>
          <w:lang w:eastAsia="en-IN"/>
          <w14:ligatures w14:val="none"/>
        </w:rPr>
        <w:t>One of the most common and easiest ways of buying and selling stocks, mutual funds, and bonds is through a brokerage house.</w:t>
      </w:r>
    </w:p>
    <w:p w14:paraId="2CD470D6" w14:textId="205C80F7" w:rsidR="00AE6B36" w:rsidRPr="005C726E" w:rsidRDefault="00AE6B36" w:rsidP="005C726E">
      <w:pPr>
        <w:pStyle w:val="ListParagraph"/>
        <w:numPr>
          <w:ilvl w:val="0"/>
          <w:numId w:val="8"/>
        </w:numPr>
        <w:shd w:val="clear" w:color="auto" w:fill="FFFFFF"/>
        <w:spacing w:before="100" w:beforeAutospacing="1" w:after="100" w:afterAutospacing="1" w:line="240" w:lineRule="auto"/>
        <w:rPr>
          <w:rFonts w:ascii="Times New Roman" w:hAnsi="Times New Roman" w:cs="Times New Roman"/>
          <w:spacing w:val="1"/>
          <w:sz w:val="24"/>
          <w:szCs w:val="24"/>
          <w:shd w:val="clear" w:color="auto" w:fill="FFFFFF"/>
        </w:rPr>
      </w:pPr>
      <w:r w:rsidRPr="005C726E">
        <w:rPr>
          <w:rFonts w:ascii="Times New Roman" w:hAnsi="Times New Roman" w:cs="Times New Roman"/>
          <w:spacing w:val="1"/>
          <w:sz w:val="24"/>
          <w:szCs w:val="24"/>
          <w:shd w:val="clear" w:color="auto" w:fill="FFFFFF"/>
        </w:rPr>
        <w:t xml:space="preserve">Brokerage firms typically </w:t>
      </w:r>
      <w:proofErr w:type="gramStart"/>
      <w:r w:rsidRPr="005C726E">
        <w:rPr>
          <w:rFonts w:ascii="Times New Roman" w:hAnsi="Times New Roman" w:cs="Times New Roman"/>
          <w:spacing w:val="1"/>
          <w:sz w:val="24"/>
          <w:szCs w:val="24"/>
          <w:shd w:val="clear" w:color="auto" w:fill="FFFFFF"/>
        </w:rPr>
        <w:t>require</w:t>
      </w:r>
      <w:r w:rsidRPr="005C726E">
        <w:rPr>
          <w:rFonts w:ascii="Times New Roman" w:hAnsi="Times New Roman" w:cs="Times New Roman"/>
          <w:spacing w:val="1"/>
          <w:sz w:val="24"/>
          <w:szCs w:val="24"/>
          <w:shd w:val="clear" w:color="auto" w:fill="FFFFFF"/>
        </w:rPr>
        <w:t>s</w:t>
      </w:r>
      <w:proofErr w:type="gramEnd"/>
      <w:r w:rsidRPr="005C726E">
        <w:rPr>
          <w:rFonts w:ascii="Times New Roman" w:hAnsi="Times New Roman" w:cs="Times New Roman"/>
          <w:spacing w:val="1"/>
          <w:sz w:val="24"/>
          <w:szCs w:val="24"/>
          <w:shd w:val="clear" w:color="auto" w:fill="FFFFFF"/>
        </w:rPr>
        <w:t xml:space="preserve"> to open an account with them and deposit a certain amount of funds as a show of good faith.</w:t>
      </w:r>
    </w:p>
    <w:p w14:paraId="146E0FE4" w14:textId="2A1472BB" w:rsidR="00AE6B36" w:rsidRPr="005C726E" w:rsidRDefault="00AE6B36" w:rsidP="005C726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pacing w:val="1"/>
          <w:kern w:val="0"/>
          <w:sz w:val="24"/>
          <w:szCs w:val="24"/>
          <w:lang w:eastAsia="en-IN"/>
          <w14:ligatures w14:val="none"/>
        </w:rPr>
      </w:pPr>
      <w:r w:rsidRPr="005C726E">
        <w:rPr>
          <w:rFonts w:ascii="Times New Roman" w:eastAsia="Times New Roman" w:hAnsi="Times New Roman" w:cs="Times New Roman"/>
          <w:spacing w:val="1"/>
          <w:kern w:val="0"/>
          <w:sz w:val="24"/>
          <w:szCs w:val="24"/>
          <w:lang w:eastAsia="en-IN"/>
          <w14:ligatures w14:val="none"/>
        </w:rPr>
        <w:t>Although most banks don't sell stocks, they do offer mutual funds and bonds.</w:t>
      </w:r>
    </w:p>
    <w:p w14:paraId="544C8273" w14:textId="2A7928DA" w:rsidR="00DF0EE0" w:rsidRPr="00930457" w:rsidRDefault="00ED0496" w:rsidP="00930457">
      <w:pPr>
        <w:pStyle w:val="ListParagraph"/>
        <w:numPr>
          <w:ilvl w:val="0"/>
          <w:numId w:val="8"/>
        </w:numPr>
        <w:rPr>
          <w:rFonts w:ascii="Times New Roman" w:hAnsi="Times New Roman" w:cs="Times New Roman"/>
          <w:spacing w:val="1"/>
          <w:sz w:val="24"/>
          <w:szCs w:val="24"/>
          <w:shd w:val="clear" w:color="auto" w:fill="FFFFFF"/>
        </w:rPr>
      </w:pPr>
      <w:hyperlink r:id="rId10" w:tgtFrame="_blank" w:history="1">
        <w:r w:rsidRPr="00930457">
          <w:rPr>
            <w:rStyle w:val="Strong"/>
            <w:rFonts w:ascii="Times New Roman" w:hAnsi="Times New Roman" w:cs="Times New Roman"/>
            <w:b w:val="0"/>
            <w:bCs w:val="0"/>
            <w:sz w:val="24"/>
            <w:szCs w:val="24"/>
          </w:rPr>
          <w:t>In the United States, stock trading typically occurs on stock exchanges</w:t>
        </w:r>
      </w:hyperlink>
      <w:r w:rsidRPr="00930457">
        <w:rPr>
          <w:rFonts w:ascii="Times New Roman" w:hAnsi="Times New Roman" w:cs="Times New Roman"/>
          <w:sz w:val="24"/>
          <w:szCs w:val="24"/>
        </w:rPr>
        <w:t xml:space="preserve"> </w:t>
      </w:r>
      <w:r w:rsidR="00DF0EE0" w:rsidRPr="00930457">
        <w:rPr>
          <w:rFonts w:ascii="Times New Roman" w:hAnsi="Times New Roman" w:cs="Times New Roman"/>
          <w:spacing w:val="1"/>
          <w:sz w:val="24"/>
          <w:szCs w:val="24"/>
          <w:shd w:val="clear" w:color="auto" w:fill="FFFFFF"/>
        </w:rPr>
        <w:t>The two major U.S. financial securities markets are the New York Stock Exchange and Nasdaq.</w:t>
      </w:r>
    </w:p>
    <w:p w14:paraId="448D611E" w14:textId="419CB099" w:rsidR="00DF0EE0" w:rsidRPr="00930457" w:rsidRDefault="00DF0EE0" w:rsidP="00930457">
      <w:pPr>
        <w:pStyle w:val="ListParagraph"/>
        <w:numPr>
          <w:ilvl w:val="0"/>
          <w:numId w:val="8"/>
        </w:numPr>
        <w:rPr>
          <w:rFonts w:ascii="Times New Roman" w:hAnsi="Times New Roman" w:cs="Times New Roman"/>
          <w:spacing w:val="1"/>
          <w:sz w:val="24"/>
          <w:szCs w:val="24"/>
          <w:shd w:val="clear" w:color="auto" w:fill="FFFFFF"/>
        </w:rPr>
      </w:pPr>
      <w:r w:rsidRPr="00930457">
        <w:rPr>
          <w:rFonts w:ascii="Times New Roman" w:hAnsi="Times New Roman" w:cs="Times New Roman"/>
          <w:spacing w:val="1"/>
          <w:sz w:val="24"/>
          <w:szCs w:val="24"/>
          <w:shd w:val="clear" w:color="auto" w:fill="FFFFFF"/>
        </w:rPr>
        <w:t>In order to be listed on the New York Stock Exchange, a company must have 400 shareholders and 1.1 million shares outstanding.</w:t>
      </w:r>
    </w:p>
    <w:p w14:paraId="661BDA42" w14:textId="1D49A6D9" w:rsidR="005C726E" w:rsidRPr="00930457" w:rsidRDefault="005C726E" w:rsidP="00930457">
      <w:pPr>
        <w:pStyle w:val="ListParagraph"/>
        <w:numPr>
          <w:ilvl w:val="0"/>
          <w:numId w:val="8"/>
        </w:numPr>
        <w:rPr>
          <w:rFonts w:ascii="Times New Roman" w:hAnsi="Times New Roman" w:cs="Times New Roman"/>
          <w:sz w:val="24"/>
          <w:szCs w:val="24"/>
          <w:shd w:val="clear" w:color="auto" w:fill="FFFFFF"/>
        </w:rPr>
      </w:pPr>
      <w:r w:rsidRPr="00930457">
        <w:rPr>
          <w:rFonts w:ascii="Times New Roman" w:hAnsi="Times New Roman" w:cs="Times New Roman"/>
          <w:sz w:val="24"/>
          <w:szCs w:val="24"/>
          <w:shd w:val="clear" w:color="auto" w:fill="FFFFFF"/>
        </w:rPr>
        <w:t>In 2018, the average total volume of treasury securities traded per day was over 547 billion U.S. dollars. This means that every day the market was open, the average amount of U.S. government securities bought and sold amounted to half a trillion U.S. dollars in that year.</w:t>
      </w:r>
    </w:p>
    <w:p w14:paraId="57A7B396" w14:textId="22DC36D4" w:rsidR="005C726E" w:rsidRPr="00930457" w:rsidRDefault="005C726E" w:rsidP="00930457">
      <w:pPr>
        <w:pStyle w:val="ListParagraph"/>
        <w:numPr>
          <w:ilvl w:val="0"/>
          <w:numId w:val="8"/>
        </w:numPr>
        <w:rPr>
          <w:rFonts w:ascii="Times New Roman" w:hAnsi="Times New Roman" w:cs="Times New Roman"/>
          <w:sz w:val="24"/>
          <w:szCs w:val="24"/>
        </w:rPr>
      </w:pPr>
      <w:r w:rsidRPr="00930457">
        <w:rPr>
          <w:rFonts w:ascii="Times New Roman" w:hAnsi="Times New Roman" w:cs="Times New Roman"/>
          <w:sz w:val="24"/>
          <w:szCs w:val="24"/>
        </w:rPr>
        <w:t>As of 2023, the total market capitalization of the U.S. stock market was approximately $46 trillion, making it the largest stock market in the world.</w:t>
      </w:r>
    </w:p>
    <w:p w14:paraId="32A484E8" w14:textId="10890697" w:rsidR="005C726E" w:rsidRPr="00930457" w:rsidRDefault="005C726E" w:rsidP="00930457">
      <w:pPr>
        <w:pStyle w:val="ListParagraph"/>
        <w:numPr>
          <w:ilvl w:val="0"/>
          <w:numId w:val="8"/>
        </w:numPr>
        <w:rPr>
          <w:rFonts w:ascii="Times New Roman" w:hAnsi="Times New Roman" w:cs="Times New Roman"/>
          <w:sz w:val="24"/>
          <w:szCs w:val="24"/>
          <w:shd w:val="clear" w:color="auto" w:fill="FFFFFF"/>
        </w:rPr>
      </w:pPr>
      <w:r w:rsidRPr="00930457">
        <w:rPr>
          <w:rFonts w:ascii="Times New Roman" w:hAnsi="Times New Roman" w:cs="Times New Roman"/>
          <w:sz w:val="24"/>
          <w:szCs w:val="24"/>
        </w:rPr>
        <w:t>The U.S. bond market is the largest in the world, with a total outstanding debt of around $46 trillion as of 2023.</w:t>
      </w:r>
    </w:p>
    <w:p w14:paraId="0B240DAD" w14:textId="77777777" w:rsidR="00930457" w:rsidRDefault="00930457" w:rsidP="00930457">
      <w:pPr>
        <w:rPr>
          <w:rFonts w:ascii="Times New Roman" w:hAnsi="Times New Roman" w:cs="Times New Roman"/>
          <w:sz w:val="24"/>
          <w:szCs w:val="24"/>
          <w:shd w:val="clear" w:color="auto" w:fill="FFFFFF"/>
        </w:rPr>
      </w:pPr>
    </w:p>
    <w:p w14:paraId="40233785" w14:textId="77777777" w:rsidR="00930457" w:rsidRDefault="00930457" w:rsidP="00930457">
      <w:pPr>
        <w:rPr>
          <w:rFonts w:ascii="Times New Roman" w:hAnsi="Times New Roman" w:cs="Times New Roman"/>
          <w:sz w:val="24"/>
          <w:szCs w:val="24"/>
          <w:shd w:val="clear" w:color="auto" w:fill="FFFFFF"/>
        </w:rPr>
      </w:pPr>
    </w:p>
    <w:p w14:paraId="38B01E69" w14:textId="77777777" w:rsidR="00930457" w:rsidRDefault="00930457" w:rsidP="00930457">
      <w:pPr>
        <w:rPr>
          <w:rFonts w:ascii="Times New Roman" w:hAnsi="Times New Roman" w:cs="Times New Roman"/>
          <w:sz w:val="24"/>
          <w:szCs w:val="24"/>
          <w:shd w:val="clear" w:color="auto" w:fill="FFFFFF"/>
        </w:rPr>
      </w:pPr>
    </w:p>
    <w:p w14:paraId="1B4E992C" w14:textId="77777777" w:rsidR="00930457" w:rsidRPr="00930457" w:rsidRDefault="00930457" w:rsidP="00930457">
      <w:pPr>
        <w:rPr>
          <w:rFonts w:ascii="Times New Roman" w:hAnsi="Times New Roman" w:cs="Times New Roman"/>
          <w:sz w:val="24"/>
          <w:szCs w:val="24"/>
          <w:shd w:val="clear" w:color="auto" w:fill="FFFFFF"/>
        </w:rPr>
      </w:pPr>
    </w:p>
    <w:tbl>
      <w:tblPr>
        <w:tblW w:w="2840" w:type="dxa"/>
        <w:tblLook w:val="04A0" w:firstRow="1" w:lastRow="0" w:firstColumn="1" w:lastColumn="0" w:noHBand="0" w:noVBand="1"/>
      </w:tblPr>
      <w:tblGrid>
        <w:gridCol w:w="960"/>
        <w:gridCol w:w="1880"/>
      </w:tblGrid>
      <w:tr w:rsidR="005C726E" w:rsidRPr="005C726E" w14:paraId="0E564C7A" w14:textId="77777777" w:rsidTr="005C726E">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63113" w14:textId="409558F9" w:rsidR="005C726E" w:rsidRPr="005C726E" w:rsidRDefault="005C726E" w:rsidP="005C726E">
            <w:pPr>
              <w:spacing w:after="0" w:line="240" w:lineRule="auto"/>
              <w:jc w:val="center"/>
              <w:rPr>
                <w:rFonts w:ascii="Calibri" w:eastAsia="Times New Roman" w:hAnsi="Calibri" w:cs="Calibri"/>
                <w:b/>
                <w:bCs/>
                <w:color w:val="000000"/>
                <w:kern w:val="0"/>
                <w:lang w:eastAsia="en-IN"/>
                <w14:ligatures w14:val="none"/>
              </w:rPr>
            </w:pPr>
            <w:r w:rsidRPr="005C726E">
              <w:rPr>
                <w:rFonts w:ascii="Calibri" w:eastAsia="Times New Roman" w:hAnsi="Calibri" w:cs="Calibri"/>
                <w:b/>
                <w:bCs/>
                <w:color w:val="000000"/>
                <w:kern w:val="0"/>
                <w:lang w:eastAsia="en-IN"/>
                <w14:ligatures w14:val="none"/>
              </w:rPr>
              <w:lastRenderedPageBreak/>
              <w:t>Year</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7F056DE8" w14:textId="77777777" w:rsidR="005C726E" w:rsidRPr="005C726E" w:rsidRDefault="005C726E" w:rsidP="005C726E">
            <w:pPr>
              <w:spacing w:after="0" w:line="240" w:lineRule="auto"/>
              <w:jc w:val="center"/>
              <w:rPr>
                <w:rFonts w:ascii="Calibri" w:eastAsia="Times New Roman" w:hAnsi="Calibri" w:cs="Calibri"/>
                <w:b/>
                <w:bCs/>
                <w:color w:val="000000"/>
                <w:kern w:val="0"/>
                <w:lang w:eastAsia="en-IN"/>
                <w14:ligatures w14:val="none"/>
              </w:rPr>
            </w:pPr>
            <w:r w:rsidRPr="005C726E">
              <w:rPr>
                <w:rFonts w:ascii="Calibri" w:eastAsia="Times New Roman" w:hAnsi="Calibri" w:cs="Calibri"/>
                <w:b/>
                <w:bCs/>
                <w:color w:val="000000"/>
                <w:kern w:val="0"/>
                <w:lang w:eastAsia="en-IN"/>
                <w14:ligatures w14:val="none"/>
              </w:rPr>
              <w:t>Volume (in billion U.S. dollars)</w:t>
            </w:r>
          </w:p>
        </w:tc>
      </w:tr>
      <w:tr w:rsidR="005C726E" w:rsidRPr="005C726E" w14:paraId="076ED0FF"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C0AD14"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2000</w:t>
            </w:r>
          </w:p>
        </w:tc>
        <w:tc>
          <w:tcPr>
            <w:tcW w:w="1880" w:type="dxa"/>
            <w:tcBorders>
              <w:top w:val="nil"/>
              <w:left w:val="nil"/>
              <w:bottom w:val="single" w:sz="4" w:space="0" w:color="auto"/>
              <w:right w:val="single" w:sz="4" w:space="0" w:color="auto"/>
            </w:tcBorders>
            <w:shd w:val="clear" w:color="auto" w:fill="auto"/>
            <w:vAlign w:val="center"/>
            <w:hideMark/>
          </w:tcPr>
          <w:p w14:paraId="3DBC9A0E"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206.5</w:t>
            </w:r>
          </w:p>
        </w:tc>
      </w:tr>
      <w:tr w:rsidR="005C726E" w:rsidRPr="005C726E" w14:paraId="7C3C864A"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548C2C"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2005</w:t>
            </w:r>
          </w:p>
        </w:tc>
        <w:tc>
          <w:tcPr>
            <w:tcW w:w="1880" w:type="dxa"/>
            <w:tcBorders>
              <w:top w:val="nil"/>
              <w:left w:val="nil"/>
              <w:bottom w:val="single" w:sz="4" w:space="0" w:color="auto"/>
              <w:right w:val="single" w:sz="4" w:space="0" w:color="auto"/>
            </w:tcBorders>
            <w:shd w:val="clear" w:color="auto" w:fill="auto"/>
            <w:vAlign w:val="center"/>
            <w:hideMark/>
          </w:tcPr>
          <w:p w14:paraId="63923D0A"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554.5</w:t>
            </w:r>
          </w:p>
        </w:tc>
      </w:tr>
      <w:tr w:rsidR="005C726E" w:rsidRPr="005C726E" w14:paraId="673C2A2C"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F8C709"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2010</w:t>
            </w:r>
          </w:p>
        </w:tc>
        <w:tc>
          <w:tcPr>
            <w:tcW w:w="1880" w:type="dxa"/>
            <w:tcBorders>
              <w:top w:val="nil"/>
              <w:left w:val="nil"/>
              <w:bottom w:val="single" w:sz="4" w:space="0" w:color="auto"/>
              <w:right w:val="single" w:sz="4" w:space="0" w:color="auto"/>
            </w:tcBorders>
            <w:shd w:val="clear" w:color="auto" w:fill="auto"/>
            <w:vAlign w:val="center"/>
            <w:hideMark/>
          </w:tcPr>
          <w:p w14:paraId="3AF86B61"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528.2</w:t>
            </w:r>
          </w:p>
        </w:tc>
      </w:tr>
      <w:tr w:rsidR="005C726E" w:rsidRPr="005C726E" w14:paraId="385E354F"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2AD432"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2014</w:t>
            </w:r>
          </w:p>
        </w:tc>
        <w:tc>
          <w:tcPr>
            <w:tcW w:w="1880" w:type="dxa"/>
            <w:tcBorders>
              <w:top w:val="nil"/>
              <w:left w:val="nil"/>
              <w:bottom w:val="single" w:sz="4" w:space="0" w:color="auto"/>
              <w:right w:val="single" w:sz="4" w:space="0" w:color="auto"/>
            </w:tcBorders>
            <w:shd w:val="clear" w:color="auto" w:fill="auto"/>
            <w:vAlign w:val="center"/>
            <w:hideMark/>
          </w:tcPr>
          <w:p w14:paraId="281B3F75"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504.2</w:t>
            </w:r>
          </w:p>
        </w:tc>
      </w:tr>
      <w:tr w:rsidR="005C726E" w:rsidRPr="005C726E" w14:paraId="1BEE4AEE"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2FEE52"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2015</w:t>
            </w:r>
          </w:p>
        </w:tc>
        <w:tc>
          <w:tcPr>
            <w:tcW w:w="1880" w:type="dxa"/>
            <w:tcBorders>
              <w:top w:val="nil"/>
              <w:left w:val="nil"/>
              <w:bottom w:val="single" w:sz="4" w:space="0" w:color="auto"/>
              <w:right w:val="single" w:sz="4" w:space="0" w:color="auto"/>
            </w:tcBorders>
            <w:shd w:val="clear" w:color="auto" w:fill="auto"/>
            <w:vAlign w:val="center"/>
            <w:hideMark/>
          </w:tcPr>
          <w:p w14:paraId="76D6725D"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490.1</w:t>
            </w:r>
          </w:p>
        </w:tc>
      </w:tr>
      <w:tr w:rsidR="005C726E" w:rsidRPr="005C726E" w14:paraId="654B8091"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BD4ABB"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2016</w:t>
            </w:r>
          </w:p>
        </w:tc>
        <w:tc>
          <w:tcPr>
            <w:tcW w:w="1880" w:type="dxa"/>
            <w:tcBorders>
              <w:top w:val="nil"/>
              <w:left w:val="nil"/>
              <w:bottom w:val="single" w:sz="4" w:space="0" w:color="auto"/>
              <w:right w:val="single" w:sz="4" w:space="0" w:color="auto"/>
            </w:tcBorders>
            <w:shd w:val="clear" w:color="auto" w:fill="auto"/>
            <w:vAlign w:val="center"/>
            <w:hideMark/>
          </w:tcPr>
          <w:p w14:paraId="3BE8993D"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519.1</w:t>
            </w:r>
          </w:p>
        </w:tc>
      </w:tr>
      <w:tr w:rsidR="005C726E" w:rsidRPr="005C726E" w14:paraId="592A08B8"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90187D"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2017</w:t>
            </w:r>
          </w:p>
        </w:tc>
        <w:tc>
          <w:tcPr>
            <w:tcW w:w="1880" w:type="dxa"/>
            <w:tcBorders>
              <w:top w:val="nil"/>
              <w:left w:val="nil"/>
              <w:bottom w:val="single" w:sz="4" w:space="0" w:color="auto"/>
              <w:right w:val="single" w:sz="4" w:space="0" w:color="auto"/>
            </w:tcBorders>
            <w:shd w:val="clear" w:color="auto" w:fill="auto"/>
            <w:vAlign w:val="center"/>
            <w:hideMark/>
          </w:tcPr>
          <w:p w14:paraId="5F0836C5"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505.2</w:t>
            </w:r>
          </w:p>
        </w:tc>
      </w:tr>
      <w:tr w:rsidR="005C726E" w:rsidRPr="005C726E" w14:paraId="10B3BD41" w14:textId="77777777" w:rsidTr="005C726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9D5CED"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2018</w:t>
            </w:r>
          </w:p>
        </w:tc>
        <w:tc>
          <w:tcPr>
            <w:tcW w:w="1880" w:type="dxa"/>
            <w:tcBorders>
              <w:top w:val="nil"/>
              <w:left w:val="nil"/>
              <w:bottom w:val="single" w:sz="4" w:space="0" w:color="auto"/>
              <w:right w:val="single" w:sz="4" w:space="0" w:color="auto"/>
            </w:tcBorders>
            <w:shd w:val="clear" w:color="auto" w:fill="auto"/>
            <w:vAlign w:val="center"/>
            <w:hideMark/>
          </w:tcPr>
          <w:p w14:paraId="7C02C104" w14:textId="77777777" w:rsidR="005C726E" w:rsidRPr="005C726E" w:rsidRDefault="005C726E" w:rsidP="005C726E">
            <w:pPr>
              <w:spacing w:after="0" w:line="240" w:lineRule="auto"/>
              <w:jc w:val="right"/>
              <w:rPr>
                <w:rFonts w:ascii="Calibri" w:eastAsia="Times New Roman" w:hAnsi="Calibri" w:cs="Calibri"/>
                <w:color w:val="000000"/>
                <w:kern w:val="0"/>
                <w:lang w:eastAsia="en-IN"/>
                <w14:ligatures w14:val="none"/>
              </w:rPr>
            </w:pPr>
            <w:r w:rsidRPr="005C726E">
              <w:rPr>
                <w:rFonts w:ascii="Calibri" w:eastAsia="Times New Roman" w:hAnsi="Calibri" w:cs="Calibri"/>
                <w:color w:val="000000"/>
                <w:kern w:val="0"/>
                <w:lang w:eastAsia="en-IN"/>
                <w14:ligatures w14:val="none"/>
              </w:rPr>
              <w:t>547.8</w:t>
            </w:r>
          </w:p>
        </w:tc>
      </w:tr>
    </w:tbl>
    <w:p w14:paraId="56A79D31" w14:textId="6B3B40CC" w:rsidR="005C726E" w:rsidRPr="00E34132" w:rsidRDefault="005C726E">
      <w:pPr>
        <w:rPr>
          <w:lang w:val="en-US"/>
        </w:rPr>
      </w:pPr>
      <w:r>
        <w:rPr>
          <w:noProof/>
        </w:rPr>
        <w:drawing>
          <wp:anchor distT="0" distB="0" distL="114300" distR="114300" simplePos="0" relativeHeight="251659264" behindDoc="0" locked="0" layoutInCell="1" allowOverlap="1" wp14:anchorId="5B31B1CB" wp14:editId="360B6FC9">
            <wp:simplePos x="0" y="0"/>
            <wp:positionH relativeFrom="column">
              <wp:posOffset>2033599</wp:posOffset>
            </wp:positionH>
            <wp:positionV relativeFrom="paragraph">
              <wp:posOffset>-1891863</wp:posOffset>
            </wp:positionV>
            <wp:extent cx="4437380" cy="2743200"/>
            <wp:effectExtent l="0" t="0" r="1270" b="0"/>
            <wp:wrapSquare wrapText="bothSides"/>
            <wp:docPr id="638304063" name="Chart 1">
              <a:extLst xmlns:a="http://schemas.openxmlformats.org/drawingml/2006/main">
                <a:ext uri="{FF2B5EF4-FFF2-40B4-BE49-F238E27FC236}">
                  <a16:creationId xmlns:a16="http://schemas.microsoft.com/office/drawing/2014/main" id="{D95D898B-16E3-C212-484D-D582F35BBA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sectPr w:rsidR="005C726E" w:rsidRPr="00E34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24FB8" w14:textId="77777777" w:rsidR="00432040" w:rsidRDefault="00432040" w:rsidP="00930457">
      <w:pPr>
        <w:spacing w:after="0" w:line="240" w:lineRule="auto"/>
      </w:pPr>
      <w:r>
        <w:separator/>
      </w:r>
    </w:p>
  </w:endnote>
  <w:endnote w:type="continuationSeparator" w:id="0">
    <w:p w14:paraId="43DD1E99" w14:textId="77777777" w:rsidR="00432040" w:rsidRDefault="00432040" w:rsidP="00930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0D18B" w14:textId="77777777" w:rsidR="00432040" w:rsidRDefault="00432040" w:rsidP="00930457">
      <w:pPr>
        <w:spacing w:after="0" w:line="240" w:lineRule="auto"/>
      </w:pPr>
      <w:r>
        <w:separator/>
      </w:r>
    </w:p>
  </w:footnote>
  <w:footnote w:type="continuationSeparator" w:id="0">
    <w:p w14:paraId="3704BB91" w14:textId="77777777" w:rsidR="00432040" w:rsidRDefault="00432040" w:rsidP="00930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7CFF"/>
    <w:multiLevelType w:val="hybridMultilevel"/>
    <w:tmpl w:val="7B223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225A5"/>
    <w:multiLevelType w:val="multilevel"/>
    <w:tmpl w:val="D55CE8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65B6439"/>
    <w:multiLevelType w:val="multilevel"/>
    <w:tmpl w:val="406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260E8"/>
    <w:multiLevelType w:val="multilevel"/>
    <w:tmpl w:val="BC1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930E2"/>
    <w:multiLevelType w:val="hybridMultilevel"/>
    <w:tmpl w:val="B8923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4F2C"/>
    <w:multiLevelType w:val="hybridMultilevel"/>
    <w:tmpl w:val="A7CE10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E42BF2"/>
    <w:multiLevelType w:val="hybridMultilevel"/>
    <w:tmpl w:val="5862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0E0730"/>
    <w:multiLevelType w:val="multilevel"/>
    <w:tmpl w:val="FE0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3479031">
    <w:abstractNumId w:val="1"/>
  </w:num>
  <w:num w:numId="2" w16cid:durableId="1020088549">
    <w:abstractNumId w:val="3"/>
  </w:num>
  <w:num w:numId="3" w16cid:durableId="2019959878">
    <w:abstractNumId w:val="2"/>
  </w:num>
  <w:num w:numId="4" w16cid:durableId="888538607">
    <w:abstractNumId w:val="7"/>
  </w:num>
  <w:num w:numId="5" w16cid:durableId="742532242">
    <w:abstractNumId w:val="4"/>
  </w:num>
  <w:num w:numId="6" w16cid:durableId="689723045">
    <w:abstractNumId w:val="6"/>
  </w:num>
  <w:num w:numId="7" w16cid:durableId="1364095464">
    <w:abstractNumId w:val="5"/>
  </w:num>
  <w:num w:numId="8" w16cid:durableId="93312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32"/>
    <w:rsid w:val="00001581"/>
    <w:rsid w:val="00432040"/>
    <w:rsid w:val="005C726E"/>
    <w:rsid w:val="00930457"/>
    <w:rsid w:val="00A109FB"/>
    <w:rsid w:val="00AB6ED9"/>
    <w:rsid w:val="00AE6B36"/>
    <w:rsid w:val="00DF0EE0"/>
    <w:rsid w:val="00E34132"/>
    <w:rsid w:val="00ED0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6363"/>
  <w15:chartTrackingRefBased/>
  <w15:docId w15:val="{D46657FD-11FF-4279-A80E-2B6B98AA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41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413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34132"/>
    <w:rPr>
      <w:b/>
      <w:bCs/>
    </w:rPr>
  </w:style>
  <w:style w:type="paragraph" w:customStyle="1" w:styleId="comp">
    <w:name w:val="comp"/>
    <w:basedOn w:val="Normal"/>
    <w:rsid w:val="00AE6B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E6B36"/>
    <w:rPr>
      <w:color w:val="0000FF"/>
      <w:u w:val="single"/>
    </w:rPr>
  </w:style>
  <w:style w:type="paragraph" w:styleId="ListParagraph">
    <w:name w:val="List Paragraph"/>
    <w:basedOn w:val="Normal"/>
    <w:uiPriority w:val="34"/>
    <w:qFormat/>
    <w:rsid w:val="005C726E"/>
    <w:pPr>
      <w:ind w:left="720"/>
      <w:contextualSpacing/>
    </w:pPr>
  </w:style>
  <w:style w:type="paragraph" w:styleId="Header">
    <w:name w:val="header"/>
    <w:basedOn w:val="Normal"/>
    <w:link w:val="HeaderChar"/>
    <w:uiPriority w:val="99"/>
    <w:unhideWhenUsed/>
    <w:rsid w:val="00930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457"/>
  </w:style>
  <w:style w:type="paragraph" w:styleId="Footer">
    <w:name w:val="footer"/>
    <w:basedOn w:val="Normal"/>
    <w:link w:val="FooterChar"/>
    <w:uiPriority w:val="99"/>
    <w:unhideWhenUsed/>
    <w:rsid w:val="00930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943793">
      <w:bodyDiv w:val="1"/>
      <w:marLeft w:val="0"/>
      <w:marRight w:val="0"/>
      <w:marTop w:val="0"/>
      <w:marBottom w:val="0"/>
      <w:divBdr>
        <w:top w:val="none" w:sz="0" w:space="0" w:color="auto"/>
        <w:left w:val="none" w:sz="0" w:space="0" w:color="auto"/>
        <w:bottom w:val="none" w:sz="0" w:space="0" w:color="auto"/>
        <w:right w:val="none" w:sz="0" w:space="0" w:color="auto"/>
      </w:divBdr>
    </w:div>
    <w:div w:id="623652694">
      <w:bodyDiv w:val="1"/>
      <w:marLeft w:val="0"/>
      <w:marRight w:val="0"/>
      <w:marTop w:val="0"/>
      <w:marBottom w:val="0"/>
      <w:divBdr>
        <w:top w:val="none" w:sz="0" w:space="0" w:color="auto"/>
        <w:left w:val="none" w:sz="0" w:space="0" w:color="auto"/>
        <w:bottom w:val="none" w:sz="0" w:space="0" w:color="auto"/>
        <w:right w:val="none" w:sz="0" w:space="0" w:color="auto"/>
      </w:divBdr>
    </w:div>
    <w:div w:id="958148794">
      <w:bodyDiv w:val="1"/>
      <w:marLeft w:val="0"/>
      <w:marRight w:val="0"/>
      <w:marTop w:val="0"/>
      <w:marBottom w:val="0"/>
      <w:divBdr>
        <w:top w:val="none" w:sz="0" w:space="0" w:color="auto"/>
        <w:left w:val="none" w:sz="0" w:space="0" w:color="auto"/>
        <w:bottom w:val="none" w:sz="0" w:space="0" w:color="auto"/>
        <w:right w:val="none" w:sz="0" w:space="0" w:color="auto"/>
      </w:divBdr>
    </w:div>
    <w:div w:id="1104113557">
      <w:bodyDiv w:val="1"/>
      <w:marLeft w:val="0"/>
      <w:marRight w:val="0"/>
      <w:marTop w:val="0"/>
      <w:marBottom w:val="0"/>
      <w:divBdr>
        <w:top w:val="none" w:sz="0" w:space="0" w:color="auto"/>
        <w:left w:val="none" w:sz="0" w:space="0" w:color="auto"/>
        <w:bottom w:val="none" w:sz="0" w:space="0" w:color="auto"/>
        <w:right w:val="none" w:sz="0" w:space="0" w:color="auto"/>
      </w:divBdr>
    </w:div>
    <w:div w:id="1128475031">
      <w:bodyDiv w:val="1"/>
      <w:marLeft w:val="0"/>
      <w:marRight w:val="0"/>
      <w:marTop w:val="0"/>
      <w:marBottom w:val="0"/>
      <w:divBdr>
        <w:top w:val="none" w:sz="0" w:space="0" w:color="auto"/>
        <w:left w:val="none" w:sz="0" w:space="0" w:color="auto"/>
        <w:bottom w:val="none" w:sz="0" w:space="0" w:color="auto"/>
        <w:right w:val="none" w:sz="0" w:space="0" w:color="auto"/>
      </w:divBdr>
    </w:div>
    <w:div w:id="1155991835">
      <w:bodyDiv w:val="1"/>
      <w:marLeft w:val="0"/>
      <w:marRight w:val="0"/>
      <w:marTop w:val="0"/>
      <w:marBottom w:val="0"/>
      <w:divBdr>
        <w:top w:val="none" w:sz="0" w:space="0" w:color="auto"/>
        <w:left w:val="none" w:sz="0" w:space="0" w:color="auto"/>
        <w:bottom w:val="none" w:sz="0" w:space="0" w:color="auto"/>
        <w:right w:val="none" w:sz="0" w:space="0" w:color="auto"/>
      </w:divBdr>
    </w:div>
    <w:div w:id="15493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hyperlink" Target="https://www.bing.com/ck/a?!&amp;&amp;p=49241a9719d255bdJmltdHM9MTcyMDc0MjQwMCZpZ3VpZD0zMzk1NjI5Yy01MjRjLTY2NDUtMDhlOC03MWVmNTNiZTY3MDQmaW5zaWQ9NTg1OA&amp;ptn=3&amp;ver=2&amp;hsh=3&amp;fclid=3395629c-524c-6645-08e8-71ef53be6704&amp;psq=securities+trading+in+us+&amp;u=a1aHR0cHM6Ly93d3cuaW52ZXN0b3BlZGlhLmNvbS93aGF0LWlzLXN0b2NrLXRyYWRpbmctNzEwOTkzNA&amp;ntb=1" TargetMode="External"/><Relationship Id="rId4" Type="http://schemas.openxmlformats.org/officeDocument/2006/relationships/settings" Target="settings.xml"/><Relationship Id="rId9" Type="http://schemas.openxmlformats.org/officeDocument/2006/relationships/hyperlink" Target="https://www.investopedia.com/terms/i/investment-securities.as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Number of IPOs</c:v>
                </c:pt>
              </c:strCache>
            </c:strRef>
          </c:tx>
          <c:spPr>
            <a:solidFill>
              <a:schemeClr val="accent1"/>
            </a:solidFill>
            <a:ln>
              <a:noFill/>
            </a:ln>
            <a:effectLst/>
          </c:spPr>
          <c:invertIfNegative val="0"/>
          <c:cat>
            <c:numRef>
              <c:f>Sheet1!$A$27:$A$40</c:f>
              <c:numCache>
                <c:formatCode>General</c:formatCode>
                <c:ptCount val="14"/>
                <c:pt idx="0">
                  <c:v>2011</c:v>
                </c:pt>
                <c:pt idx="1">
                  <c:v>2012</c:v>
                </c:pt>
                <c:pt idx="2">
                  <c:v>2013</c:v>
                </c:pt>
                <c:pt idx="3">
                  <c:v>2014</c:v>
                </c:pt>
                <c:pt idx="4">
                  <c:v>2015</c:v>
                </c:pt>
                <c:pt idx="5">
                  <c:v>2016</c:v>
                </c:pt>
                <c:pt idx="6">
                  <c:v>2017</c:v>
                </c:pt>
                <c:pt idx="7">
                  <c:v>2018</c:v>
                </c:pt>
                <c:pt idx="8">
                  <c:v>2019</c:v>
                </c:pt>
                <c:pt idx="9">
                  <c:v>2020</c:v>
                </c:pt>
                <c:pt idx="10">
                  <c:v>2021</c:v>
                </c:pt>
                <c:pt idx="11">
                  <c:v>2022</c:v>
                </c:pt>
                <c:pt idx="12">
                  <c:v>2023</c:v>
                </c:pt>
                <c:pt idx="13">
                  <c:v>2024</c:v>
                </c:pt>
              </c:numCache>
            </c:numRef>
          </c:cat>
          <c:val>
            <c:numRef>
              <c:f>Sheet1!$B$27:$B$40</c:f>
              <c:numCache>
                <c:formatCode>General</c:formatCode>
                <c:ptCount val="14"/>
                <c:pt idx="0">
                  <c:v>171</c:v>
                </c:pt>
                <c:pt idx="1">
                  <c:v>157</c:v>
                </c:pt>
                <c:pt idx="2">
                  <c:v>251</c:v>
                </c:pt>
                <c:pt idx="3">
                  <c:v>304</c:v>
                </c:pt>
                <c:pt idx="4">
                  <c:v>206</c:v>
                </c:pt>
                <c:pt idx="5">
                  <c:v>133</c:v>
                </c:pt>
                <c:pt idx="6">
                  <c:v>217</c:v>
                </c:pt>
                <c:pt idx="7">
                  <c:v>255</c:v>
                </c:pt>
                <c:pt idx="8">
                  <c:v>232</c:v>
                </c:pt>
                <c:pt idx="9">
                  <c:v>480</c:v>
                </c:pt>
                <c:pt idx="10">
                  <c:v>1035</c:v>
                </c:pt>
                <c:pt idx="11">
                  <c:v>181</c:v>
                </c:pt>
                <c:pt idx="12">
                  <c:v>154</c:v>
                </c:pt>
                <c:pt idx="13">
                  <c:v>97</c:v>
                </c:pt>
              </c:numCache>
            </c:numRef>
          </c:val>
          <c:extLst>
            <c:ext xmlns:c16="http://schemas.microsoft.com/office/drawing/2014/chart" uri="{C3380CC4-5D6E-409C-BE32-E72D297353CC}">
              <c16:uniqueId val="{00000000-4572-4895-8D72-3E3016CCB6EF}"/>
            </c:ext>
          </c:extLst>
        </c:ser>
        <c:dLbls>
          <c:showLegendKey val="0"/>
          <c:showVal val="0"/>
          <c:showCatName val="0"/>
          <c:showSerName val="0"/>
          <c:showPercent val="0"/>
          <c:showBubbleSize val="0"/>
        </c:dLbls>
        <c:gapWidth val="219"/>
        <c:overlap val="-27"/>
        <c:axId val="1008818079"/>
        <c:axId val="1008820959"/>
      </c:barChart>
      <c:catAx>
        <c:axId val="100881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820959"/>
        <c:crosses val="autoZero"/>
        <c:auto val="1"/>
        <c:lblAlgn val="ctr"/>
        <c:lblOffset val="100"/>
        <c:noMultiLvlLbl val="0"/>
      </c:catAx>
      <c:valAx>
        <c:axId val="100882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8180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Daily Trading Volume of the Treasury Securities</a:t>
            </a:r>
            <a:r>
              <a:rPr lang="en-US" baseline="0"/>
              <a:t> </a:t>
            </a:r>
            <a:r>
              <a:rPr lang="en-US"/>
              <a:t>Volume (in billion U.S. dollars)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Sheet1!$B$48:$B$50</c:f>
              <c:strCache>
                <c:ptCount val="3"/>
                <c:pt idx="0">
                  <c:v>Average Daily Trading Volume of the Treasury Securities (2000-2018)</c:v>
                </c:pt>
                <c:pt idx="2">
                  <c:v>Volume (in billion U.S. dollars)</c:v>
                </c:pt>
              </c:strCache>
            </c:strRef>
          </c:tx>
          <c:spPr>
            <a:solidFill>
              <a:schemeClr val="accent1"/>
            </a:solidFill>
            <a:ln>
              <a:noFill/>
            </a:ln>
            <a:effectLst/>
          </c:spPr>
          <c:invertIfNegative val="0"/>
          <c:cat>
            <c:numRef>
              <c:f>Sheet1!$A$51:$A$58</c:f>
              <c:numCache>
                <c:formatCode>General</c:formatCode>
                <c:ptCount val="8"/>
                <c:pt idx="0">
                  <c:v>2000</c:v>
                </c:pt>
                <c:pt idx="1">
                  <c:v>2005</c:v>
                </c:pt>
                <c:pt idx="2">
                  <c:v>2010</c:v>
                </c:pt>
                <c:pt idx="3">
                  <c:v>2014</c:v>
                </c:pt>
                <c:pt idx="4">
                  <c:v>2015</c:v>
                </c:pt>
                <c:pt idx="5">
                  <c:v>2016</c:v>
                </c:pt>
                <c:pt idx="6">
                  <c:v>2017</c:v>
                </c:pt>
                <c:pt idx="7">
                  <c:v>2018</c:v>
                </c:pt>
              </c:numCache>
            </c:numRef>
          </c:cat>
          <c:val>
            <c:numRef>
              <c:f>Sheet1!$B$51:$B$58</c:f>
              <c:numCache>
                <c:formatCode>General</c:formatCode>
                <c:ptCount val="8"/>
                <c:pt idx="0">
                  <c:v>206.5</c:v>
                </c:pt>
                <c:pt idx="1">
                  <c:v>554.5</c:v>
                </c:pt>
                <c:pt idx="2">
                  <c:v>528.20000000000005</c:v>
                </c:pt>
                <c:pt idx="3">
                  <c:v>504.2</c:v>
                </c:pt>
                <c:pt idx="4">
                  <c:v>490.1</c:v>
                </c:pt>
                <c:pt idx="5">
                  <c:v>519.1</c:v>
                </c:pt>
                <c:pt idx="6">
                  <c:v>505.2</c:v>
                </c:pt>
                <c:pt idx="7">
                  <c:v>547.79999999999995</c:v>
                </c:pt>
              </c:numCache>
            </c:numRef>
          </c:val>
          <c:extLst>
            <c:ext xmlns:c16="http://schemas.microsoft.com/office/drawing/2014/chart" uri="{C3380CC4-5D6E-409C-BE32-E72D297353CC}">
              <c16:uniqueId val="{00000000-EB3C-4295-9E47-0023572A81AE}"/>
            </c:ext>
          </c:extLst>
        </c:ser>
        <c:dLbls>
          <c:showLegendKey val="0"/>
          <c:showVal val="0"/>
          <c:showCatName val="0"/>
          <c:showSerName val="0"/>
          <c:showPercent val="0"/>
          <c:showBubbleSize val="0"/>
        </c:dLbls>
        <c:gapWidth val="219"/>
        <c:overlap val="-27"/>
        <c:axId val="1121195327"/>
        <c:axId val="1121204447"/>
      </c:barChart>
      <c:catAx>
        <c:axId val="112119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204447"/>
        <c:crosses val="autoZero"/>
        <c:auto val="1"/>
        <c:lblAlgn val="ctr"/>
        <c:lblOffset val="100"/>
        <c:noMultiLvlLbl val="0"/>
      </c:catAx>
      <c:valAx>
        <c:axId val="1121204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195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4956B-1A7F-4493-89AA-84CE4A1F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2024-07-12T06:22:00Z</dcterms:created>
  <dcterms:modified xsi:type="dcterms:W3CDTF">2024-07-12T08:46:00Z</dcterms:modified>
</cp:coreProperties>
</file>