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AB416" w14:textId="4B6A4BC1" w:rsidR="00001581" w:rsidRPr="00546BE9" w:rsidRDefault="000A781D">
      <w:pPr>
        <w:rPr>
          <w:rFonts w:ascii="Times New Roman" w:hAnsi="Times New Roman" w:cs="Times New Roman"/>
          <w:b/>
          <w:bCs/>
          <w:sz w:val="28"/>
          <w:szCs w:val="28"/>
          <w:u w:val="single"/>
          <w:lang w:val="en-US"/>
        </w:rPr>
      </w:pPr>
      <w:r w:rsidRPr="00546BE9">
        <w:rPr>
          <w:rFonts w:ascii="Times New Roman" w:hAnsi="Times New Roman" w:cs="Times New Roman"/>
          <w:b/>
          <w:bCs/>
          <w:sz w:val="28"/>
          <w:szCs w:val="28"/>
          <w:u w:val="single"/>
          <w:lang w:val="en-US"/>
        </w:rPr>
        <w:t>Investment banking functions</w:t>
      </w:r>
    </w:p>
    <w:p w14:paraId="25799B44" w14:textId="77777777" w:rsidR="00546BE9" w:rsidRDefault="000A781D" w:rsidP="00546BE9">
      <w:pPr>
        <w:pStyle w:val="ListParagraph"/>
        <w:numPr>
          <w:ilvl w:val="0"/>
          <w:numId w:val="3"/>
        </w:numPr>
        <w:rPr>
          <w:rFonts w:ascii="Times New Roman" w:hAnsi="Times New Roman" w:cs="Times New Roman"/>
          <w:sz w:val="24"/>
          <w:szCs w:val="24"/>
          <w:lang w:val="en-US"/>
        </w:rPr>
      </w:pPr>
      <w:r w:rsidRPr="00546BE9">
        <w:rPr>
          <w:rFonts w:ascii="Times New Roman" w:hAnsi="Times New Roman" w:cs="Times New Roman"/>
          <w:sz w:val="24"/>
          <w:szCs w:val="24"/>
          <w:lang w:val="en-US"/>
        </w:rPr>
        <w:t xml:space="preserve">The Investment Bank is divided into two parts i.e. SELL and BUY part. </w:t>
      </w:r>
    </w:p>
    <w:p w14:paraId="317A6F48" w14:textId="78EFE037" w:rsidR="000A781D" w:rsidRPr="00546BE9" w:rsidRDefault="000A781D" w:rsidP="00546BE9">
      <w:pPr>
        <w:pStyle w:val="ListParagraph"/>
        <w:numPr>
          <w:ilvl w:val="1"/>
          <w:numId w:val="3"/>
        </w:numPr>
        <w:rPr>
          <w:rFonts w:ascii="Times New Roman" w:hAnsi="Times New Roman" w:cs="Times New Roman"/>
          <w:sz w:val="24"/>
          <w:szCs w:val="24"/>
          <w:lang w:val="en-US"/>
        </w:rPr>
      </w:pPr>
      <w:r w:rsidRPr="00546BE9">
        <w:rPr>
          <w:rFonts w:ascii="Times New Roman" w:hAnsi="Times New Roman" w:cs="Times New Roman"/>
          <w:sz w:val="24"/>
          <w:szCs w:val="24"/>
          <w:lang w:val="en-US"/>
        </w:rPr>
        <w:t>The Sell side involves creation, promotion, analysis and sale of securities to the buy side of the industry this means underwriting securities offerings which means funding and bringing them to market.</w:t>
      </w:r>
    </w:p>
    <w:p w14:paraId="6DE6DCFE" w14:textId="77777777" w:rsidR="000A781D" w:rsidRPr="00546BE9" w:rsidRDefault="000A781D" w:rsidP="00546BE9">
      <w:pPr>
        <w:pStyle w:val="ListParagraph"/>
        <w:numPr>
          <w:ilvl w:val="1"/>
          <w:numId w:val="3"/>
        </w:numPr>
        <w:rPr>
          <w:rFonts w:ascii="Times New Roman" w:hAnsi="Times New Roman" w:cs="Times New Roman"/>
          <w:sz w:val="24"/>
          <w:szCs w:val="24"/>
          <w:lang w:val="en-US"/>
        </w:rPr>
      </w:pPr>
      <w:r w:rsidRPr="00546BE9">
        <w:rPr>
          <w:rFonts w:ascii="Times New Roman" w:hAnsi="Times New Roman" w:cs="Times New Roman"/>
          <w:sz w:val="24"/>
          <w:szCs w:val="24"/>
          <w:lang w:val="en-US"/>
        </w:rPr>
        <w:t>The Buy side involves large scale buying of securities for mutual funds, pension funds, private equity funds and hedge funds and insurance firms for money management purposes.</w:t>
      </w:r>
    </w:p>
    <w:p w14:paraId="4F536EA0" w14:textId="056FE971" w:rsidR="000A781D" w:rsidRPr="00546BE9" w:rsidRDefault="000A781D" w:rsidP="00546BE9">
      <w:pPr>
        <w:pStyle w:val="ListParagraph"/>
        <w:numPr>
          <w:ilvl w:val="0"/>
          <w:numId w:val="3"/>
        </w:numPr>
        <w:rPr>
          <w:rFonts w:ascii="Times New Roman" w:hAnsi="Times New Roman" w:cs="Times New Roman"/>
          <w:sz w:val="24"/>
          <w:szCs w:val="24"/>
          <w:lang w:val="en-US"/>
        </w:rPr>
      </w:pPr>
      <w:r w:rsidRPr="00546BE9">
        <w:rPr>
          <w:rFonts w:ascii="Times New Roman" w:hAnsi="Times New Roman" w:cs="Times New Roman"/>
          <w:sz w:val="24"/>
          <w:szCs w:val="24"/>
          <w:lang w:val="en-US"/>
        </w:rPr>
        <w:t>One main service of investment bank is helping companies raise capital. They advise companies on issui</w:t>
      </w:r>
      <w:r w:rsidR="008A4246" w:rsidRPr="00546BE9">
        <w:rPr>
          <w:rFonts w:ascii="Times New Roman" w:hAnsi="Times New Roman" w:cs="Times New Roman"/>
          <w:sz w:val="24"/>
          <w:szCs w:val="24"/>
          <w:lang w:val="en-US"/>
        </w:rPr>
        <w:t xml:space="preserve">ng </w:t>
      </w:r>
      <w:r w:rsidRPr="00546BE9">
        <w:rPr>
          <w:rFonts w:ascii="Times New Roman" w:hAnsi="Times New Roman" w:cs="Times New Roman"/>
          <w:sz w:val="24"/>
          <w:szCs w:val="24"/>
          <w:lang w:val="en-US"/>
        </w:rPr>
        <w:t>new d</w:t>
      </w:r>
      <w:r w:rsidR="008A4246" w:rsidRPr="00546BE9">
        <w:rPr>
          <w:rFonts w:ascii="Times New Roman" w:hAnsi="Times New Roman" w:cs="Times New Roman"/>
          <w:sz w:val="24"/>
          <w:szCs w:val="24"/>
          <w:lang w:val="en-US"/>
        </w:rPr>
        <w:t>e</w:t>
      </w:r>
      <w:r w:rsidRPr="00546BE9">
        <w:rPr>
          <w:rFonts w:ascii="Times New Roman" w:hAnsi="Times New Roman" w:cs="Times New Roman"/>
          <w:sz w:val="24"/>
          <w:szCs w:val="24"/>
          <w:lang w:val="en-US"/>
        </w:rPr>
        <w:t>bt and equity</w:t>
      </w:r>
      <w:r w:rsidR="008A4246" w:rsidRPr="00546BE9">
        <w:rPr>
          <w:rFonts w:ascii="Times New Roman" w:hAnsi="Times New Roman" w:cs="Times New Roman"/>
          <w:sz w:val="24"/>
          <w:szCs w:val="24"/>
          <w:lang w:val="en-US"/>
        </w:rPr>
        <w:t>, underwriting these offerings and help sell securities.</w:t>
      </w:r>
    </w:p>
    <w:p w14:paraId="3A7EB220" w14:textId="7C868FA7" w:rsidR="008A4246" w:rsidRPr="00546BE9" w:rsidRDefault="008A4246" w:rsidP="00546BE9">
      <w:pPr>
        <w:pStyle w:val="ListParagraph"/>
        <w:numPr>
          <w:ilvl w:val="0"/>
          <w:numId w:val="3"/>
        </w:numPr>
        <w:rPr>
          <w:rFonts w:ascii="Times New Roman" w:hAnsi="Times New Roman" w:cs="Times New Roman"/>
          <w:sz w:val="24"/>
          <w:szCs w:val="24"/>
          <w:lang w:val="en-US"/>
        </w:rPr>
      </w:pPr>
      <w:r w:rsidRPr="00546BE9">
        <w:rPr>
          <w:rFonts w:ascii="Times New Roman" w:hAnsi="Times New Roman" w:cs="Times New Roman"/>
          <w:sz w:val="24"/>
          <w:szCs w:val="24"/>
          <w:lang w:val="en-US"/>
        </w:rPr>
        <w:t>Investment banks also guide companies involved in mergers, acquisitions and re</w:t>
      </w:r>
      <w:r w:rsidR="00546BE9">
        <w:rPr>
          <w:rFonts w:ascii="Times New Roman" w:hAnsi="Times New Roman" w:cs="Times New Roman"/>
          <w:sz w:val="24"/>
          <w:szCs w:val="24"/>
          <w:lang w:val="en-US"/>
        </w:rPr>
        <w:t>-</w:t>
      </w:r>
      <w:r w:rsidRPr="00546BE9">
        <w:rPr>
          <w:rFonts w:ascii="Times New Roman" w:hAnsi="Times New Roman" w:cs="Times New Roman"/>
          <w:sz w:val="24"/>
          <w:szCs w:val="24"/>
          <w:lang w:val="en-US"/>
        </w:rPr>
        <w:t>organizations. They act as a broker and/or financial advisor for institutional clients and trade securities in their own accounts.</w:t>
      </w:r>
    </w:p>
    <w:p w14:paraId="44AC7B82" w14:textId="2188FBB9" w:rsidR="008A4246" w:rsidRPr="00546BE9" w:rsidRDefault="008A4246" w:rsidP="00546BE9">
      <w:pPr>
        <w:pStyle w:val="ListParagraph"/>
        <w:numPr>
          <w:ilvl w:val="0"/>
          <w:numId w:val="3"/>
        </w:numPr>
        <w:rPr>
          <w:rStyle w:val="Strong"/>
          <w:rFonts w:ascii="Times New Roman" w:hAnsi="Times New Roman" w:cs="Times New Roman"/>
          <w:b w:val="0"/>
          <w:bCs w:val="0"/>
          <w:color w:val="0D0D0D" w:themeColor="text1" w:themeTint="F2"/>
          <w:sz w:val="24"/>
          <w:szCs w:val="24"/>
        </w:rPr>
      </w:pPr>
      <w:r w:rsidRPr="00546BE9">
        <w:rPr>
          <w:rStyle w:val="Strong"/>
          <w:rFonts w:ascii="Times New Roman" w:hAnsi="Times New Roman" w:cs="Times New Roman"/>
          <w:b w:val="0"/>
          <w:bCs w:val="0"/>
          <w:color w:val="0D0D0D" w:themeColor="text1" w:themeTint="F2"/>
          <w:sz w:val="24"/>
          <w:szCs w:val="24"/>
        </w:rPr>
        <w:t>Essentially, investment banks serve as </w:t>
      </w:r>
      <w:hyperlink r:id="rId5" w:history="1">
        <w:r w:rsidRPr="00546BE9">
          <w:rPr>
            <w:rStyle w:val="Strong"/>
            <w:rFonts w:ascii="Times New Roman" w:hAnsi="Times New Roman" w:cs="Times New Roman"/>
            <w:b w:val="0"/>
            <w:bCs w:val="0"/>
            <w:color w:val="0D0D0D" w:themeColor="text1" w:themeTint="F2"/>
            <w:sz w:val="24"/>
            <w:szCs w:val="24"/>
          </w:rPr>
          <w:t>middlemen between a company and investors</w:t>
        </w:r>
      </w:hyperlink>
      <w:r w:rsidRPr="00546BE9">
        <w:rPr>
          <w:rStyle w:val="Strong"/>
          <w:rFonts w:ascii="Times New Roman" w:hAnsi="Times New Roman" w:cs="Times New Roman"/>
          <w:b w:val="0"/>
          <w:bCs w:val="0"/>
          <w:color w:val="0D0D0D" w:themeColor="text1" w:themeTint="F2"/>
          <w:sz w:val="24"/>
          <w:szCs w:val="24"/>
        </w:rPr>
        <w:t> when the company wants to issue </w:t>
      </w:r>
      <w:hyperlink r:id="rId6" w:history="1">
        <w:r w:rsidRPr="00546BE9">
          <w:rPr>
            <w:rStyle w:val="Strong"/>
            <w:rFonts w:ascii="Times New Roman" w:hAnsi="Times New Roman" w:cs="Times New Roman"/>
            <w:b w:val="0"/>
            <w:bCs w:val="0"/>
            <w:color w:val="0D0D0D" w:themeColor="text1" w:themeTint="F2"/>
            <w:sz w:val="24"/>
            <w:szCs w:val="24"/>
          </w:rPr>
          <w:t>stock</w:t>
        </w:r>
      </w:hyperlink>
      <w:r w:rsidRPr="00546BE9">
        <w:rPr>
          <w:rStyle w:val="Strong"/>
          <w:rFonts w:ascii="Times New Roman" w:hAnsi="Times New Roman" w:cs="Times New Roman"/>
          <w:b w:val="0"/>
          <w:bCs w:val="0"/>
          <w:color w:val="0D0D0D" w:themeColor="text1" w:themeTint="F2"/>
          <w:sz w:val="24"/>
          <w:szCs w:val="24"/>
        </w:rPr>
        <w:t> or </w:t>
      </w:r>
      <w:hyperlink r:id="rId7" w:history="1">
        <w:r w:rsidRPr="00546BE9">
          <w:rPr>
            <w:rStyle w:val="Strong"/>
            <w:rFonts w:ascii="Times New Roman" w:hAnsi="Times New Roman" w:cs="Times New Roman"/>
            <w:b w:val="0"/>
            <w:bCs w:val="0"/>
            <w:color w:val="0D0D0D" w:themeColor="text1" w:themeTint="F2"/>
            <w:sz w:val="24"/>
            <w:szCs w:val="24"/>
          </w:rPr>
          <w:t>bonds</w:t>
        </w:r>
      </w:hyperlink>
      <w:r w:rsidRPr="00546BE9">
        <w:rPr>
          <w:rStyle w:val="Strong"/>
          <w:rFonts w:ascii="Times New Roman" w:hAnsi="Times New Roman" w:cs="Times New Roman"/>
          <w:b w:val="0"/>
          <w:bCs w:val="0"/>
          <w:color w:val="0D0D0D" w:themeColor="text1" w:themeTint="F2"/>
          <w:sz w:val="24"/>
          <w:szCs w:val="24"/>
        </w:rPr>
        <w:t>. The investment bank assists with pricing financial instruments to maximize revenue and with navigating regulatory requirements.</w:t>
      </w:r>
    </w:p>
    <w:p w14:paraId="50F068B3" w14:textId="3C67E1B2" w:rsidR="005C2B32" w:rsidRPr="00546BE9" w:rsidRDefault="005C2B32" w:rsidP="00546BE9">
      <w:pPr>
        <w:pStyle w:val="ListParagraph"/>
        <w:numPr>
          <w:ilvl w:val="0"/>
          <w:numId w:val="3"/>
        </w:numPr>
        <w:rPr>
          <w:rStyle w:val="Strong"/>
          <w:rFonts w:ascii="Times New Roman" w:hAnsi="Times New Roman" w:cs="Times New Roman"/>
          <w:b w:val="0"/>
          <w:bCs w:val="0"/>
          <w:color w:val="0D0D0D" w:themeColor="text1" w:themeTint="F2"/>
          <w:sz w:val="24"/>
          <w:szCs w:val="24"/>
        </w:rPr>
      </w:pPr>
      <w:r w:rsidRPr="00546BE9">
        <w:rPr>
          <w:rStyle w:val="Strong"/>
          <w:rFonts w:ascii="Times New Roman" w:hAnsi="Times New Roman" w:cs="Times New Roman"/>
          <w:b w:val="0"/>
          <w:bCs w:val="0"/>
          <w:color w:val="0D0D0D" w:themeColor="text1" w:themeTint="F2"/>
          <w:sz w:val="24"/>
          <w:szCs w:val="24"/>
        </w:rPr>
        <w:t>They employ advanced data analytics and machine learning to identify market trends, assess risks, and make informed trading and investment decisions.</w:t>
      </w:r>
    </w:p>
    <w:p w14:paraId="5EE1034B" w14:textId="626DD532" w:rsidR="005C2B32" w:rsidRPr="00546BE9" w:rsidRDefault="005C2B32" w:rsidP="00546BE9">
      <w:pPr>
        <w:pStyle w:val="ListParagraph"/>
        <w:numPr>
          <w:ilvl w:val="0"/>
          <w:numId w:val="3"/>
        </w:numPr>
        <w:rPr>
          <w:rStyle w:val="Strong"/>
          <w:rFonts w:ascii="Times New Roman" w:hAnsi="Times New Roman" w:cs="Times New Roman"/>
          <w:b w:val="0"/>
          <w:bCs w:val="0"/>
          <w:color w:val="0D0D0D" w:themeColor="text1" w:themeTint="F2"/>
          <w:sz w:val="24"/>
          <w:szCs w:val="24"/>
        </w:rPr>
      </w:pPr>
      <w:r w:rsidRPr="00546BE9">
        <w:rPr>
          <w:rStyle w:val="Strong"/>
          <w:rFonts w:ascii="Times New Roman" w:hAnsi="Times New Roman" w:cs="Times New Roman"/>
          <w:b w:val="0"/>
          <w:bCs w:val="0"/>
          <w:color w:val="0D0D0D" w:themeColor="text1" w:themeTint="F2"/>
          <w:sz w:val="24"/>
          <w:szCs w:val="24"/>
        </w:rPr>
        <w:t>In 2021, U.S. investment banks facilitated over 1,000 IPOs, raising more than $300 billion in capital.</w:t>
      </w:r>
    </w:p>
    <w:p w14:paraId="43036A3F" w14:textId="2813953E" w:rsidR="005C2B32" w:rsidRPr="00546BE9" w:rsidRDefault="005C2B32" w:rsidP="00546BE9">
      <w:pPr>
        <w:pStyle w:val="ListParagraph"/>
        <w:numPr>
          <w:ilvl w:val="0"/>
          <w:numId w:val="3"/>
        </w:numPr>
        <w:rPr>
          <w:rStyle w:val="Strong"/>
          <w:rFonts w:ascii="Times New Roman" w:hAnsi="Times New Roman" w:cs="Times New Roman"/>
          <w:b w:val="0"/>
          <w:bCs w:val="0"/>
          <w:color w:val="0D0D0D" w:themeColor="text1" w:themeTint="F2"/>
          <w:sz w:val="24"/>
          <w:szCs w:val="24"/>
        </w:rPr>
      </w:pPr>
      <w:r w:rsidRPr="00546BE9">
        <w:rPr>
          <w:rStyle w:val="Strong"/>
          <w:rFonts w:ascii="Times New Roman" w:hAnsi="Times New Roman" w:cs="Times New Roman"/>
          <w:b w:val="0"/>
          <w:bCs w:val="0"/>
          <w:color w:val="0D0D0D" w:themeColor="text1" w:themeTint="F2"/>
          <w:sz w:val="24"/>
          <w:szCs w:val="24"/>
        </w:rPr>
        <w:t>In 2021, U.S. investment banks advised on over 6,000 M&amp;A deals, with a total transaction value exceeding $2 trillion.</w:t>
      </w:r>
    </w:p>
    <w:p w14:paraId="5129BEC5" w14:textId="5A5F1EAA" w:rsidR="005C2B32" w:rsidRPr="00546BE9" w:rsidRDefault="005C2B32" w:rsidP="00546BE9">
      <w:pPr>
        <w:pStyle w:val="ListParagraph"/>
        <w:numPr>
          <w:ilvl w:val="0"/>
          <w:numId w:val="3"/>
        </w:numPr>
        <w:rPr>
          <w:rStyle w:val="Strong"/>
          <w:rFonts w:ascii="Times New Roman" w:hAnsi="Times New Roman" w:cs="Times New Roman"/>
          <w:b w:val="0"/>
          <w:bCs w:val="0"/>
          <w:color w:val="0D0D0D" w:themeColor="text1" w:themeTint="F2"/>
          <w:sz w:val="24"/>
          <w:szCs w:val="24"/>
        </w:rPr>
      </w:pPr>
      <w:r w:rsidRPr="00546BE9">
        <w:rPr>
          <w:rStyle w:val="Strong"/>
          <w:rFonts w:ascii="Times New Roman" w:hAnsi="Times New Roman" w:cs="Times New Roman"/>
          <w:b w:val="0"/>
          <w:bCs w:val="0"/>
          <w:color w:val="0D0D0D" w:themeColor="text1" w:themeTint="F2"/>
          <w:sz w:val="24"/>
          <w:szCs w:val="24"/>
        </w:rPr>
        <w:t>Three common categories include </w:t>
      </w:r>
      <w:hyperlink r:id="rId8" w:tgtFrame="_blank" w:history="1">
        <w:r w:rsidRPr="00546BE9">
          <w:rPr>
            <w:rStyle w:val="Strong"/>
            <w:rFonts w:ascii="Times New Roman" w:hAnsi="Times New Roman" w:cs="Times New Roman"/>
            <w:b w:val="0"/>
            <w:bCs w:val="0"/>
            <w:color w:val="0D0D0D" w:themeColor="text1" w:themeTint="F2"/>
            <w:sz w:val="24"/>
            <w:szCs w:val="24"/>
          </w:rPr>
          <w:t>bulge bracket (BB) banks</w:t>
        </w:r>
      </w:hyperlink>
      <w:r w:rsidRPr="00546BE9">
        <w:rPr>
          <w:rStyle w:val="Strong"/>
          <w:rFonts w:ascii="Times New Roman" w:hAnsi="Times New Roman" w:cs="Times New Roman"/>
          <w:b w:val="0"/>
          <w:bCs w:val="0"/>
          <w:color w:val="0D0D0D" w:themeColor="text1" w:themeTint="F2"/>
          <w:sz w:val="24"/>
          <w:szCs w:val="24"/>
        </w:rPr>
        <w:t>, </w:t>
      </w:r>
      <w:hyperlink r:id="rId9" w:tgtFrame="_blank" w:history="1">
        <w:r w:rsidRPr="00546BE9">
          <w:rPr>
            <w:rStyle w:val="Strong"/>
            <w:rFonts w:ascii="Times New Roman" w:hAnsi="Times New Roman" w:cs="Times New Roman"/>
            <w:b w:val="0"/>
            <w:bCs w:val="0"/>
            <w:color w:val="0D0D0D" w:themeColor="text1" w:themeTint="F2"/>
            <w:sz w:val="24"/>
            <w:szCs w:val="24"/>
          </w:rPr>
          <w:t>middle market (MM) banks</w:t>
        </w:r>
      </w:hyperlink>
      <w:r w:rsidRPr="00546BE9">
        <w:rPr>
          <w:rStyle w:val="Strong"/>
          <w:rFonts w:ascii="Times New Roman" w:hAnsi="Times New Roman" w:cs="Times New Roman"/>
          <w:b w:val="0"/>
          <w:bCs w:val="0"/>
          <w:color w:val="0D0D0D" w:themeColor="text1" w:themeTint="F2"/>
          <w:sz w:val="24"/>
          <w:szCs w:val="24"/>
        </w:rPr>
        <w:t>, and </w:t>
      </w:r>
      <w:hyperlink r:id="rId10" w:tgtFrame="_blank" w:history="1">
        <w:r w:rsidRPr="00546BE9">
          <w:rPr>
            <w:rStyle w:val="Strong"/>
            <w:rFonts w:ascii="Times New Roman" w:hAnsi="Times New Roman" w:cs="Times New Roman"/>
            <w:b w:val="0"/>
            <w:bCs w:val="0"/>
            <w:color w:val="0D0D0D" w:themeColor="text1" w:themeTint="F2"/>
            <w:sz w:val="24"/>
            <w:szCs w:val="24"/>
          </w:rPr>
          <w:t>boutique investment banks</w:t>
        </w:r>
      </w:hyperlink>
    </w:p>
    <w:p w14:paraId="5518EFAE" w14:textId="0ED5BEE2" w:rsidR="005C2B32" w:rsidRPr="00546BE9" w:rsidRDefault="005C2B32" w:rsidP="00BA4E6D">
      <w:pPr>
        <w:pStyle w:val="ListParagraph"/>
        <w:numPr>
          <w:ilvl w:val="1"/>
          <w:numId w:val="3"/>
        </w:numPr>
        <w:rPr>
          <w:rStyle w:val="Strong"/>
          <w:rFonts w:ascii="Times New Roman" w:hAnsi="Times New Roman" w:cs="Times New Roman"/>
          <w:b w:val="0"/>
          <w:bCs w:val="0"/>
          <w:color w:val="0D0D0D" w:themeColor="text1" w:themeTint="F2"/>
          <w:sz w:val="24"/>
          <w:szCs w:val="24"/>
        </w:rPr>
      </w:pPr>
      <w:hyperlink r:id="rId11" w:tgtFrame="_blank" w:history="1">
        <w:r w:rsidRPr="00546BE9">
          <w:rPr>
            <w:rStyle w:val="Strong"/>
            <w:rFonts w:ascii="Times New Roman" w:hAnsi="Times New Roman" w:cs="Times New Roman"/>
            <w:b w:val="0"/>
            <w:bCs w:val="0"/>
            <w:color w:val="0D0D0D" w:themeColor="text1" w:themeTint="F2"/>
            <w:sz w:val="24"/>
            <w:szCs w:val="24"/>
          </w:rPr>
          <w:t>Bulge Bracket Investment Banks (BBs)</w:t>
        </w:r>
      </w:hyperlink>
      <w:r w:rsidRPr="00546BE9">
        <w:rPr>
          <w:rStyle w:val="Strong"/>
          <w:rFonts w:ascii="Times New Roman" w:hAnsi="Times New Roman" w:cs="Times New Roman"/>
          <w:b w:val="0"/>
          <w:bCs w:val="0"/>
          <w:color w:val="0D0D0D" w:themeColor="text1" w:themeTint="F2"/>
          <w:sz w:val="24"/>
          <w:szCs w:val="24"/>
        </w:rPr>
        <w:t> – These are the largest global banks that offer all products and services and operate in all regions. They work on the largest deals (usually over $1 billion USD) and have the widest brand-name recognition.</w:t>
      </w:r>
      <w:r w:rsidRPr="00546BE9">
        <w:rPr>
          <w:rStyle w:val="Strong"/>
          <w:rFonts w:ascii="Times New Roman" w:hAnsi="Times New Roman" w:cs="Times New Roman"/>
          <w:b w:val="0"/>
          <w:bCs w:val="0"/>
          <w:color w:val="0D0D0D" w:themeColor="text1" w:themeTint="F2"/>
          <w:sz w:val="24"/>
          <w:szCs w:val="24"/>
        </w:rPr>
        <w:t xml:space="preserve"> It </w:t>
      </w:r>
      <w:proofErr w:type="gramStart"/>
      <w:r w:rsidRPr="00546BE9">
        <w:rPr>
          <w:rStyle w:val="Strong"/>
          <w:rFonts w:ascii="Times New Roman" w:hAnsi="Times New Roman" w:cs="Times New Roman"/>
          <w:b w:val="0"/>
          <w:bCs w:val="0"/>
          <w:color w:val="0D0D0D" w:themeColor="text1" w:themeTint="F2"/>
          <w:sz w:val="24"/>
          <w:szCs w:val="24"/>
        </w:rPr>
        <w:t>consist</w:t>
      </w:r>
      <w:proofErr w:type="gramEnd"/>
      <w:r w:rsidRPr="00546BE9">
        <w:rPr>
          <w:rStyle w:val="Strong"/>
          <w:rFonts w:ascii="Times New Roman" w:hAnsi="Times New Roman" w:cs="Times New Roman"/>
          <w:b w:val="0"/>
          <w:bCs w:val="0"/>
          <w:color w:val="0D0D0D" w:themeColor="text1" w:themeTint="F2"/>
          <w:sz w:val="24"/>
          <w:szCs w:val="24"/>
        </w:rPr>
        <w:t xml:space="preserve"> of JP Morgan, Goldman Sachs, Morgan Stanley, Bank of America</w:t>
      </w:r>
      <w:r w:rsidRPr="00546BE9">
        <w:rPr>
          <w:rStyle w:val="Strong"/>
          <w:rFonts w:ascii="Times New Roman" w:hAnsi="Times New Roman" w:cs="Times New Roman"/>
          <w:b w:val="0"/>
          <w:bCs w:val="0"/>
          <w:color w:val="0D0D0D" w:themeColor="text1" w:themeTint="F2"/>
          <w:sz w:val="24"/>
          <w:szCs w:val="24"/>
        </w:rPr>
        <w:t>.</w:t>
      </w:r>
    </w:p>
    <w:p w14:paraId="32BD52EB" w14:textId="3AB56E43" w:rsidR="005C2B32" w:rsidRPr="00546BE9" w:rsidRDefault="00E761A2" w:rsidP="00BA4E6D">
      <w:pPr>
        <w:pStyle w:val="ListParagraph"/>
        <w:numPr>
          <w:ilvl w:val="1"/>
          <w:numId w:val="3"/>
        </w:numPr>
        <w:rPr>
          <w:rStyle w:val="Strong"/>
          <w:rFonts w:ascii="Times New Roman" w:hAnsi="Times New Roman" w:cs="Times New Roman"/>
          <w:b w:val="0"/>
          <w:bCs w:val="0"/>
          <w:color w:val="0D0D0D" w:themeColor="text1" w:themeTint="F2"/>
          <w:sz w:val="24"/>
          <w:szCs w:val="24"/>
        </w:rPr>
      </w:pPr>
      <w:hyperlink r:id="rId12" w:tgtFrame="_blank" w:history="1">
        <w:r w:rsidRPr="00546BE9">
          <w:rPr>
            <w:rStyle w:val="Strong"/>
            <w:rFonts w:ascii="Times New Roman" w:hAnsi="Times New Roman" w:cs="Times New Roman"/>
            <w:b w:val="0"/>
            <w:bCs w:val="0"/>
            <w:color w:val="0D0D0D" w:themeColor="text1" w:themeTint="F2"/>
            <w:sz w:val="24"/>
            <w:szCs w:val="24"/>
          </w:rPr>
          <w:t>Elite Boutique Banks (EBs)</w:t>
        </w:r>
      </w:hyperlink>
      <w:r w:rsidRPr="00546BE9">
        <w:rPr>
          <w:rStyle w:val="Strong"/>
          <w:rFonts w:ascii="Times New Roman" w:hAnsi="Times New Roman" w:cs="Times New Roman"/>
          <w:b w:val="0"/>
          <w:bCs w:val="0"/>
          <w:color w:val="0D0D0D" w:themeColor="text1" w:themeTint="F2"/>
          <w:sz w:val="24"/>
          <w:szCs w:val="24"/>
        </w:rPr>
        <w:t> – A subset of “boutique banks,” these firms are smaller than the </w:t>
      </w:r>
      <w:hyperlink r:id="rId13" w:history="1">
        <w:r w:rsidRPr="00546BE9">
          <w:rPr>
            <w:rStyle w:val="Strong"/>
            <w:rFonts w:ascii="Times New Roman" w:hAnsi="Times New Roman" w:cs="Times New Roman"/>
            <w:b w:val="0"/>
            <w:bCs w:val="0"/>
            <w:color w:val="0D0D0D" w:themeColor="text1" w:themeTint="F2"/>
            <w:sz w:val="24"/>
            <w:szCs w:val="24"/>
          </w:rPr>
          <w:t>bulge bracket banks</w:t>
        </w:r>
      </w:hyperlink>
      <w:r w:rsidRPr="00546BE9">
        <w:rPr>
          <w:rStyle w:val="Strong"/>
          <w:rFonts w:ascii="Times New Roman" w:hAnsi="Times New Roman" w:cs="Times New Roman"/>
          <w:b w:val="0"/>
          <w:bCs w:val="0"/>
          <w:color w:val="0D0D0D" w:themeColor="text1" w:themeTint="F2"/>
          <w:sz w:val="24"/>
          <w:szCs w:val="24"/>
        </w:rPr>
        <w:t>, and they tend to specialize in areas like M&amp;A and Restructuring rather than underwriting</w:t>
      </w:r>
      <w:r w:rsidRPr="00546BE9">
        <w:rPr>
          <w:rStyle w:val="Strong"/>
          <w:rFonts w:ascii="Times New Roman" w:hAnsi="Times New Roman" w:cs="Times New Roman"/>
          <w:b w:val="0"/>
          <w:bCs w:val="0"/>
          <w:color w:val="0D0D0D" w:themeColor="text1" w:themeTint="F2"/>
          <w:sz w:val="24"/>
          <w:szCs w:val="24"/>
        </w:rPr>
        <w:t xml:space="preserve">. It </w:t>
      </w:r>
      <w:proofErr w:type="gramStart"/>
      <w:r w:rsidRPr="00546BE9">
        <w:rPr>
          <w:rStyle w:val="Strong"/>
          <w:rFonts w:ascii="Times New Roman" w:hAnsi="Times New Roman" w:cs="Times New Roman"/>
          <w:b w:val="0"/>
          <w:bCs w:val="0"/>
          <w:color w:val="0D0D0D" w:themeColor="text1" w:themeTint="F2"/>
          <w:sz w:val="24"/>
          <w:szCs w:val="24"/>
        </w:rPr>
        <w:t>include</w:t>
      </w:r>
      <w:proofErr w:type="gramEnd"/>
      <w:r w:rsidRPr="00546BE9">
        <w:rPr>
          <w:rStyle w:val="Strong"/>
          <w:rFonts w:ascii="Times New Roman" w:hAnsi="Times New Roman" w:cs="Times New Roman"/>
          <w:b w:val="0"/>
          <w:bCs w:val="0"/>
          <w:color w:val="0D0D0D" w:themeColor="text1" w:themeTint="F2"/>
          <w:sz w:val="24"/>
          <w:szCs w:val="24"/>
        </w:rPr>
        <w:t xml:space="preserve"> Lazard, Evercore, and Moelis</w:t>
      </w:r>
      <w:r w:rsidRPr="00546BE9">
        <w:rPr>
          <w:rStyle w:val="Strong"/>
          <w:rFonts w:ascii="Times New Roman" w:hAnsi="Times New Roman" w:cs="Times New Roman"/>
          <w:b w:val="0"/>
          <w:bCs w:val="0"/>
          <w:color w:val="0D0D0D" w:themeColor="text1" w:themeTint="F2"/>
          <w:sz w:val="24"/>
          <w:szCs w:val="24"/>
        </w:rPr>
        <w:t>.</w:t>
      </w:r>
    </w:p>
    <w:p w14:paraId="718D4EEB" w14:textId="15B1D2C3" w:rsidR="00E761A2" w:rsidRPr="00546BE9" w:rsidRDefault="00E761A2" w:rsidP="00BA4E6D">
      <w:pPr>
        <w:pStyle w:val="ListParagraph"/>
        <w:numPr>
          <w:ilvl w:val="1"/>
          <w:numId w:val="3"/>
        </w:numPr>
        <w:rPr>
          <w:rStyle w:val="Strong"/>
          <w:rFonts w:ascii="Times New Roman" w:hAnsi="Times New Roman" w:cs="Times New Roman"/>
          <w:b w:val="0"/>
          <w:bCs w:val="0"/>
          <w:color w:val="0D0D0D" w:themeColor="text1" w:themeTint="F2"/>
          <w:sz w:val="24"/>
          <w:szCs w:val="24"/>
        </w:rPr>
      </w:pPr>
      <w:hyperlink r:id="rId14" w:tgtFrame="_blank" w:history="1">
        <w:r w:rsidRPr="00546BE9">
          <w:rPr>
            <w:rStyle w:val="Strong"/>
            <w:rFonts w:ascii="Times New Roman" w:hAnsi="Times New Roman" w:cs="Times New Roman"/>
            <w:b w:val="0"/>
            <w:bCs w:val="0"/>
            <w:color w:val="0D0D0D" w:themeColor="text1" w:themeTint="F2"/>
            <w:sz w:val="24"/>
            <w:szCs w:val="24"/>
          </w:rPr>
          <w:t>Middle Market Banks (MMs)</w:t>
        </w:r>
      </w:hyperlink>
      <w:r w:rsidRPr="00546BE9">
        <w:rPr>
          <w:rStyle w:val="Strong"/>
          <w:rFonts w:ascii="Times New Roman" w:hAnsi="Times New Roman" w:cs="Times New Roman"/>
          <w:b w:val="0"/>
          <w:bCs w:val="0"/>
          <w:color w:val="0D0D0D" w:themeColor="text1" w:themeTint="F2"/>
          <w:sz w:val="24"/>
          <w:szCs w:val="24"/>
        </w:rPr>
        <w:t> – These banks offer a variety of products and services and have a wide geographical presence, but they tend to work on smaller deals, such as those worth less than $1 billion. </w:t>
      </w:r>
      <w:r w:rsidRPr="00546BE9">
        <w:rPr>
          <w:rStyle w:val="Strong"/>
          <w:rFonts w:ascii="Times New Roman" w:hAnsi="Times New Roman" w:cs="Times New Roman"/>
          <w:b w:val="0"/>
          <w:bCs w:val="0"/>
          <w:color w:val="0D0D0D" w:themeColor="text1" w:themeTint="F2"/>
          <w:sz w:val="24"/>
          <w:szCs w:val="24"/>
        </w:rPr>
        <w:t>It includes Jefferies, William Blair.</w:t>
      </w:r>
    </w:p>
    <w:p w14:paraId="312331AD" w14:textId="18772525" w:rsidR="00E761A2" w:rsidRDefault="00E761A2" w:rsidP="00BA4E6D">
      <w:pPr>
        <w:pStyle w:val="ListParagraph"/>
        <w:numPr>
          <w:ilvl w:val="1"/>
          <w:numId w:val="3"/>
        </w:numPr>
        <w:rPr>
          <w:rStyle w:val="Strong"/>
          <w:rFonts w:ascii="Times New Roman" w:hAnsi="Times New Roman" w:cs="Times New Roman"/>
          <w:b w:val="0"/>
          <w:bCs w:val="0"/>
          <w:color w:val="0D0D0D" w:themeColor="text1" w:themeTint="F2"/>
          <w:sz w:val="24"/>
          <w:szCs w:val="24"/>
        </w:rPr>
      </w:pPr>
      <w:hyperlink r:id="rId15" w:tgtFrame="_blank" w:history="1">
        <w:r w:rsidRPr="00546BE9">
          <w:rPr>
            <w:rStyle w:val="Strong"/>
            <w:rFonts w:ascii="Times New Roman" w:hAnsi="Times New Roman" w:cs="Times New Roman"/>
            <w:b w:val="0"/>
            <w:bCs w:val="0"/>
            <w:color w:val="0D0D0D" w:themeColor="text1" w:themeTint="F2"/>
            <w:sz w:val="24"/>
            <w:szCs w:val="24"/>
          </w:rPr>
          <w:t>Industry-Specific Boutiques (ISBs) and Regional Boutique Banks (RBs)</w:t>
        </w:r>
      </w:hyperlink>
      <w:r w:rsidRPr="00546BE9">
        <w:rPr>
          <w:rStyle w:val="Strong"/>
          <w:rFonts w:ascii="Times New Roman" w:hAnsi="Times New Roman" w:cs="Times New Roman"/>
          <w:b w:val="0"/>
          <w:bCs w:val="0"/>
          <w:color w:val="0D0D0D" w:themeColor="text1" w:themeTint="F2"/>
          <w:sz w:val="24"/>
          <w:szCs w:val="24"/>
        </w:rPr>
        <w:t> – These firms tend to focus on narrow industries, such as healthcare or technology, or they only operate in one location and tend to work on much small deals (e.g., below $100 million).</w:t>
      </w:r>
    </w:p>
    <w:p w14:paraId="0443A30A" w14:textId="77777777" w:rsidR="00BA4E6D" w:rsidRPr="00BA4E6D" w:rsidRDefault="00BA4E6D" w:rsidP="00BA4E6D">
      <w:pPr>
        <w:rPr>
          <w:rStyle w:val="Strong"/>
          <w:rFonts w:ascii="Times New Roman" w:hAnsi="Times New Roman" w:cs="Times New Roman"/>
          <w:b w:val="0"/>
          <w:bCs w:val="0"/>
          <w:color w:val="0D0D0D" w:themeColor="text1" w:themeTint="F2"/>
          <w:sz w:val="24"/>
          <w:szCs w:val="24"/>
        </w:rPr>
      </w:pPr>
    </w:p>
    <w:p w14:paraId="0371827F" w14:textId="35CC644B" w:rsidR="00E761A2" w:rsidRPr="00BA4E6D" w:rsidRDefault="00E761A2" w:rsidP="005C2B32">
      <w:pPr>
        <w:rPr>
          <w:rFonts w:ascii="Times New Roman" w:hAnsi="Times New Roman" w:cs="Times New Roman"/>
          <w:b/>
          <w:bCs/>
          <w:color w:val="000000"/>
          <w:sz w:val="28"/>
          <w:szCs w:val="28"/>
          <w:u w:val="single"/>
          <w:shd w:val="clear" w:color="auto" w:fill="FFFFFF"/>
        </w:rPr>
      </w:pPr>
      <w:r w:rsidRPr="00BA4E6D">
        <w:rPr>
          <w:rFonts w:ascii="Times New Roman" w:hAnsi="Times New Roman" w:cs="Times New Roman"/>
          <w:b/>
          <w:bCs/>
          <w:color w:val="000000"/>
          <w:sz w:val="28"/>
          <w:szCs w:val="28"/>
          <w:u w:val="single"/>
          <w:shd w:val="clear" w:color="auto" w:fill="FFFFFF"/>
        </w:rPr>
        <w:lastRenderedPageBreak/>
        <w:t>Merger and Acquisitions</w:t>
      </w:r>
    </w:p>
    <w:p w14:paraId="1F4903C2" w14:textId="77777777" w:rsidR="002D4DA3" w:rsidRPr="00BA4E6D" w:rsidRDefault="002D4DA3" w:rsidP="00BA4E6D">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BA4E6D">
        <w:rPr>
          <w:rFonts w:ascii="Times New Roman" w:eastAsia="Times New Roman" w:hAnsi="Times New Roman" w:cs="Times New Roman"/>
          <w:color w:val="111111"/>
          <w:spacing w:val="1"/>
          <w:kern w:val="0"/>
          <w:sz w:val="24"/>
          <w:szCs w:val="24"/>
          <w:lang w:eastAsia="en-IN"/>
          <w14:ligatures w14:val="none"/>
        </w:rPr>
        <w:t>In an acquisition, one company purchases another outright.</w:t>
      </w:r>
    </w:p>
    <w:p w14:paraId="1817950A" w14:textId="04AE1F46" w:rsidR="002D4DA3" w:rsidRPr="00BA4E6D" w:rsidRDefault="002D4DA3" w:rsidP="00BA4E6D">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BA4E6D">
        <w:rPr>
          <w:rFonts w:ascii="Times New Roman" w:eastAsia="Times New Roman" w:hAnsi="Times New Roman" w:cs="Times New Roman"/>
          <w:color w:val="111111"/>
          <w:spacing w:val="1"/>
          <w:kern w:val="0"/>
          <w:sz w:val="24"/>
          <w:szCs w:val="24"/>
          <w:lang w:eastAsia="en-IN"/>
          <w14:ligatures w14:val="none"/>
        </w:rPr>
        <w:t>A merger is the combination of two firms, which subsequently form a new legal entity under the banner of one corporate name.</w:t>
      </w:r>
    </w:p>
    <w:p w14:paraId="2F4F65DC" w14:textId="4EE4BD80" w:rsidR="00546BE9" w:rsidRPr="00BA4E6D" w:rsidRDefault="00546BE9" w:rsidP="00BA4E6D">
      <w:pPr>
        <w:pStyle w:val="ListParagraph"/>
        <w:numPr>
          <w:ilvl w:val="0"/>
          <w:numId w:val="4"/>
        </w:numPr>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r w:rsidRPr="00BA4E6D">
        <w:rPr>
          <w:rFonts w:ascii="Times New Roman" w:eastAsia="Times New Roman" w:hAnsi="Times New Roman" w:cs="Times New Roman"/>
          <w:color w:val="111111"/>
          <w:spacing w:val="1"/>
          <w:kern w:val="0"/>
          <w:sz w:val="24"/>
          <w:szCs w:val="24"/>
          <w:lang w:eastAsia="en-IN"/>
          <w14:ligatures w14:val="none"/>
        </w:rPr>
        <w:t xml:space="preserve">One case point is </w:t>
      </w:r>
      <w:r w:rsidRPr="00BA4E6D">
        <w:rPr>
          <w:rFonts w:ascii="Times New Roman" w:hAnsi="Times New Roman" w:cs="Times New Roman"/>
          <w:color w:val="111111"/>
          <w:spacing w:val="1"/>
          <w:sz w:val="24"/>
          <w:szCs w:val="24"/>
          <w:shd w:val="clear" w:color="auto" w:fill="FFFFFF"/>
        </w:rPr>
        <w:t>Both Daimler-Benz and Chrysler ceased to exist </w:t>
      </w:r>
      <w:hyperlink r:id="rId16" w:history="1">
        <w:r w:rsidRPr="00BA4E6D">
          <w:rPr>
            <w:rStyle w:val="Hyperlink"/>
            <w:rFonts w:ascii="Times New Roman" w:hAnsi="Times New Roman" w:cs="Times New Roman"/>
            <w:color w:val="2C40D0"/>
            <w:spacing w:val="1"/>
            <w:sz w:val="24"/>
            <w:szCs w:val="24"/>
            <w:shd w:val="clear" w:color="auto" w:fill="FFFFFF"/>
          </w:rPr>
          <w:t>when the two firms merged</w:t>
        </w:r>
      </w:hyperlink>
      <w:r w:rsidRPr="00BA4E6D">
        <w:rPr>
          <w:rFonts w:ascii="Times New Roman" w:hAnsi="Times New Roman" w:cs="Times New Roman"/>
          <w:color w:val="111111"/>
          <w:spacing w:val="1"/>
          <w:sz w:val="24"/>
          <w:szCs w:val="24"/>
          <w:shd w:val="clear" w:color="auto" w:fill="FFFFFF"/>
        </w:rPr>
        <w:t>, and a new company, DaimlerChrysler, was created. Both companies' stocks were surrendered, and new company stock was issued in its place.</w:t>
      </w:r>
    </w:p>
    <w:p w14:paraId="4202093B" w14:textId="1BA4C354" w:rsidR="00546BE9" w:rsidRPr="00BA4E6D" w:rsidRDefault="00BA4E6D" w:rsidP="00BA4E6D">
      <w:pPr>
        <w:pStyle w:val="ListParagraph"/>
        <w:numPr>
          <w:ilvl w:val="0"/>
          <w:numId w:val="4"/>
        </w:numPr>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r w:rsidRPr="00BA4E6D">
        <w:rPr>
          <w:rFonts w:ascii="Times New Roman" w:hAnsi="Times New Roman" w:cs="Times New Roman"/>
          <w:color w:val="111111"/>
          <w:spacing w:val="1"/>
          <w:sz w:val="24"/>
          <w:szCs w:val="24"/>
          <w:shd w:val="clear" w:color="auto" w:fill="FFFFFF"/>
        </w:rPr>
        <w:t>I</w:t>
      </w:r>
      <w:r w:rsidR="00546BE9" w:rsidRPr="00BA4E6D">
        <w:rPr>
          <w:rFonts w:ascii="Times New Roman" w:hAnsi="Times New Roman" w:cs="Times New Roman"/>
          <w:color w:val="111111"/>
          <w:spacing w:val="1"/>
          <w:sz w:val="24"/>
          <w:szCs w:val="24"/>
          <w:shd w:val="clear" w:color="auto" w:fill="FFFFFF"/>
        </w:rPr>
        <w:t>n the days leading up to a merger or acquisition, shareholders of the acquiring firm will see a temporary drop in share value. At the same time, shares in the target firm typically experience a rise in value. This is often due to the fact that the acquiring firm will need to spend capital to acquire the target firm at a premium to the pre-takeover share prices.</w:t>
      </w:r>
    </w:p>
    <w:p w14:paraId="4B7E5289" w14:textId="77777777" w:rsidR="0066662E" w:rsidRPr="00BA4E6D" w:rsidRDefault="00E761A2" w:rsidP="00BA4E6D">
      <w:pPr>
        <w:pStyle w:val="ListParagraph"/>
        <w:numPr>
          <w:ilvl w:val="0"/>
          <w:numId w:val="4"/>
        </w:numPr>
        <w:rPr>
          <w:rFonts w:ascii="Times New Roman" w:hAnsi="Times New Roman" w:cs="Times New Roman"/>
          <w:color w:val="455F7C"/>
          <w:sz w:val="24"/>
          <w:szCs w:val="24"/>
          <w:shd w:val="clear" w:color="auto" w:fill="FFFFFF"/>
        </w:rPr>
      </w:pPr>
      <w:r w:rsidRPr="00BA4E6D">
        <w:rPr>
          <w:rFonts w:ascii="Times New Roman" w:hAnsi="Times New Roman" w:cs="Times New Roman"/>
          <w:color w:val="455F7C"/>
          <w:sz w:val="24"/>
          <w:szCs w:val="24"/>
          <w:shd w:val="clear" w:color="auto" w:fill="FFFFFF"/>
        </w:rPr>
        <w:t>In 2021, the value of merger and acquisition (M&amp;A) deals with targets based in the United States was twice as high as in the previous year and peaked at 2.6 trillion U.S. dollars. In 2022, however, the value of M&amp;A deals in the United States decreased again, reaching 1.6 trillion U.S. dollars. </w:t>
      </w:r>
    </w:p>
    <w:p w14:paraId="42026546" w14:textId="5CAF4887" w:rsidR="00E761A2" w:rsidRPr="00BA4E6D" w:rsidRDefault="0066662E" w:rsidP="00BA4E6D">
      <w:pPr>
        <w:pStyle w:val="ListParagraph"/>
        <w:numPr>
          <w:ilvl w:val="0"/>
          <w:numId w:val="4"/>
        </w:numPr>
        <w:rPr>
          <w:rFonts w:ascii="Times New Roman" w:hAnsi="Times New Roman" w:cs="Times New Roman"/>
          <w:sz w:val="24"/>
          <w:szCs w:val="24"/>
        </w:rPr>
      </w:pPr>
      <w:r w:rsidRPr="00BA4E6D">
        <w:rPr>
          <w:rFonts w:ascii="Times New Roman" w:hAnsi="Times New Roman" w:cs="Times New Roman"/>
          <w:color w:val="455F7C"/>
          <w:sz w:val="24"/>
          <w:szCs w:val="24"/>
          <w:shd w:val="clear" w:color="auto" w:fill="FFFFFF"/>
        </w:rPr>
        <w:t xml:space="preserve">This happened may be due to </w:t>
      </w:r>
      <w:r w:rsidRPr="00BA4E6D">
        <w:rPr>
          <w:rFonts w:ascii="Times New Roman" w:hAnsi="Times New Roman" w:cs="Times New Roman"/>
          <w:sz w:val="24"/>
          <w:szCs w:val="24"/>
        </w:rPr>
        <w:t>Concerns about inflation, rising interest rates, and potential recession made companies more cautious.</w:t>
      </w:r>
    </w:p>
    <w:p w14:paraId="4C3F88A7" w14:textId="0DE671FA" w:rsidR="0066662E" w:rsidRPr="00BA4E6D" w:rsidRDefault="0066662E" w:rsidP="00BA4E6D">
      <w:pPr>
        <w:pStyle w:val="ListParagraph"/>
        <w:numPr>
          <w:ilvl w:val="0"/>
          <w:numId w:val="4"/>
        </w:numPr>
        <w:rPr>
          <w:rFonts w:ascii="Times New Roman" w:hAnsi="Times New Roman" w:cs="Times New Roman"/>
          <w:sz w:val="24"/>
          <w:szCs w:val="24"/>
        </w:rPr>
      </w:pPr>
      <w:r w:rsidRPr="00BA4E6D">
        <w:rPr>
          <w:rFonts w:ascii="Times New Roman" w:hAnsi="Times New Roman" w:cs="Times New Roman"/>
          <w:sz w:val="24"/>
          <w:szCs w:val="24"/>
        </w:rPr>
        <w:t>Stock market volatility and declining stock prices affected valuations and deal-making.</w:t>
      </w:r>
    </w:p>
    <w:p w14:paraId="7E9D8371" w14:textId="486E85B9" w:rsidR="0066662E" w:rsidRPr="00BA4E6D" w:rsidRDefault="0066662E" w:rsidP="00BA4E6D">
      <w:pPr>
        <w:pStyle w:val="ListParagraph"/>
        <w:numPr>
          <w:ilvl w:val="0"/>
          <w:numId w:val="4"/>
        </w:numPr>
        <w:rPr>
          <w:rFonts w:ascii="Times New Roman" w:hAnsi="Times New Roman" w:cs="Times New Roman"/>
          <w:sz w:val="24"/>
          <w:szCs w:val="24"/>
        </w:rPr>
      </w:pPr>
      <w:r w:rsidRPr="00BA4E6D">
        <w:rPr>
          <w:rFonts w:ascii="Times New Roman" w:hAnsi="Times New Roman" w:cs="Times New Roman"/>
          <w:sz w:val="24"/>
          <w:szCs w:val="24"/>
        </w:rPr>
        <w:t>T</w:t>
      </w:r>
      <w:r w:rsidRPr="00BA4E6D">
        <w:rPr>
          <w:rFonts w:ascii="Times New Roman" w:hAnsi="Times New Roman" w:cs="Times New Roman"/>
          <w:sz w:val="24"/>
          <w:szCs w:val="24"/>
        </w:rPr>
        <w:t>he 2021 boom was partly due to a rebound from the pandemic, which normalized in 2022.</w:t>
      </w:r>
    </w:p>
    <w:p w14:paraId="4F6FF8CD" w14:textId="178C30E9" w:rsidR="00546BE9" w:rsidRPr="00BA4E6D" w:rsidRDefault="00546BE9" w:rsidP="00BA4E6D">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455F7C"/>
          <w:kern w:val="0"/>
          <w:sz w:val="24"/>
          <w:szCs w:val="24"/>
          <w:lang w:eastAsia="en-IN"/>
          <w14:ligatures w14:val="none"/>
        </w:rPr>
      </w:pPr>
      <w:r w:rsidRPr="00BA4E6D">
        <w:rPr>
          <w:rFonts w:ascii="Times New Roman" w:eastAsia="Times New Roman" w:hAnsi="Times New Roman" w:cs="Times New Roman"/>
          <w:color w:val="455F7C"/>
          <w:kern w:val="0"/>
          <w:sz w:val="24"/>
          <w:szCs w:val="24"/>
          <w:lang w:eastAsia="en-IN"/>
          <w14:ligatures w14:val="none"/>
        </w:rPr>
        <w:t>The projected transaction value in the Mergers and Acquis</w:t>
      </w:r>
      <w:r w:rsidRPr="00BA4E6D">
        <w:rPr>
          <w:rFonts w:ascii="Times New Roman" w:eastAsia="Times New Roman" w:hAnsi="Times New Roman" w:cs="Times New Roman"/>
          <w:color w:val="455F7C"/>
          <w:kern w:val="0"/>
          <w:sz w:val="24"/>
          <w:szCs w:val="24"/>
          <w:lang w:eastAsia="en-IN"/>
          <w14:ligatures w14:val="none"/>
        </w:rPr>
        <w:t>i</w:t>
      </w:r>
      <w:r w:rsidRPr="00BA4E6D">
        <w:rPr>
          <w:rFonts w:ascii="Times New Roman" w:eastAsia="Times New Roman" w:hAnsi="Times New Roman" w:cs="Times New Roman"/>
          <w:color w:val="455F7C"/>
          <w:kern w:val="0"/>
          <w:sz w:val="24"/>
          <w:szCs w:val="24"/>
          <w:lang w:eastAsia="en-IN"/>
          <w14:ligatures w14:val="none"/>
        </w:rPr>
        <w:t>tions market for the United States is expected to reach US$1.36tn in 2024.</w:t>
      </w:r>
    </w:p>
    <w:p w14:paraId="30448B03" w14:textId="77777777" w:rsidR="00546BE9" w:rsidRPr="00546BE9" w:rsidRDefault="00546BE9" w:rsidP="005C2B32">
      <w:pPr>
        <w:rPr>
          <w:rFonts w:ascii="Times New Roman" w:hAnsi="Times New Roman" w:cs="Times New Roman"/>
          <w:sz w:val="24"/>
          <w:szCs w:val="24"/>
        </w:rPr>
      </w:pPr>
    </w:p>
    <w:tbl>
      <w:tblPr>
        <w:tblW w:w="3249" w:type="dxa"/>
        <w:tblLook w:val="04A0" w:firstRow="1" w:lastRow="0" w:firstColumn="1" w:lastColumn="0" w:noHBand="0" w:noVBand="1"/>
      </w:tblPr>
      <w:tblGrid>
        <w:gridCol w:w="1098"/>
        <w:gridCol w:w="2151"/>
      </w:tblGrid>
      <w:tr w:rsidR="0066662E" w:rsidRPr="0066662E" w14:paraId="51937832" w14:textId="77777777" w:rsidTr="00BA4E6D">
        <w:trPr>
          <w:trHeight w:val="1179"/>
        </w:trPr>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E3843D" w14:textId="77777777" w:rsidR="0066662E" w:rsidRPr="0066662E" w:rsidRDefault="0066662E" w:rsidP="0066662E">
            <w:pPr>
              <w:spacing w:after="0" w:line="240" w:lineRule="auto"/>
              <w:jc w:val="center"/>
              <w:rPr>
                <w:rFonts w:ascii="Calibri" w:eastAsia="Times New Roman" w:hAnsi="Calibri" w:cs="Calibri"/>
                <w:b/>
                <w:bCs/>
                <w:color w:val="000000"/>
                <w:kern w:val="0"/>
                <w:lang w:eastAsia="en-IN"/>
                <w14:ligatures w14:val="none"/>
              </w:rPr>
            </w:pPr>
            <w:r w:rsidRPr="0066662E">
              <w:rPr>
                <w:rFonts w:ascii="Calibri" w:eastAsia="Times New Roman" w:hAnsi="Calibri" w:cs="Calibri"/>
                <w:b/>
                <w:bCs/>
                <w:color w:val="000000"/>
                <w:kern w:val="0"/>
                <w:lang w:eastAsia="en-IN"/>
                <w14:ligatures w14:val="none"/>
              </w:rPr>
              <w:t>Year</w:t>
            </w:r>
          </w:p>
        </w:tc>
        <w:tc>
          <w:tcPr>
            <w:tcW w:w="2151" w:type="dxa"/>
            <w:tcBorders>
              <w:top w:val="single" w:sz="4" w:space="0" w:color="auto"/>
              <w:left w:val="nil"/>
              <w:bottom w:val="single" w:sz="4" w:space="0" w:color="auto"/>
              <w:right w:val="single" w:sz="4" w:space="0" w:color="auto"/>
            </w:tcBorders>
            <w:shd w:val="clear" w:color="auto" w:fill="auto"/>
            <w:vAlign w:val="center"/>
            <w:hideMark/>
          </w:tcPr>
          <w:p w14:paraId="7554CEEE" w14:textId="77777777" w:rsidR="0066662E" w:rsidRPr="0066662E" w:rsidRDefault="0066662E" w:rsidP="0066662E">
            <w:pPr>
              <w:spacing w:after="0" w:line="240" w:lineRule="auto"/>
              <w:jc w:val="center"/>
              <w:rPr>
                <w:rFonts w:ascii="Calibri" w:eastAsia="Times New Roman" w:hAnsi="Calibri" w:cs="Calibri"/>
                <w:b/>
                <w:bCs/>
                <w:color w:val="000000"/>
                <w:kern w:val="0"/>
                <w:lang w:eastAsia="en-IN"/>
                <w14:ligatures w14:val="none"/>
              </w:rPr>
            </w:pPr>
            <w:r w:rsidRPr="0066662E">
              <w:rPr>
                <w:rFonts w:ascii="Calibri" w:eastAsia="Times New Roman" w:hAnsi="Calibri" w:cs="Calibri"/>
                <w:b/>
                <w:bCs/>
                <w:color w:val="000000"/>
                <w:kern w:val="0"/>
                <w:lang w:eastAsia="en-IN"/>
                <w14:ligatures w14:val="none"/>
              </w:rPr>
              <w:t>Value of merger and acquisition (M&amp;A) transactions in the US</w:t>
            </w:r>
          </w:p>
        </w:tc>
      </w:tr>
      <w:tr w:rsidR="0066662E" w:rsidRPr="0066662E" w14:paraId="168EFBCB"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2176FA32"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2006</w:t>
            </w:r>
          </w:p>
        </w:tc>
        <w:tc>
          <w:tcPr>
            <w:tcW w:w="2151" w:type="dxa"/>
            <w:tcBorders>
              <w:top w:val="nil"/>
              <w:left w:val="nil"/>
              <w:bottom w:val="single" w:sz="4" w:space="0" w:color="auto"/>
              <w:right w:val="single" w:sz="4" w:space="0" w:color="auto"/>
            </w:tcBorders>
            <w:shd w:val="clear" w:color="auto" w:fill="auto"/>
            <w:vAlign w:val="center"/>
            <w:hideMark/>
          </w:tcPr>
          <w:p w14:paraId="6C691672"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1419.77</w:t>
            </w:r>
          </w:p>
        </w:tc>
      </w:tr>
      <w:tr w:rsidR="0066662E" w:rsidRPr="0066662E" w14:paraId="7700D718"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065E4F46"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2007</w:t>
            </w:r>
          </w:p>
        </w:tc>
        <w:tc>
          <w:tcPr>
            <w:tcW w:w="2151" w:type="dxa"/>
            <w:tcBorders>
              <w:top w:val="nil"/>
              <w:left w:val="nil"/>
              <w:bottom w:val="single" w:sz="4" w:space="0" w:color="auto"/>
              <w:right w:val="single" w:sz="4" w:space="0" w:color="auto"/>
            </w:tcBorders>
            <w:shd w:val="clear" w:color="auto" w:fill="auto"/>
            <w:vAlign w:val="center"/>
            <w:hideMark/>
          </w:tcPr>
          <w:p w14:paraId="6B13F091"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1327.99</w:t>
            </w:r>
          </w:p>
        </w:tc>
      </w:tr>
      <w:tr w:rsidR="0066662E" w:rsidRPr="0066662E" w14:paraId="0BBB2E4E"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7648ADA0"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2008</w:t>
            </w:r>
          </w:p>
        </w:tc>
        <w:tc>
          <w:tcPr>
            <w:tcW w:w="2151" w:type="dxa"/>
            <w:tcBorders>
              <w:top w:val="nil"/>
              <w:left w:val="nil"/>
              <w:bottom w:val="single" w:sz="4" w:space="0" w:color="auto"/>
              <w:right w:val="single" w:sz="4" w:space="0" w:color="auto"/>
            </w:tcBorders>
            <w:shd w:val="clear" w:color="auto" w:fill="auto"/>
            <w:vAlign w:val="center"/>
            <w:hideMark/>
          </w:tcPr>
          <w:p w14:paraId="5D39C158"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757.45</w:t>
            </w:r>
          </w:p>
        </w:tc>
      </w:tr>
      <w:tr w:rsidR="0066662E" w:rsidRPr="0066662E" w14:paraId="419309EC"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26EC17F1"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2009</w:t>
            </w:r>
          </w:p>
        </w:tc>
        <w:tc>
          <w:tcPr>
            <w:tcW w:w="2151" w:type="dxa"/>
            <w:tcBorders>
              <w:top w:val="nil"/>
              <w:left w:val="nil"/>
              <w:bottom w:val="single" w:sz="4" w:space="0" w:color="auto"/>
              <w:right w:val="single" w:sz="4" w:space="0" w:color="auto"/>
            </w:tcBorders>
            <w:shd w:val="clear" w:color="auto" w:fill="auto"/>
            <w:vAlign w:val="center"/>
            <w:hideMark/>
          </w:tcPr>
          <w:p w14:paraId="4A5F3578"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690.32</w:t>
            </w:r>
          </w:p>
        </w:tc>
      </w:tr>
      <w:tr w:rsidR="0066662E" w:rsidRPr="0066662E" w14:paraId="124811E9"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40F06798"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2010</w:t>
            </w:r>
          </w:p>
        </w:tc>
        <w:tc>
          <w:tcPr>
            <w:tcW w:w="2151" w:type="dxa"/>
            <w:tcBorders>
              <w:top w:val="nil"/>
              <w:left w:val="nil"/>
              <w:bottom w:val="single" w:sz="4" w:space="0" w:color="auto"/>
              <w:right w:val="single" w:sz="4" w:space="0" w:color="auto"/>
            </w:tcBorders>
            <w:shd w:val="clear" w:color="auto" w:fill="auto"/>
            <w:vAlign w:val="center"/>
            <w:hideMark/>
          </w:tcPr>
          <w:p w14:paraId="61C30949"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729.89</w:t>
            </w:r>
          </w:p>
        </w:tc>
      </w:tr>
      <w:tr w:rsidR="0066662E" w:rsidRPr="0066662E" w14:paraId="668C0F5D"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71E3C9B2"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2011</w:t>
            </w:r>
          </w:p>
        </w:tc>
        <w:tc>
          <w:tcPr>
            <w:tcW w:w="2151" w:type="dxa"/>
            <w:tcBorders>
              <w:top w:val="nil"/>
              <w:left w:val="nil"/>
              <w:bottom w:val="single" w:sz="4" w:space="0" w:color="auto"/>
              <w:right w:val="single" w:sz="4" w:space="0" w:color="auto"/>
            </w:tcBorders>
            <w:shd w:val="clear" w:color="auto" w:fill="auto"/>
            <w:vAlign w:val="center"/>
            <w:hideMark/>
          </w:tcPr>
          <w:p w14:paraId="4ABD9864"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838.31</w:t>
            </w:r>
          </w:p>
        </w:tc>
      </w:tr>
      <w:tr w:rsidR="0066662E" w:rsidRPr="0066662E" w14:paraId="28311DB0"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2636573A"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2012</w:t>
            </w:r>
          </w:p>
        </w:tc>
        <w:tc>
          <w:tcPr>
            <w:tcW w:w="2151" w:type="dxa"/>
            <w:tcBorders>
              <w:top w:val="nil"/>
              <w:left w:val="nil"/>
              <w:bottom w:val="single" w:sz="4" w:space="0" w:color="auto"/>
              <w:right w:val="single" w:sz="4" w:space="0" w:color="auto"/>
            </w:tcBorders>
            <w:shd w:val="clear" w:color="auto" w:fill="auto"/>
            <w:vAlign w:val="center"/>
            <w:hideMark/>
          </w:tcPr>
          <w:p w14:paraId="0DBD09E4"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870.61</w:t>
            </w:r>
          </w:p>
        </w:tc>
      </w:tr>
      <w:tr w:rsidR="0066662E" w:rsidRPr="0066662E" w14:paraId="4CA65D11"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7F4CA2B4"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2013</w:t>
            </w:r>
          </w:p>
        </w:tc>
        <w:tc>
          <w:tcPr>
            <w:tcW w:w="2151" w:type="dxa"/>
            <w:tcBorders>
              <w:top w:val="nil"/>
              <w:left w:val="nil"/>
              <w:bottom w:val="single" w:sz="4" w:space="0" w:color="auto"/>
              <w:right w:val="single" w:sz="4" w:space="0" w:color="auto"/>
            </w:tcBorders>
            <w:shd w:val="clear" w:color="auto" w:fill="auto"/>
            <w:vAlign w:val="center"/>
            <w:hideMark/>
          </w:tcPr>
          <w:p w14:paraId="3A0AD551"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903.93</w:t>
            </w:r>
          </w:p>
        </w:tc>
      </w:tr>
      <w:tr w:rsidR="0066662E" w:rsidRPr="0066662E" w14:paraId="7C592FAE"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254D2A72"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2014</w:t>
            </w:r>
          </w:p>
        </w:tc>
        <w:tc>
          <w:tcPr>
            <w:tcW w:w="2151" w:type="dxa"/>
            <w:tcBorders>
              <w:top w:val="nil"/>
              <w:left w:val="nil"/>
              <w:bottom w:val="single" w:sz="4" w:space="0" w:color="auto"/>
              <w:right w:val="single" w:sz="4" w:space="0" w:color="auto"/>
            </w:tcBorders>
            <w:shd w:val="clear" w:color="auto" w:fill="auto"/>
            <w:vAlign w:val="center"/>
            <w:hideMark/>
          </w:tcPr>
          <w:p w14:paraId="1C622604"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1372.92</w:t>
            </w:r>
          </w:p>
        </w:tc>
      </w:tr>
      <w:tr w:rsidR="0066662E" w:rsidRPr="0066662E" w14:paraId="4CB45A49"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04872A50"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2015</w:t>
            </w:r>
          </w:p>
        </w:tc>
        <w:tc>
          <w:tcPr>
            <w:tcW w:w="2151" w:type="dxa"/>
            <w:tcBorders>
              <w:top w:val="nil"/>
              <w:left w:val="nil"/>
              <w:bottom w:val="single" w:sz="4" w:space="0" w:color="auto"/>
              <w:right w:val="single" w:sz="4" w:space="0" w:color="auto"/>
            </w:tcBorders>
            <w:shd w:val="clear" w:color="auto" w:fill="auto"/>
            <w:vAlign w:val="center"/>
            <w:hideMark/>
          </w:tcPr>
          <w:p w14:paraId="506EFB87"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1901.88</w:t>
            </w:r>
          </w:p>
        </w:tc>
      </w:tr>
      <w:tr w:rsidR="0066662E" w:rsidRPr="0066662E" w14:paraId="1022CBA5"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3DF8801B"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2016</w:t>
            </w:r>
          </w:p>
        </w:tc>
        <w:tc>
          <w:tcPr>
            <w:tcW w:w="2151" w:type="dxa"/>
            <w:tcBorders>
              <w:top w:val="nil"/>
              <w:left w:val="nil"/>
              <w:bottom w:val="single" w:sz="4" w:space="0" w:color="auto"/>
              <w:right w:val="single" w:sz="4" w:space="0" w:color="auto"/>
            </w:tcBorders>
            <w:shd w:val="clear" w:color="auto" w:fill="auto"/>
            <w:vAlign w:val="center"/>
            <w:hideMark/>
          </w:tcPr>
          <w:p w14:paraId="015760A2"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1484</w:t>
            </w:r>
          </w:p>
        </w:tc>
      </w:tr>
      <w:tr w:rsidR="0066662E" w:rsidRPr="0066662E" w14:paraId="3FF4F3A6"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21EB338A"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2017</w:t>
            </w:r>
          </w:p>
        </w:tc>
        <w:tc>
          <w:tcPr>
            <w:tcW w:w="2151" w:type="dxa"/>
            <w:tcBorders>
              <w:top w:val="nil"/>
              <w:left w:val="nil"/>
              <w:bottom w:val="single" w:sz="4" w:space="0" w:color="auto"/>
              <w:right w:val="single" w:sz="4" w:space="0" w:color="auto"/>
            </w:tcBorders>
            <w:shd w:val="clear" w:color="auto" w:fill="auto"/>
            <w:vAlign w:val="center"/>
            <w:hideMark/>
          </w:tcPr>
          <w:p w14:paraId="5724F5C2"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1318.02</w:t>
            </w:r>
          </w:p>
        </w:tc>
      </w:tr>
      <w:tr w:rsidR="0066662E" w:rsidRPr="0066662E" w14:paraId="74AD6A5E"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3333F322"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2018</w:t>
            </w:r>
          </w:p>
        </w:tc>
        <w:tc>
          <w:tcPr>
            <w:tcW w:w="2151" w:type="dxa"/>
            <w:tcBorders>
              <w:top w:val="nil"/>
              <w:left w:val="nil"/>
              <w:bottom w:val="single" w:sz="4" w:space="0" w:color="auto"/>
              <w:right w:val="single" w:sz="4" w:space="0" w:color="auto"/>
            </w:tcBorders>
            <w:shd w:val="clear" w:color="auto" w:fill="auto"/>
            <w:vAlign w:val="center"/>
            <w:hideMark/>
          </w:tcPr>
          <w:p w14:paraId="6B03324B"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1554.37</w:t>
            </w:r>
          </w:p>
        </w:tc>
      </w:tr>
      <w:tr w:rsidR="0066662E" w:rsidRPr="0066662E" w14:paraId="1B5B0469"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3BD6938E"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2019</w:t>
            </w:r>
          </w:p>
        </w:tc>
        <w:tc>
          <w:tcPr>
            <w:tcW w:w="2151" w:type="dxa"/>
            <w:tcBorders>
              <w:top w:val="nil"/>
              <w:left w:val="nil"/>
              <w:bottom w:val="single" w:sz="4" w:space="0" w:color="auto"/>
              <w:right w:val="single" w:sz="4" w:space="0" w:color="auto"/>
            </w:tcBorders>
            <w:shd w:val="clear" w:color="auto" w:fill="auto"/>
            <w:vAlign w:val="center"/>
            <w:hideMark/>
          </w:tcPr>
          <w:p w14:paraId="31E78EB8"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1593.67</w:t>
            </w:r>
          </w:p>
        </w:tc>
      </w:tr>
      <w:tr w:rsidR="0066662E" w:rsidRPr="0066662E" w14:paraId="2F2535AF"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0DC4E246"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2020</w:t>
            </w:r>
          </w:p>
        </w:tc>
        <w:tc>
          <w:tcPr>
            <w:tcW w:w="2151" w:type="dxa"/>
            <w:tcBorders>
              <w:top w:val="nil"/>
              <w:left w:val="nil"/>
              <w:bottom w:val="single" w:sz="4" w:space="0" w:color="auto"/>
              <w:right w:val="single" w:sz="4" w:space="0" w:color="auto"/>
            </w:tcBorders>
            <w:shd w:val="clear" w:color="auto" w:fill="auto"/>
            <w:vAlign w:val="center"/>
            <w:hideMark/>
          </w:tcPr>
          <w:p w14:paraId="55295EC3"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1285.36</w:t>
            </w:r>
          </w:p>
        </w:tc>
      </w:tr>
      <w:tr w:rsidR="0066662E" w:rsidRPr="0066662E" w14:paraId="31ACBEE4"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4189420E"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2021</w:t>
            </w:r>
          </w:p>
        </w:tc>
        <w:tc>
          <w:tcPr>
            <w:tcW w:w="2151" w:type="dxa"/>
            <w:tcBorders>
              <w:top w:val="nil"/>
              <w:left w:val="nil"/>
              <w:bottom w:val="single" w:sz="4" w:space="0" w:color="auto"/>
              <w:right w:val="single" w:sz="4" w:space="0" w:color="auto"/>
            </w:tcBorders>
            <w:shd w:val="clear" w:color="auto" w:fill="auto"/>
            <w:vAlign w:val="center"/>
            <w:hideMark/>
          </w:tcPr>
          <w:p w14:paraId="49B7F7DD"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2605.16</w:t>
            </w:r>
          </w:p>
        </w:tc>
      </w:tr>
      <w:tr w:rsidR="0066662E" w:rsidRPr="0066662E" w14:paraId="63AAEB0F" w14:textId="77777777" w:rsidTr="00BA4E6D">
        <w:trPr>
          <w:trHeight w:val="277"/>
        </w:trPr>
        <w:tc>
          <w:tcPr>
            <w:tcW w:w="1098" w:type="dxa"/>
            <w:tcBorders>
              <w:top w:val="nil"/>
              <w:left w:val="single" w:sz="4" w:space="0" w:color="auto"/>
              <w:bottom w:val="single" w:sz="4" w:space="0" w:color="auto"/>
              <w:right w:val="single" w:sz="4" w:space="0" w:color="auto"/>
            </w:tcBorders>
            <w:shd w:val="clear" w:color="auto" w:fill="auto"/>
            <w:vAlign w:val="center"/>
            <w:hideMark/>
          </w:tcPr>
          <w:p w14:paraId="4B23EFFE"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2022</w:t>
            </w:r>
          </w:p>
        </w:tc>
        <w:tc>
          <w:tcPr>
            <w:tcW w:w="2151" w:type="dxa"/>
            <w:tcBorders>
              <w:top w:val="nil"/>
              <w:left w:val="nil"/>
              <w:bottom w:val="single" w:sz="4" w:space="0" w:color="auto"/>
              <w:right w:val="single" w:sz="4" w:space="0" w:color="auto"/>
            </w:tcBorders>
            <w:shd w:val="clear" w:color="auto" w:fill="auto"/>
            <w:vAlign w:val="center"/>
            <w:hideMark/>
          </w:tcPr>
          <w:p w14:paraId="3CBAC1D5" w14:textId="77777777" w:rsidR="0066662E" w:rsidRPr="0066662E" w:rsidRDefault="0066662E" w:rsidP="0066662E">
            <w:pPr>
              <w:spacing w:after="0" w:line="240" w:lineRule="auto"/>
              <w:jc w:val="right"/>
              <w:rPr>
                <w:rFonts w:ascii="Calibri" w:eastAsia="Times New Roman" w:hAnsi="Calibri" w:cs="Calibri"/>
                <w:color w:val="000000"/>
                <w:kern w:val="0"/>
                <w:lang w:eastAsia="en-IN"/>
                <w14:ligatures w14:val="none"/>
              </w:rPr>
            </w:pPr>
            <w:r w:rsidRPr="0066662E">
              <w:rPr>
                <w:rFonts w:ascii="Calibri" w:eastAsia="Times New Roman" w:hAnsi="Calibri" w:cs="Calibri"/>
                <w:color w:val="000000"/>
                <w:kern w:val="0"/>
                <w:lang w:eastAsia="en-IN"/>
                <w14:ligatures w14:val="none"/>
              </w:rPr>
              <w:t>1617.61</w:t>
            </w:r>
          </w:p>
        </w:tc>
      </w:tr>
    </w:tbl>
    <w:p w14:paraId="3175A7F2" w14:textId="3646BA2C" w:rsidR="0066662E" w:rsidRDefault="0066662E" w:rsidP="005C2B32">
      <w:pPr>
        <w:rPr>
          <w:rFonts w:ascii="Roboto" w:hAnsi="Roboto"/>
          <w:color w:val="000000"/>
          <w:sz w:val="29"/>
          <w:szCs w:val="29"/>
          <w:shd w:val="clear" w:color="auto" w:fill="FFFFFF"/>
        </w:rPr>
      </w:pPr>
      <w:r>
        <w:rPr>
          <w:noProof/>
        </w:rPr>
        <w:lastRenderedPageBreak/>
        <w:drawing>
          <wp:inline distT="0" distB="0" distL="0" distR="0" wp14:anchorId="52610B8A" wp14:editId="47E99654">
            <wp:extent cx="5139559" cy="3032760"/>
            <wp:effectExtent l="0" t="0" r="4445" b="15240"/>
            <wp:docPr id="264009898" name="Chart 1">
              <a:extLst xmlns:a="http://schemas.openxmlformats.org/drawingml/2006/main">
                <a:ext uri="{FF2B5EF4-FFF2-40B4-BE49-F238E27FC236}">
                  <a16:creationId xmlns:a16="http://schemas.microsoft.com/office/drawing/2014/main" id="{3E2FC341-C8E0-704C-80DC-0D4442120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69C96B" w14:textId="77777777" w:rsidR="00E761A2" w:rsidRPr="005C2B32" w:rsidRDefault="00E761A2" w:rsidP="005C2B32">
      <w:pPr>
        <w:rPr>
          <w:rStyle w:val="Strong"/>
          <w:b w:val="0"/>
          <w:bCs w:val="0"/>
        </w:rPr>
      </w:pPr>
    </w:p>
    <w:sectPr w:rsidR="00E761A2" w:rsidRPr="005C2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70D4D"/>
    <w:multiLevelType w:val="hybridMultilevel"/>
    <w:tmpl w:val="CEEEF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BB2826"/>
    <w:multiLevelType w:val="multilevel"/>
    <w:tmpl w:val="C3BE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D571B6"/>
    <w:multiLevelType w:val="hybridMultilevel"/>
    <w:tmpl w:val="EF0C3F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42764F"/>
    <w:multiLevelType w:val="multilevel"/>
    <w:tmpl w:val="00B6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336309">
    <w:abstractNumId w:val="1"/>
  </w:num>
  <w:num w:numId="2" w16cid:durableId="685524198">
    <w:abstractNumId w:val="3"/>
  </w:num>
  <w:num w:numId="3" w16cid:durableId="1405375975">
    <w:abstractNumId w:val="2"/>
  </w:num>
  <w:num w:numId="4" w16cid:durableId="106930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1D"/>
    <w:rsid w:val="00001581"/>
    <w:rsid w:val="000A781D"/>
    <w:rsid w:val="002D4DA3"/>
    <w:rsid w:val="00426FFF"/>
    <w:rsid w:val="00546BE9"/>
    <w:rsid w:val="005C2B32"/>
    <w:rsid w:val="0066662E"/>
    <w:rsid w:val="008A4246"/>
    <w:rsid w:val="00BA4E6D"/>
    <w:rsid w:val="00E76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A221"/>
  <w15:chartTrackingRefBased/>
  <w15:docId w15:val="{3A1044F2-B16D-43EC-91A9-0240552A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4246"/>
    <w:rPr>
      <w:color w:val="0000FF"/>
      <w:u w:val="single"/>
    </w:rPr>
  </w:style>
  <w:style w:type="character" w:styleId="Strong">
    <w:name w:val="Strong"/>
    <w:basedOn w:val="DefaultParagraphFont"/>
    <w:uiPriority w:val="22"/>
    <w:qFormat/>
    <w:rsid w:val="005C2B32"/>
    <w:rPr>
      <w:b/>
      <w:bCs/>
    </w:rPr>
  </w:style>
  <w:style w:type="character" w:styleId="Emphasis">
    <w:name w:val="Emphasis"/>
    <w:basedOn w:val="DefaultParagraphFont"/>
    <w:uiPriority w:val="20"/>
    <w:qFormat/>
    <w:rsid w:val="005C2B32"/>
    <w:rPr>
      <w:i/>
      <w:iCs/>
    </w:rPr>
  </w:style>
  <w:style w:type="paragraph" w:styleId="ListParagraph">
    <w:name w:val="List Paragraph"/>
    <w:basedOn w:val="Normal"/>
    <w:uiPriority w:val="34"/>
    <w:qFormat/>
    <w:rsid w:val="00546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785807">
      <w:bodyDiv w:val="1"/>
      <w:marLeft w:val="0"/>
      <w:marRight w:val="0"/>
      <w:marTop w:val="0"/>
      <w:marBottom w:val="0"/>
      <w:divBdr>
        <w:top w:val="none" w:sz="0" w:space="0" w:color="auto"/>
        <w:left w:val="none" w:sz="0" w:space="0" w:color="auto"/>
        <w:bottom w:val="none" w:sz="0" w:space="0" w:color="auto"/>
        <w:right w:val="none" w:sz="0" w:space="0" w:color="auto"/>
      </w:divBdr>
    </w:div>
    <w:div w:id="852300237">
      <w:bodyDiv w:val="1"/>
      <w:marLeft w:val="0"/>
      <w:marRight w:val="0"/>
      <w:marTop w:val="0"/>
      <w:marBottom w:val="0"/>
      <w:divBdr>
        <w:top w:val="none" w:sz="0" w:space="0" w:color="auto"/>
        <w:left w:val="none" w:sz="0" w:space="0" w:color="auto"/>
        <w:bottom w:val="none" w:sz="0" w:space="0" w:color="auto"/>
        <w:right w:val="none" w:sz="0" w:space="0" w:color="auto"/>
      </w:divBdr>
    </w:div>
    <w:div w:id="159536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rgersandinquisitions.com/bulge-bracket-banks/" TargetMode="External"/><Relationship Id="rId13" Type="http://schemas.openxmlformats.org/officeDocument/2006/relationships/hyperlink" Target="https://mergersandinquisitions.com/bulge-bracket-ban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b/bond.asp" TargetMode="External"/><Relationship Id="rId12" Type="http://schemas.openxmlformats.org/officeDocument/2006/relationships/hyperlink" Target="https://mergersandinquisitions.com/elite-boutique-investment-banks/" TargetMode="Externa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s://www.investopedia.com/articles/insights/061816/4-cases-when-ma-strategy-failed-acquirer-ebay-bac.asp" TargetMode="External"/><Relationship Id="rId1" Type="http://schemas.openxmlformats.org/officeDocument/2006/relationships/numbering" Target="numbering.xml"/><Relationship Id="rId6" Type="http://schemas.openxmlformats.org/officeDocument/2006/relationships/hyperlink" Target="https://www.investopedia.com/terms/s/stock.asp" TargetMode="External"/><Relationship Id="rId11" Type="http://schemas.openxmlformats.org/officeDocument/2006/relationships/hyperlink" Target="https://mergersandinquisitions.com/bulge-bracket-banks/" TargetMode="External"/><Relationship Id="rId5" Type="http://schemas.openxmlformats.org/officeDocument/2006/relationships/hyperlink" Target="https://www.investopedia.com/ask/answers/060115/what-difference-between-investment-and-retail-bank.asp" TargetMode="External"/><Relationship Id="rId15" Type="http://schemas.openxmlformats.org/officeDocument/2006/relationships/hyperlink" Target="https://mergersandinquisitions.com/boutique-investment-banks/" TargetMode="External"/><Relationship Id="rId10" Type="http://schemas.openxmlformats.org/officeDocument/2006/relationships/hyperlink" Target="https://mergersandinquisitions.com/boutique-investment-bank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rgersandinquisitions.com/middle-market-investment-banks/" TargetMode="External"/><Relationship Id="rId14" Type="http://schemas.openxmlformats.org/officeDocument/2006/relationships/hyperlink" Target="https://mergersandinquisitions.com/middle-market-investment-bank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3130137578956477"/>
          <c:y val="2.15610176800344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Value of merger and acquisition (M&amp;A) transactions in the US</c:v>
                </c:pt>
              </c:strCache>
            </c:strRef>
          </c:tx>
          <c:spPr>
            <a:solidFill>
              <a:schemeClr val="accent1"/>
            </a:solidFill>
            <a:ln>
              <a:noFill/>
            </a:ln>
            <a:effectLst/>
          </c:spPr>
          <c:invertIfNegative val="0"/>
          <c:cat>
            <c:numRef>
              <c:f>Sheet1!$A$2:$A$18</c:f>
              <c:numCache>
                <c:formatCode>General</c:formatCode>
                <c:ptCount val="17"/>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numCache>
            </c:numRef>
          </c:cat>
          <c:val>
            <c:numRef>
              <c:f>Sheet1!$B$2:$B$18</c:f>
              <c:numCache>
                <c:formatCode>General</c:formatCode>
                <c:ptCount val="17"/>
                <c:pt idx="0">
                  <c:v>1419.77</c:v>
                </c:pt>
                <c:pt idx="1">
                  <c:v>1327.99</c:v>
                </c:pt>
                <c:pt idx="2">
                  <c:v>757.45</c:v>
                </c:pt>
                <c:pt idx="3">
                  <c:v>690.32</c:v>
                </c:pt>
                <c:pt idx="4">
                  <c:v>729.89</c:v>
                </c:pt>
                <c:pt idx="5">
                  <c:v>838.31</c:v>
                </c:pt>
                <c:pt idx="6">
                  <c:v>870.61</c:v>
                </c:pt>
                <c:pt idx="7">
                  <c:v>903.93</c:v>
                </c:pt>
                <c:pt idx="8">
                  <c:v>1372.92</c:v>
                </c:pt>
                <c:pt idx="9">
                  <c:v>1901.88</c:v>
                </c:pt>
                <c:pt idx="10">
                  <c:v>1484</c:v>
                </c:pt>
                <c:pt idx="11">
                  <c:v>1318.02</c:v>
                </c:pt>
                <c:pt idx="12">
                  <c:v>1554.37</c:v>
                </c:pt>
                <c:pt idx="13">
                  <c:v>1593.67</c:v>
                </c:pt>
                <c:pt idx="14">
                  <c:v>1285.3599999999999</c:v>
                </c:pt>
                <c:pt idx="15">
                  <c:v>2605.16</c:v>
                </c:pt>
                <c:pt idx="16">
                  <c:v>1617.61</c:v>
                </c:pt>
              </c:numCache>
            </c:numRef>
          </c:val>
          <c:extLst>
            <c:ext xmlns:c16="http://schemas.microsoft.com/office/drawing/2014/chart" uri="{C3380CC4-5D6E-409C-BE32-E72D297353CC}">
              <c16:uniqueId val="{00000000-E8B4-49D2-B124-F33F9B8976F5}"/>
            </c:ext>
          </c:extLst>
        </c:ser>
        <c:dLbls>
          <c:showLegendKey val="0"/>
          <c:showVal val="0"/>
          <c:showCatName val="0"/>
          <c:showSerName val="0"/>
          <c:showPercent val="0"/>
          <c:showBubbleSize val="0"/>
        </c:dLbls>
        <c:gapWidth val="219"/>
        <c:overlap val="-27"/>
        <c:axId val="1108226239"/>
        <c:axId val="1108224799"/>
      </c:barChart>
      <c:catAx>
        <c:axId val="1108226239"/>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8224799"/>
        <c:crosses val="autoZero"/>
        <c:auto val="1"/>
        <c:lblAlgn val="ctr"/>
        <c:lblOffset val="100"/>
        <c:noMultiLvlLbl val="0"/>
      </c:catAx>
      <c:valAx>
        <c:axId val="1108224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8226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2024-07-12T04:10:00Z</dcterms:created>
  <dcterms:modified xsi:type="dcterms:W3CDTF">2024-07-12T06:04:00Z</dcterms:modified>
</cp:coreProperties>
</file>