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6E2C" w14:textId="1ACC70AC" w:rsidR="00001581" w:rsidRPr="00B77730" w:rsidRDefault="00661B03">
      <w:pPr>
        <w:rPr>
          <w:rFonts w:ascii="Times New Roman" w:hAnsi="Times New Roman" w:cs="Times New Roman"/>
          <w:b/>
          <w:bCs/>
          <w:sz w:val="36"/>
          <w:szCs w:val="36"/>
          <w:u w:val="single"/>
          <w:lang w:val="en-US"/>
        </w:rPr>
      </w:pPr>
      <w:r w:rsidRPr="00B77730">
        <w:rPr>
          <w:rFonts w:ascii="Times New Roman" w:hAnsi="Times New Roman" w:cs="Times New Roman"/>
          <w:b/>
          <w:bCs/>
          <w:sz w:val="36"/>
          <w:szCs w:val="36"/>
          <w:u w:val="single"/>
          <w:lang w:val="en-US"/>
        </w:rPr>
        <w:t>Money Transfer Services</w:t>
      </w:r>
    </w:p>
    <w:p w14:paraId="378391F8" w14:textId="0E4AA967" w:rsidR="00661B03" w:rsidRPr="00E06907" w:rsidRDefault="00661B03" w:rsidP="00B77730">
      <w:pPr>
        <w:pStyle w:val="ListParagraph"/>
        <w:numPr>
          <w:ilvl w:val="0"/>
          <w:numId w:val="1"/>
        </w:numPr>
        <w:rPr>
          <w:rFonts w:ascii="Times New Roman" w:hAnsi="Times New Roman" w:cs="Times New Roman"/>
          <w:sz w:val="24"/>
          <w:szCs w:val="24"/>
          <w:shd w:val="clear" w:color="auto" w:fill="FFFFFF"/>
        </w:rPr>
      </w:pPr>
      <w:r w:rsidRPr="00B77730">
        <w:rPr>
          <w:rFonts w:ascii="Times New Roman" w:hAnsi="Times New Roman" w:cs="Times New Roman"/>
          <w:color w:val="000000"/>
          <w:sz w:val="24"/>
          <w:szCs w:val="24"/>
          <w:shd w:val="clear" w:color="auto" w:fill="FFFFFF"/>
        </w:rPr>
        <w:t xml:space="preserve">Traditional methods, such as bank wire transfers, often come with high fees and lengthy processing times. </w:t>
      </w:r>
      <w:r w:rsidRPr="00E06907">
        <w:rPr>
          <w:rFonts w:ascii="Times New Roman" w:hAnsi="Times New Roman" w:cs="Times New Roman"/>
          <w:sz w:val="24"/>
          <w:szCs w:val="24"/>
          <w:shd w:val="clear" w:color="auto" w:fill="FFFFFF"/>
        </w:rPr>
        <w:t>In contrast, </w:t>
      </w:r>
      <w:hyperlink r:id="rId6" w:tooltip="money transfer" w:history="1">
        <w:r w:rsidRPr="00E06907">
          <w:rPr>
            <w:rStyle w:val="Hyperlink"/>
            <w:rFonts w:ascii="Times New Roman" w:hAnsi="Times New Roman" w:cs="Times New Roman"/>
            <w:color w:val="auto"/>
            <w:sz w:val="24"/>
            <w:szCs w:val="24"/>
            <w:u w:val="none"/>
            <w:shd w:val="clear" w:color="auto" w:fill="FFFFFF"/>
          </w:rPr>
          <w:t>money transfer</w:t>
        </w:r>
      </w:hyperlink>
      <w:r w:rsidRPr="00E06907">
        <w:rPr>
          <w:rFonts w:ascii="Times New Roman" w:hAnsi="Times New Roman" w:cs="Times New Roman"/>
          <w:sz w:val="24"/>
          <w:szCs w:val="24"/>
          <w:shd w:val="clear" w:color="auto" w:fill="FFFFFF"/>
        </w:rPr>
        <w:t> services have emerged as a cost-effective alternative, enabling faster transactions and competitive exchange rates.</w:t>
      </w:r>
    </w:p>
    <w:p w14:paraId="14CD2916" w14:textId="37B9F2C0" w:rsidR="00661B03" w:rsidRPr="00E06907" w:rsidRDefault="00661B03" w:rsidP="00B77730">
      <w:pPr>
        <w:pStyle w:val="ListParagraph"/>
        <w:numPr>
          <w:ilvl w:val="0"/>
          <w:numId w:val="1"/>
        </w:numPr>
        <w:rPr>
          <w:rFonts w:ascii="Times New Roman" w:hAnsi="Times New Roman" w:cs="Times New Roman"/>
          <w:sz w:val="24"/>
          <w:szCs w:val="24"/>
          <w:shd w:val="clear" w:color="auto" w:fill="FFFFFF"/>
        </w:rPr>
      </w:pPr>
      <w:r w:rsidRPr="00E06907">
        <w:rPr>
          <w:rFonts w:ascii="Times New Roman" w:hAnsi="Times New Roman" w:cs="Times New Roman"/>
          <w:sz w:val="24"/>
          <w:szCs w:val="24"/>
          <w:shd w:val="clear" w:color="auto" w:fill="FFFFFF"/>
        </w:rPr>
        <w:t>Money transfer services are financial platforms that allow individuals and businesses to send and receive funds electronically, typically across borders.</w:t>
      </w:r>
    </w:p>
    <w:p w14:paraId="3C51A55E" w14:textId="361A6854" w:rsidR="00661B03" w:rsidRPr="00E06907" w:rsidRDefault="00661B03" w:rsidP="00B77730">
      <w:pPr>
        <w:pStyle w:val="ListParagraph"/>
        <w:numPr>
          <w:ilvl w:val="0"/>
          <w:numId w:val="1"/>
        </w:numPr>
        <w:rPr>
          <w:rFonts w:ascii="Times New Roman" w:hAnsi="Times New Roman" w:cs="Times New Roman"/>
          <w:sz w:val="24"/>
          <w:szCs w:val="24"/>
          <w:shd w:val="clear" w:color="auto" w:fill="FFFFFF"/>
        </w:rPr>
      </w:pPr>
      <w:r w:rsidRPr="00E06907">
        <w:rPr>
          <w:rFonts w:ascii="Times New Roman" w:hAnsi="Times New Roman" w:cs="Times New Roman"/>
          <w:sz w:val="24"/>
          <w:szCs w:val="24"/>
          <w:shd w:val="clear" w:color="auto" w:fill="FFFFFF"/>
        </w:rPr>
        <w:t>It is important to note that money transfer services are subject to regulatory requirements and must comply with anti-money laundering (AML) and know-your-customer (KYC) regulations. This ensures that the services are secure and reliable, providing users with peace of mind when transferring funds.</w:t>
      </w:r>
    </w:p>
    <w:p w14:paraId="480394B1" w14:textId="07F60EC0" w:rsidR="00661B03" w:rsidRPr="00B77730" w:rsidRDefault="00661B03" w:rsidP="00B77730">
      <w:pPr>
        <w:pStyle w:val="ListParagraph"/>
        <w:numPr>
          <w:ilvl w:val="0"/>
          <w:numId w:val="1"/>
        </w:numPr>
        <w:rPr>
          <w:rStyle w:val="Strong"/>
          <w:rFonts w:ascii="Times New Roman" w:hAnsi="Times New Roman" w:cs="Times New Roman"/>
          <w:color w:val="000000"/>
          <w:sz w:val="24"/>
          <w:szCs w:val="24"/>
          <w:shd w:val="clear" w:color="auto" w:fill="FFFFFF"/>
        </w:rPr>
      </w:pPr>
      <w:r w:rsidRPr="00E06907">
        <w:rPr>
          <w:rFonts w:ascii="Times New Roman" w:hAnsi="Times New Roman" w:cs="Times New Roman"/>
          <w:sz w:val="24"/>
          <w:szCs w:val="24"/>
          <w:shd w:val="clear" w:color="auto" w:fill="FFFFFF"/>
        </w:rPr>
        <w:t>Money transfer services come in various forms, each offering distinct features and benefits</w:t>
      </w:r>
      <w:r w:rsidRPr="00E06907">
        <w:rPr>
          <w:rFonts w:ascii="Times New Roman" w:hAnsi="Times New Roman" w:cs="Times New Roman"/>
          <w:sz w:val="24"/>
          <w:szCs w:val="24"/>
          <w:shd w:val="clear" w:color="auto" w:fill="FFFFFF"/>
        </w:rPr>
        <w:t xml:space="preserve"> i.e. </w:t>
      </w:r>
      <w:hyperlink r:id="rId7" w:tooltip="Online Money Transfer" w:history="1">
        <w:r w:rsidRPr="00E06907">
          <w:rPr>
            <w:rStyle w:val="Hyperlink"/>
            <w:rFonts w:ascii="Times New Roman" w:hAnsi="Times New Roman" w:cs="Times New Roman"/>
            <w:b/>
            <w:bCs/>
            <w:color w:val="auto"/>
            <w:sz w:val="24"/>
            <w:szCs w:val="24"/>
            <w:u w:val="none"/>
          </w:rPr>
          <w:t>Online Money Transfer</w:t>
        </w:r>
      </w:hyperlink>
      <w:r w:rsidRPr="00E06907">
        <w:rPr>
          <w:rStyle w:val="Strong"/>
          <w:rFonts w:ascii="Times New Roman" w:hAnsi="Times New Roman" w:cs="Times New Roman"/>
          <w:sz w:val="24"/>
          <w:szCs w:val="24"/>
          <w:shd w:val="clear" w:color="auto" w:fill="FFFFFF"/>
        </w:rPr>
        <w:t> </w:t>
      </w:r>
      <w:r w:rsidRPr="00B77730">
        <w:rPr>
          <w:rStyle w:val="Strong"/>
          <w:rFonts w:ascii="Times New Roman" w:hAnsi="Times New Roman" w:cs="Times New Roman"/>
          <w:color w:val="000000"/>
          <w:sz w:val="24"/>
          <w:szCs w:val="24"/>
          <w:shd w:val="clear" w:color="auto" w:fill="FFFFFF"/>
        </w:rPr>
        <w:t>Services</w:t>
      </w:r>
      <w:r w:rsidRPr="00B77730">
        <w:rPr>
          <w:rStyle w:val="Strong"/>
          <w:rFonts w:ascii="Times New Roman" w:hAnsi="Times New Roman" w:cs="Times New Roman"/>
          <w:color w:val="000000"/>
          <w:sz w:val="24"/>
          <w:szCs w:val="24"/>
          <w:shd w:val="clear" w:color="auto" w:fill="FFFFFF"/>
        </w:rPr>
        <w:t xml:space="preserve">, </w:t>
      </w:r>
      <w:r w:rsidRPr="00B77730">
        <w:rPr>
          <w:rStyle w:val="Strong"/>
          <w:rFonts w:ascii="Times New Roman" w:hAnsi="Times New Roman" w:cs="Times New Roman"/>
          <w:color w:val="000000"/>
          <w:sz w:val="24"/>
          <w:szCs w:val="24"/>
          <w:shd w:val="clear" w:color="auto" w:fill="FFFFFF"/>
        </w:rPr>
        <w:t>Banks</w:t>
      </w:r>
      <w:r w:rsidRPr="00B77730">
        <w:rPr>
          <w:rStyle w:val="Strong"/>
          <w:rFonts w:ascii="Times New Roman" w:hAnsi="Times New Roman" w:cs="Times New Roman"/>
          <w:color w:val="000000"/>
          <w:sz w:val="24"/>
          <w:szCs w:val="24"/>
          <w:shd w:val="clear" w:color="auto" w:fill="FFFFFF"/>
        </w:rPr>
        <w:t xml:space="preserve">, </w:t>
      </w:r>
      <w:r w:rsidRPr="00B77730">
        <w:rPr>
          <w:rStyle w:val="Strong"/>
          <w:rFonts w:ascii="Times New Roman" w:hAnsi="Times New Roman" w:cs="Times New Roman"/>
          <w:color w:val="000000"/>
          <w:sz w:val="24"/>
          <w:szCs w:val="24"/>
          <w:shd w:val="clear" w:color="auto" w:fill="FFFFFF"/>
        </w:rPr>
        <w:t> Peer-to-Peer (P2P) Transfer Services</w:t>
      </w:r>
      <w:r w:rsidRPr="00B77730">
        <w:rPr>
          <w:rStyle w:val="Strong"/>
          <w:rFonts w:ascii="Times New Roman" w:hAnsi="Times New Roman" w:cs="Times New Roman"/>
          <w:color w:val="000000"/>
          <w:sz w:val="24"/>
          <w:szCs w:val="24"/>
          <w:shd w:val="clear" w:color="auto" w:fill="FFFFFF"/>
        </w:rPr>
        <w:t xml:space="preserve"> that</w:t>
      </w:r>
      <w:r w:rsidRPr="00B77730">
        <w:rPr>
          <w:rFonts w:ascii="Times New Roman" w:hAnsi="Times New Roman" w:cs="Times New Roman"/>
          <w:color w:val="000000"/>
          <w:sz w:val="24"/>
          <w:szCs w:val="24"/>
          <w:shd w:val="clear" w:color="auto" w:fill="FFFFFF"/>
        </w:rPr>
        <w:t xml:space="preserve"> enable individuals to transfer funds directly to each other without the involvement of a traditional bank or financial institution.</w:t>
      </w:r>
      <w:r w:rsidRPr="00B77730">
        <w:rPr>
          <w:rFonts w:ascii="Times New Roman" w:hAnsi="Times New Roman" w:cs="Times New Roman"/>
          <w:color w:val="000000"/>
          <w:sz w:val="24"/>
          <w:szCs w:val="24"/>
          <w:shd w:val="clear" w:color="auto" w:fill="FFFFFF"/>
        </w:rPr>
        <w:t xml:space="preserve"> </w:t>
      </w:r>
      <w:r w:rsidRPr="00B77730">
        <w:rPr>
          <w:rStyle w:val="Strong"/>
          <w:rFonts w:ascii="Times New Roman" w:hAnsi="Times New Roman" w:cs="Times New Roman"/>
          <w:color w:val="000000"/>
          <w:sz w:val="24"/>
          <w:szCs w:val="24"/>
          <w:shd w:val="clear" w:color="auto" w:fill="FFFFFF"/>
        </w:rPr>
        <w:t>Mobile Wallets</w:t>
      </w:r>
      <w:r w:rsidRPr="00B77730">
        <w:rPr>
          <w:rStyle w:val="Strong"/>
          <w:rFonts w:ascii="Times New Roman" w:hAnsi="Times New Roman" w:cs="Times New Roman"/>
          <w:color w:val="000000"/>
          <w:sz w:val="24"/>
          <w:szCs w:val="24"/>
          <w:shd w:val="clear" w:color="auto" w:fill="FFFFFF"/>
        </w:rPr>
        <w:t xml:space="preserve">, </w:t>
      </w:r>
      <w:r w:rsidRPr="00B77730">
        <w:rPr>
          <w:rStyle w:val="Strong"/>
          <w:rFonts w:ascii="Times New Roman" w:hAnsi="Times New Roman" w:cs="Times New Roman"/>
          <w:color w:val="000000"/>
          <w:sz w:val="24"/>
          <w:szCs w:val="24"/>
          <w:shd w:val="clear" w:color="auto" w:fill="FFFFFF"/>
        </w:rPr>
        <w:t>Cryptocurrency Transfer Services</w:t>
      </w:r>
      <w:r w:rsidRPr="00B77730">
        <w:rPr>
          <w:rStyle w:val="Strong"/>
          <w:rFonts w:ascii="Times New Roman" w:hAnsi="Times New Roman" w:cs="Times New Roman"/>
          <w:color w:val="000000"/>
          <w:sz w:val="24"/>
          <w:szCs w:val="24"/>
          <w:shd w:val="clear" w:color="auto" w:fill="FFFFFF"/>
        </w:rPr>
        <w:t>.</w:t>
      </w:r>
    </w:p>
    <w:p w14:paraId="7D7AE087" w14:textId="3D4023CA" w:rsidR="00661B03" w:rsidRPr="00B77730" w:rsidRDefault="00661B03" w:rsidP="00B77730">
      <w:pPr>
        <w:pStyle w:val="ListParagraph"/>
        <w:numPr>
          <w:ilvl w:val="0"/>
          <w:numId w:val="1"/>
        </w:numPr>
        <w:rPr>
          <w:rStyle w:val="Strong"/>
          <w:rFonts w:ascii="Times New Roman" w:hAnsi="Times New Roman" w:cs="Times New Roman"/>
          <w:b w:val="0"/>
          <w:bCs w:val="0"/>
          <w:color w:val="000000"/>
          <w:sz w:val="24"/>
          <w:szCs w:val="24"/>
          <w:shd w:val="clear" w:color="auto" w:fill="FFFFFF"/>
        </w:rPr>
      </w:pPr>
      <w:r w:rsidRPr="00B77730">
        <w:rPr>
          <w:rStyle w:val="Strong"/>
          <w:rFonts w:ascii="Times New Roman" w:hAnsi="Times New Roman" w:cs="Times New Roman"/>
          <w:b w:val="0"/>
          <w:bCs w:val="0"/>
          <w:color w:val="000000"/>
          <w:sz w:val="24"/>
          <w:szCs w:val="24"/>
          <w:shd w:val="clear" w:color="auto" w:fill="FFFFFF"/>
        </w:rPr>
        <w:t>Top money transfer companies are Wise, Regency FX, Currencies Direct, Revolut, XE, Key Currency, OFX and many more.</w:t>
      </w:r>
    </w:p>
    <w:p w14:paraId="6F1BD3E9" w14:textId="7BB4D9BC" w:rsidR="00661B03" w:rsidRPr="00B77730" w:rsidRDefault="00D0365E" w:rsidP="00B77730">
      <w:pPr>
        <w:pStyle w:val="ListParagraph"/>
        <w:numPr>
          <w:ilvl w:val="0"/>
          <w:numId w:val="1"/>
        </w:numPr>
        <w:rPr>
          <w:rStyle w:val="Strong"/>
          <w:rFonts w:ascii="Times New Roman" w:hAnsi="Times New Roman" w:cs="Times New Roman"/>
          <w:b w:val="0"/>
          <w:bCs w:val="0"/>
          <w:sz w:val="24"/>
          <w:szCs w:val="24"/>
        </w:rPr>
      </w:pPr>
      <w:r w:rsidRPr="00B77730">
        <w:rPr>
          <w:rStyle w:val="Strong"/>
          <w:rFonts w:ascii="Times New Roman" w:hAnsi="Times New Roman" w:cs="Times New Roman"/>
          <w:b w:val="0"/>
          <w:bCs w:val="0"/>
          <w:sz w:val="24"/>
          <w:szCs w:val="24"/>
        </w:rPr>
        <w:t>The projected global market value of remittance for 2022 is over $930 billion.</w:t>
      </w:r>
    </w:p>
    <w:p w14:paraId="21CA9D82" w14:textId="26AB28B7" w:rsidR="00D0365E" w:rsidRPr="00B77730" w:rsidRDefault="00D0365E" w:rsidP="00B77730">
      <w:pPr>
        <w:pStyle w:val="ListParagraph"/>
        <w:numPr>
          <w:ilvl w:val="0"/>
          <w:numId w:val="1"/>
        </w:numPr>
        <w:rPr>
          <w:rStyle w:val="Strong"/>
          <w:rFonts w:ascii="Times New Roman" w:hAnsi="Times New Roman" w:cs="Times New Roman"/>
          <w:b w:val="0"/>
          <w:bCs w:val="0"/>
          <w:sz w:val="24"/>
          <w:szCs w:val="24"/>
        </w:rPr>
      </w:pPr>
      <w:r w:rsidRPr="00B77730">
        <w:rPr>
          <w:rStyle w:val="Strong"/>
          <w:rFonts w:ascii="Times New Roman" w:hAnsi="Times New Roman" w:cs="Times New Roman"/>
          <w:b w:val="0"/>
          <w:bCs w:val="0"/>
          <w:sz w:val="24"/>
          <w:szCs w:val="24"/>
        </w:rPr>
        <w:t>Digital money transfer market is expected to reach $298.8 billion by 2026.</w:t>
      </w:r>
    </w:p>
    <w:p w14:paraId="03035D3C" w14:textId="3DF22075" w:rsidR="00D0365E" w:rsidRPr="00B77730" w:rsidRDefault="00D0365E" w:rsidP="00B77730">
      <w:pPr>
        <w:pStyle w:val="ListParagraph"/>
        <w:numPr>
          <w:ilvl w:val="0"/>
          <w:numId w:val="1"/>
        </w:numPr>
        <w:rPr>
          <w:rStyle w:val="Strong"/>
          <w:rFonts w:ascii="Times New Roman" w:hAnsi="Times New Roman" w:cs="Times New Roman"/>
          <w:b w:val="0"/>
          <w:bCs w:val="0"/>
          <w:sz w:val="24"/>
          <w:szCs w:val="24"/>
        </w:rPr>
      </w:pPr>
      <w:r w:rsidRPr="00B77730">
        <w:rPr>
          <w:rStyle w:val="Strong"/>
          <w:rFonts w:ascii="Times New Roman" w:hAnsi="Times New Roman" w:cs="Times New Roman"/>
          <w:b w:val="0"/>
          <w:bCs w:val="0"/>
          <w:sz w:val="24"/>
          <w:szCs w:val="24"/>
        </w:rPr>
        <w:t>Mobile wallet users have grown to 2.8 billion worldwide in 2020.</w:t>
      </w:r>
    </w:p>
    <w:p w14:paraId="39B03B11" w14:textId="39C45CE5" w:rsidR="00D0365E" w:rsidRPr="00B77730" w:rsidRDefault="00D0365E" w:rsidP="00B77730">
      <w:pPr>
        <w:pStyle w:val="ListParagraph"/>
        <w:numPr>
          <w:ilvl w:val="0"/>
          <w:numId w:val="1"/>
        </w:numPr>
        <w:rPr>
          <w:rStyle w:val="Strong"/>
          <w:rFonts w:ascii="Times New Roman" w:hAnsi="Times New Roman" w:cs="Times New Roman"/>
          <w:b w:val="0"/>
          <w:bCs w:val="0"/>
          <w:sz w:val="24"/>
          <w:szCs w:val="24"/>
        </w:rPr>
      </w:pPr>
      <w:r w:rsidRPr="00B77730">
        <w:rPr>
          <w:rStyle w:val="Strong"/>
          <w:rFonts w:ascii="Times New Roman" w:hAnsi="Times New Roman" w:cs="Times New Roman"/>
          <w:b w:val="0"/>
          <w:bCs w:val="0"/>
          <w:sz w:val="24"/>
          <w:szCs w:val="24"/>
        </w:rPr>
        <w:t>Chase Bank processed the largest volume of P2P payments in the US with $39 billion in 2019.</w:t>
      </w:r>
    </w:p>
    <w:p w14:paraId="74544C6F" w14:textId="22C51317" w:rsidR="00D0365E" w:rsidRPr="00B77730" w:rsidRDefault="00D0365E" w:rsidP="00B77730">
      <w:pPr>
        <w:pStyle w:val="ListParagraph"/>
        <w:numPr>
          <w:ilvl w:val="0"/>
          <w:numId w:val="1"/>
        </w:numPr>
        <w:rPr>
          <w:rFonts w:ascii="Times New Roman" w:hAnsi="Times New Roman" w:cs="Times New Roman"/>
          <w:color w:val="363636"/>
          <w:sz w:val="24"/>
          <w:szCs w:val="24"/>
          <w:shd w:val="clear" w:color="auto" w:fill="FFFFFF"/>
        </w:rPr>
      </w:pPr>
      <w:r w:rsidRPr="00B77730">
        <w:rPr>
          <w:rFonts w:ascii="Times New Roman" w:hAnsi="Times New Roman" w:cs="Times New Roman"/>
          <w:color w:val="363636"/>
          <w:sz w:val="24"/>
          <w:szCs w:val="24"/>
          <w:shd w:val="clear" w:color="auto" w:fill="FFFFFF"/>
        </w:rPr>
        <w:t>A</w:t>
      </w:r>
      <w:r w:rsidRPr="00B77730">
        <w:rPr>
          <w:rFonts w:ascii="Times New Roman" w:hAnsi="Times New Roman" w:cs="Times New Roman"/>
          <w:color w:val="363636"/>
          <w:sz w:val="24"/>
          <w:szCs w:val="24"/>
          <w:shd w:val="clear" w:color="auto" w:fill="FFFFFF"/>
        </w:rPr>
        <w:t xml:space="preserve"> growing adoption of digital payment platforms such as Venmo and PayPal, an increasing focus on reducing remittance costs through blockchain technology, and a rise in mobile-based remittances. Companies offering lower transfer fees are experiencing substantial customer growth rates, highlighting the importance of competitive pricing strategies.</w:t>
      </w:r>
    </w:p>
    <w:p w14:paraId="51505643" w14:textId="7D82097F" w:rsidR="00D0365E" w:rsidRDefault="00D0365E" w:rsidP="00B77730">
      <w:pPr>
        <w:pStyle w:val="ListParagraph"/>
        <w:numPr>
          <w:ilvl w:val="0"/>
          <w:numId w:val="1"/>
        </w:numPr>
        <w:rPr>
          <w:rFonts w:ascii="Times New Roman" w:hAnsi="Times New Roman" w:cs="Times New Roman"/>
          <w:color w:val="454748"/>
          <w:sz w:val="24"/>
          <w:szCs w:val="24"/>
        </w:rPr>
      </w:pPr>
      <w:r w:rsidRPr="00B77730">
        <w:rPr>
          <w:rFonts w:ascii="Times New Roman" w:hAnsi="Times New Roman" w:cs="Times New Roman"/>
          <w:color w:val="454748"/>
          <w:sz w:val="24"/>
          <w:szCs w:val="24"/>
        </w:rPr>
        <w:t xml:space="preserve">It </w:t>
      </w:r>
      <w:r w:rsidRPr="00B77730">
        <w:rPr>
          <w:rFonts w:ascii="Times New Roman" w:hAnsi="Times New Roman" w:cs="Times New Roman"/>
          <w:color w:val="454748"/>
          <w:sz w:val="24"/>
          <w:szCs w:val="24"/>
        </w:rPr>
        <w:t>is expected to g</w:t>
      </w:r>
      <w:r w:rsidRPr="00B77730">
        <w:rPr>
          <w:rFonts w:ascii="Times New Roman" w:hAnsi="Times New Roman" w:cs="Times New Roman"/>
          <w:color w:val="454748"/>
          <w:sz w:val="24"/>
          <w:szCs w:val="24"/>
        </w:rPr>
        <w:t>row to $66.75 billion in 2028 at a compound annual growth rate (CAGR) of 16.3%.</w:t>
      </w:r>
    </w:p>
    <w:p w14:paraId="5681B6EB" w14:textId="77777777" w:rsidR="00B77730" w:rsidRPr="00B77730" w:rsidRDefault="00B77730" w:rsidP="00B77730">
      <w:pPr>
        <w:ind w:left="360"/>
        <w:rPr>
          <w:rFonts w:ascii="Times New Roman" w:hAnsi="Times New Roman" w:cs="Times New Roman"/>
          <w:color w:val="454748"/>
          <w:sz w:val="24"/>
          <w:szCs w:val="24"/>
        </w:rPr>
      </w:pPr>
    </w:p>
    <w:tbl>
      <w:tblPr>
        <w:tblW w:w="8087" w:type="dxa"/>
        <w:jc w:val="center"/>
        <w:tblLook w:val="04A0" w:firstRow="1" w:lastRow="0" w:firstColumn="1" w:lastColumn="0" w:noHBand="0" w:noVBand="1"/>
      </w:tblPr>
      <w:tblGrid>
        <w:gridCol w:w="1674"/>
        <w:gridCol w:w="1734"/>
        <w:gridCol w:w="1222"/>
        <w:gridCol w:w="816"/>
        <w:gridCol w:w="1117"/>
        <w:gridCol w:w="1524"/>
      </w:tblGrid>
      <w:tr w:rsidR="00B77730" w:rsidRPr="00B77730" w14:paraId="6948B3EF" w14:textId="77777777" w:rsidTr="00B77730">
        <w:trPr>
          <w:trHeight w:val="1200"/>
          <w:jc w:val="center"/>
        </w:trPr>
        <w:tc>
          <w:tcPr>
            <w:tcW w:w="1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6C22E" w14:textId="77777777" w:rsidR="00B77730" w:rsidRPr="00B77730" w:rsidRDefault="00B77730" w:rsidP="00B77730">
            <w:pPr>
              <w:spacing w:after="0" w:line="240" w:lineRule="auto"/>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Month/Year</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14:paraId="7C54479B" w14:textId="77777777" w:rsidR="00B77730" w:rsidRPr="00B77730" w:rsidRDefault="00B77730" w:rsidP="00B777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MoneyGram</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84C10E6" w14:textId="77777777" w:rsidR="00B77730" w:rsidRPr="00B77730" w:rsidRDefault="00B77730" w:rsidP="00B777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Western Union</w:t>
            </w:r>
          </w:p>
        </w:tc>
        <w:tc>
          <w:tcPr>
            <w:tcW w:w="816" w:type="dxa"/>
            <w:tcBorders>
              <w:top w:val="single" w:sz="4" w:space="0" w:color="auto"/>
              <w:left w:val="nil"/>
              <w:bottom w:val="single" w:sz="4" w:space="0" w:color="auto"/>
              <w:right w:val="single" w:sz="4" w:space="0" w:color="auto"/>
            </w:tcBorders>
            <w:shd w:val="clear" w:color="auto" w:fill="auto"/>
            <w:vAlign w:val="center"/>
            <w:hideMark/>
          </w:tcPr>
          <w:p w14:paraId="293130AE" w14:textId="77777777" w:rsidR="00B77730" w:rsidRPr="00B77730" w:rsidRDefault="00B77730" w:rsidP="00B777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Wise</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14:paraId="5F2556FB" w14:textId="77777777" w:rsidR="00B77730" w:rsidRPr="00B77730" w:rsidRDefault="00B77730" w:rsidP="00B777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XOOM</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686B7DF" w14:textId="77777777" w:rsidR="00B77730" w:rsidRPr="00B77730" w:rsidRDefault="00B77730" w:rsidP="00B777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77730">
              <w:rPr>
                <w:rFonts w:ascii="Times New Roman" w:eastAsia="Times New Roman" w:hAnsi="Times New Roman" w:cs="Times New Roman"/>
                <w:b/>
                <w:bCs/>
                <w:color w:val="000000"/>
                <w:kern w:val="0"/>
                <w:sz w:val="24"/>
                <w:szCs w:val="24"/>
                <w:lang w:eastAsia="en-IN"/>
                <w14:ligatures w14:val="none"/>
              </w:rPr>
              <w:t>Total Volume Exchanged</w:t>
            </w:r>
          </w:p>
        </w:tc>
      </w:tr>
      <w:tr w:rsidR="00B77730" w:rsidRPr="00B77730" w14:paraId="285FC984"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252BD46F"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Jan-19</w:t>
            </w:r>
          </w:p>
        </w:tc>
        <w:tc>
          <w:tcPr>
            <w:tcW w:w="1734" w:type="dxa"/>
            <w:tcBorders>
              <w:top w:val="nil"/>
              <w:left w:val="nil"/>
              <w:bottom w:val="single" w:sz="4" w:space="0" w:color="auto"/>
              <w:right w:val="single" w:sz="4" w:space="0" w:color="auto"/>
            </w:tcBorders>
            <w:shd w:val="clear" w:color="auto" w:fill="auto"/>
            <w:vAlign w:val="center"/>
            <w:hideMark/>
          </w:tcPr>
          <w:p w14:paraId="1D815C6D"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10</w:t>
            </w:r>
          </w:p>
        </w:tc>
        <w:tc>
          <w:tcPr>
            <w:tcW w:w="1222" w:type="dxa"/>
            <w:tcBorders>
              <w:top w:val="nil"/>
              <w:left w:val="nil"/>
              <w:bottom w:val="single" w:sz="4" w:space="0" w:color="auto"/>
              <w:right w:val="single" w:sz="4" w:space="0" w:color="auto"/>
            </w:tcBorders>
            <w:shd w:val="clear" w:color="auto" w:fill="auto"/>
            <w:vAlign w:val="center"/>
            <w:hideMark/>
          </w:tcPr>
          <w:p w14:paraId="06C37A9F"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30</w:t>
            </w:r>
          </w:p>
        </w:tc>
        <w:tc>
          <w:tcPr>
            <w:tcW w:w="816" w:type="dxa"/>
            <w:tcBorders>
              <w:top w:val="nil"/>
              <w:left w:val="nil"/>
              <w:bottom w:val="single" w:sz="4" w:space="0" w:color="auto"/>
              <w:right w:val="single" w:sz="4" w:space="0" w:color="auto"/>
            </w:tcBorders>
            <w:shd w:val="clear" w:color="auto" w:fill="auto"/>
            <w:vAlign w:val="center"/>
            <w:hideMark/>
          </w:tcPr>
          <w:p w14:paraId="1443E202"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20</w:t>
            </w:r>
          </w:p>
        </w:tc>
        <w:tc>
          <w:tcPr>
            <w:tcW w:w="1117" w:type="dxa"/>
            <w:tcBorders>
              <w:top w:val="nil"/>
              <w:left w:val="nil"/>
              <w:bottom w:val="single" w:sz="4" w:space="0" w:color="auto"/>
              <w:right w:val="single" w:sz="4" w:space="0" w:color="auto"/>
            </w:tcBorders>
            <w:shd w:val="clear" w:color="auto" w:fill="auto"/>
            <w:vAlign w:val="center"/>
            <w:hideMark/>
          </w:tcPr>
          <w:p w14:paraId="0B421BB4"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40</w:t>
            </w:r>
          </w:p>
        </w:tc>
        <w:tc>
          <w:tcPr>
            <w:tcW w:w="1524" w:type="dxa"/>
            <w:tcBorders>
              <w:top w:val="nil"/>
              <w:left w:val="nil"/>
              <w:bottom w:val="single" w:sz="4" w:space="0" w:color="auto"/>
              <w:right w:val="single" w:sz="4" w:space="0" w:color="auto"/>
            </w:tcBorders>
            <w:shd w:val="clear" w:color="auto" w:fill="auto"/>
            <w:vAlign w:val="center"/>
            <w:hideMark/>
          </w:tcPr>
          <w:p w14:paraId="022D8BFB"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100</w:t>
            </w:r>
          </w:p>
        </w:tc>
      </w:tr>
      <w:tr w:rsidR="00B77730" w:rsidRPr="00B77730" w14:paraId="753FE496"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7DC2A2AC"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Dec-19</w:t>
            </w:r>
          </w:p>
        </w:tc>
        <w:tc>
          <w:tcPr>
            <w:tcW w:w="1734" w:type="dxa"/>
            <w:tcBorders>
              <w:top w:val="nil"/>
              <w:left w:val="nil"/>
              <w:bottom w:val="single" w:sz="4" w:space="0" w:color="auto"/>
              <w:right w:val="single" w:sz="4" w:space="0" w:color="auto"/>
            </w:tcBorders>
            <w:shd w:val="clear" w:color="auto" w:fill="auto"/>
            <w:vAlign w:val="center"/>
            <w:hideMark/>
          </w:tcPr>
          <w:p w14:paraId="2EE78989"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32</w:t>
            </w:r>
          </w:p>
        </w:tc>
        <w:tc>
          <w:tcPr>
            <w:tcW w:w="1222" w:type="dxa"/>
            <w:tcBorders>
              <w:top w:val="nil"/>
              <w:left w:val="nil"/>
              <w:bottom w:val="single" w:sz="4" w:space="0" w:color="auto"/>
              <w:right w:val="single" w:sz="4" w:space="0" w:color="auto"/>
            </w:tcBorders>
            <w:shd w:val="clear" w:color="auto" w:fill="auto"/>
            <w:vAlign w:val="center"/>
            <w:hideMark/>
          </w:tcPr>
          <w:p w14:paraId="039419BA"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52</w:t>
            </w:r>
          </w:p>
        </w:tc>
        <w:tc>
          <w:tcPr>
            <w:tcW w:w="816" w:type="dxa"/>
            <w:tcBorders>
              <w:top w:val="nil"/>
              <w:left w:val="nil"/>
              <w:bottom w:val="single" w:sz="4" w:space="0" w:color="auto"/>
              <w:right w:val="single" w:sz="4" w:space="0" w:color="auto"/>
            </w:tcBorders>
            <w:shd w:val="clear" w:color="auto" w:fill="auto"/>
            <w:vAlign w:val="center"/>
            <w:hideMark/>
          </w:tcPr>
          <w:p w14:paraId="63AB9696"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42</w:t>
            </w:r>
          </w:p>
        </w:tc>
        <w:tc>
          <w:tcPr>
            <w:tcW w:w="1117" w:type="dxa"/>
            <w:tcBorders>
              <w:top w:val="nil"/>
              <w:left w:val="nil"/>
              <w:bottom w:val="single" w:sz="4" w:space="0" w:color="auto"/>
              <w:right w:val="single" w:sz="4" w:space="0" w:color="auto"/>
            </w:tcBorders>
            <w:shd w:val="clear" w:color="auto" w:fill="auto"/>
            <w:vAlign w:val="center"/>
            <w:hideMark/>
          </w:tcPr>
          <w:p w14:paraId="48BCE42A"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62</w:t>
            </w:r>
          </w:p>
        </w:tc>
        <w:tc>
          <w:tcPr>
            <w:tcW w:w="1524" w:type="dxa"/>
            <w:tcBorders>
              <w:top w:val="nil"/>
              <w:left w:val="nil"/>
              <w:bottom w:val="single" w:sz="4" w:space="0" w:color="auto"/>
              <w:right w:val="single" w:sz="4" w:space="0" w:color="auto"/>
            </w:tcBorders>
            <w:shd w:val="clear" w:color="auto" w:fill="auto"/>
            <w:vAlign w:val="center"/>
            <w:hideMark/>
          </w:tcPr>
          <w:p w14:paraId="1189F9C6"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188</w:t>
            </w:r>
          </w:p>
        </w:tc>
      </w:tr>
      <w:tr w:rsidR="00B77730" w:rsidRPr="00B77730" w14:paraId="6CBF1F23"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2F314F85"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Jan-20</w:t>
            </w:r>
          </w:p>
        </w:tc>
        <w:tc>
          <w:tcPr>
            <w:tcW w:w="1734" w:type="dxa"/>
            <w:tcBorders>
              <w:top w:val="nil"/>
              <w:left w:val="nil"/>
              <w:bottom w:val="single" w:sz="4" w:space="0" w:color="auto"/>
              <w:right w:val="single" w:sz="4" w:space="0" w:color="auto"/>
            </w:tcBorders>
            <w:shd w:val="clear" w:color="auto" w:fill="auto"/>
            <w:vAlign w:val="center"/>
            <w:hideMark/>
          </w:tcPr>
          <w:p w14:paraId="11C47311"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34</w:t>
            </w:r>
          </w:p>
        </w:tc>
        <w:tc>
          <w:tcPr>
            <w:tcW w:w="1222" w:type="dxa"/>
            <w:tcBorders>
              <w:top w:val="nil"/>
              <w:left w:val="nil"/>
              <w:bottom w:val="single" w:sz="4" w:space="0" w:color="auto"/>
              <w:right w:val="single" w:sz="4" w:space="0" w:color="auto"/>
            </w:tcBorders>
            <w:shd w:val="clear" w:color="auto" w:fill="auto"/>
            <w:vAlign w:val="center"/>
            <w:hideMark/>
          </w:tcPr>
          <w:p w14:paraId="387F0D2C"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54</w:t>
            </w:r>
          </w:p>
        </w:tc>
        <w:tc>
          <w:tcPr>
            <w:tcW w:w="816" w:type="dxa"/>
            <w:tcBorders>
              <w:top w:val="nil"/>
              <w:left w:val="nil"/>
              <w:bottom w:val="single" w:sz="4" w:space="0" w:color="auto"/>
              <w:right w:val="single" w:sz="4" w:space="0" w:color="auto"/>
            </w:tcBorders>
            <w:shd w:val="clear" w:color="auto" w:fill="auto"/>
            <w:vAlign w:val="center"/>
            <w:hideMark/>
          </w:tcPr>
          <w:p w14:paraId="7D291B16"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44</w:t>
            </w:r>
          </w:p>
        </w:tc>
        <w:tc>
          <w:tcPr>
            <w:tcW w:w="1117" w:type="dxa"/>
            <w:tcBorders>
              <w:top w:val="nil"/>
              <w:left w:val="nil"/>
              <w:bottom w:val="single" w:sz="4" w:space="0" w:color="auto"/>
              <w:right w:val="single" w:sz="4" w:space="0" w:color="auto"/>
            </w:tcBorders>
            <w:shd w:val="clear" w:color="auto" w:fill="auto"/>
            <w:vAlign w:val="center"/>
            <w:hideMark/>
          </w:tcPr>
          <w:p w14:paraId="2D010D7C"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64</w:t>
            </w:r>
          </w:p>
        </w:tc>
        <w:tc>
          <w:tcPr>
            <w:tcW w:w="1524" w:type="dxa"/>
            <w:tcBorders>
              <w:top w:val="nil"/>
              <w:left w:val="nil"/>
              <w:bottom w:val="single" w:sz="4" w:space="0" w:color="auto"/>
              <w:right w:val="single" w:sz="4" w:space="0" w:color="auto"/>
            </w:tcBorders>
            <w:shd w:val="clear" w:color="auto" w:fill="auto"/>
            <w:vAlign w:val="center"/>
            <w:hideMark/>
          </w:tcPr>
          <w:p w14:paraId="1C6F1681"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196</w:t>
            </w:r>
          </w:p>
        </w:tc>
      </w:tr>
      <w:tr w:rsidR="00B77730" w:rsidRPr="00B77730" w14:paraId="2F5C3B5E"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7B1A7E78"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Dec-20</w:t>
            </w:r>
          </w:p>
        </w:tc>
        <w:tc>
          <w:tcPr>
            <w:tcW w:w="1734" w:type="dxa"/>
            <w:tcBorders>
              <w:top w:val="nil"/>
              <w:left w:val="nil"/>
              <w:bottom w:val="single" w:sz="4" w:space="0" w:color="auto"/>
              <w:right w:val="single" w:sz="4" w:space="0" w:color="auto"/>
            </w:tcBorders>
            <w:shd w:val="clear" w:color="auto" w:fill="auto"/>
            <w:vAlign w:val="center"/>
            <w:hideMark/>
          </w:tcPr>
          <w:p w14:paraId="4272AC11"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56</w:t>
            </w:r>
          </w:p>
        </w:tc>
        <w:tc>
          <w:tcPr>
            <w:tcW w:w="1222" w:type="dxa"/>
            <w:tcBorders>
              <w:top w:val="nil"/>
              <w:left w:val="nil"/>
              <w:bottom w:val="single" w:sz="4" w:space="0" w:color="auto"/>
              <w:right w:val="single" w:sz="4" w:space="0" w:color="auto"/>
            </w:tcBorders>
            <w:shd w:val="clear" w:color="auto" w:fill="auto"/>
            <w:vAlign w:val="center"/>
            <w:hideMark/>
          </w:tcPr>
          <w:p w14:paraId="443FE65C"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76</w:t>
            </w:r>
          </w:p>
        </w:tc>
        <w:tc>
          <w:tcPr>
            <w:tcW w:w="816" w:type="dxa"/>
            <w:tcBorders>
              <w:top w:val="nil"/>
              <w:left w:val="nil"/>
              <w:bottom w:val="single" w:sz="4" w:space="0" w:color="auto"/>
              <w:right w:val="single" w:sz="4" w:space="0" w:color="auto"/>
            </w:tcBorders>
            <w:shd w:val="clear" w:color="auto" w:fill="auto"/>
            <w:vAlign w:val="center"/>
            <w:hideMark/>
          </w:tcPr>
          <w:p w14:paraId="62753D9F"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66</w:t>
            </w:r>
          </w:p>
        </w:tc>
        <w:tc>
          <w:tcPr>
            <w:tcW w:w="1117" w:type="dxa"/>
            <w:tcBorders>
              <w:top w:val="nil"/>
              <w:left w:val="nil"/>
              <w:bottom w:val="single" w:sz="4" w:space="0" w:color="auto"/>
              <w:right w:val="single" w:sz="4" w:space="0" w:color="auto"/>
            </w:tcBorders>
            <w:shd w:val="clear" w:color="auto" w:fill="auto"/>
            <w:vAlign w:val="center"/>
            <w:hideMark/>
          </w:tcPr>
          <w:p w14:paraId="46C9F3AC"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86</w:t>
            </w:r>
          </w:p>
        </w:tc>
        <w:tc>
          <w:tcPr>
            <w:tcW w:w="1524" w:type="dxa"/>
            <w:tcBorders>
              <w:top w:val="nil"/>
              <w:left w:val="nil"/>
              <w:bottom w:val="single" w:sz="4" w:space="0" w:color="auto"/>
              <w:right w:val="single" w:sz="4" w:space="0" w:color="auto"/>
            </w:tcBorders>
            <w:shd w:val="clear" w:color="auto" w:fill="auto"/>
            <w:vAlign w:val="center"/>
            <w:hideMark/>
          </w:tcPr>
          <w:p w14:paraId="4C95F170"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284</w:t>
            </w:r>
          </w:p>
        </w:tc>
      </w:tr>
      <w:tr w:rsidR="00B77730" w:rsidRPr="00B77730" w14:paraId="5E939D43"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005E4B49"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Jan-21</w:t>
            </w:r>
          </w:p>
        </w:tc>
        <w:tc>
          <w:tcPr>
            <w:tcW w:w="1734" w:type="dxa"/>
            <w:tcBorders>
              <w:top w:val="nil"/>
              <w:left w:val="nil"/>
              <w:bottom w:val="single" w:sz="4" w:space="0" w:color="auto"/>
              <w:right w:val="single" w:sz="4" w:space="0" w:color="auto"/>
            </w:tcBorders>
            <w:shd w:val="clear" w:color="auto" w:fill="auto"/>
            <w:vAlign w:val="center"/>
            <w:hideMark/>
          </w:tcPr>
          <w:p w14:paraId="3C7AE398"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58</w:t>
            </w:r>
          </w:p>
        </w:tc>
        <w:tc>
          <w:tcPr>
            <w:tcW w:w="1222" w:type="dxa"/>
            <w:tcBorders>
              <w:top w:val="nil"/>
              <w:left w:val="nil"/>
              <w:bottom w:val="single" w:sz="4" w:space="0" w:color="auto"/>
              <w:right w:val="single" w:sz="4" w:space="0" w:color="auto"/>
            </w:tcBorders>
            <w:shd w:val="clear" w:color="auto" w:fill="auto"/>
            <w:vAlign w:val="center"/>
            <w:hideMark/>
          </w:tcPr>
          <w:p w14:paraId="517A2146"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78</w:t>
            </w:r>
          </w:p>
        </w:tc>
        <w:tc>
          <w:tcPr>
            <w:tcW w:w="816" w:type="dxa"/>
            <w:tcBorders>
              <w:top w:val="nil"/>
              <w:left w:val="nil"/>
              <w:bottom w:val="single" w:sz="4" w:space="0" w:color="auto"/>
              <w:right w:val="single" w:sz="4" w:space="0" w:color="auto"/>
            </w:tcBorders>
            <w:shd w:val="clear" w:color="auto" w:fill="auto"/>
            <w:vAlign w:val="center"/>
            <w:hideMark/>
          </w:tcPr>
          <w:p w14:paraId="555B6799"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68</w:t>
            </w:r>
          </w:p>
        </w:tc>
        <w:tc>
          <w:tcPr>
            <w:tcW w:w="1117" w:type="dxa"/>
            <w:tcBorders>
              <w:top w:val="nil"/>
              <w:left w:val="nil"/>
              <w:bottom w:val="single" w:sz="4" w:space="0" w:color="auto"/>
              <w:right w:val="single" w:sz="4" w:space="0" w:color="auto"/>
            </w:tcBorders>
            <w:shd w:val="clear" w:color="auto" w:fill="auto"/>
            <w:vAlign w:val="center"/>
            <w:hideMark/>
          </w:tcPr>
          <w:p w14:paraId="2EA24B60"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88</w:t>
            </w:r>
          </w:p>
        </w:tc>
        <w:tc>
          <w:tcPr>
            <w:tcW w:w="1524" w:type="dxa"/>
            <w:tcBorders>
              <w:top w:val="nil"/>
              <w:left w:val="nil"/>
              <w:bottom w:val="single" w:sz="4" w:space="0" w:color="auto"/>
              <w:right w:val="single" w:sz="4" w:space="0" w:color="auto"/>
            </w:tcBorders>
            <w:shd w:val="clear" w:color="auto" w:fill="auto"/>
            <w:vAlign w:val="center"/>
            <w:hideMark/>
          </w:tcPr>
          <w:p w14:paraId="23325FD8"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292</w:t>
            </w:r>
          </w:p>
        </w:tc>
      </w:tr>
      <w:tr w:rsidR="00B77730" w:rsidRPr="00B77730" w14:paraId="6DCE0DB8"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6004EB3B"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Aug-21</w:t>
            </w:r>
          </w:p>
        </w:tc>
        <w:tc>
          <w:tcPr>
            <w:tcW w:w="1734" w:type="dxa"/>
            <w:tcBorders>
              <w:top w:val="nil"/>
              <w:left w:val="nil"/>
              <w:bottom w:val="single" w:sz="4" w:space="0" w:color="auto"/>
              <w:right w:val="single" w:sz="4" w:space="0" w:color="auto"/>
            </w:tcBorders>
            <w:shd w:val="clear" w:color="auto" w:fill="auto"/>
            <w:vAlign w:val="center"/>
            <w:hideMark/>
          </w:tcPr>
          <w:p w14:paraId="37C112BF"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72</w:t>
            </w:r>
          </w:p>
        </w:tc>
        <w:tc>
          <w:tcPr>
            <w:tcW w:w="1222" w:type="dxa"/>
            <w:tcBorders>
              <w:top w:val="nil"/>
              <w:left w:val="nil"/>
              <w:bottom w:val="single" w:sz="4" w:space="0" w:color="auto"/>
              <w:right w:val="single" w:sz="4" w:space="0" w:color="auto"/>
            </w:tcBorders>
            <w:shd w:val="clear" w:color="auto" w:fill="auto"/>
            <w:vAlign w:val="center"/>
            <w:hideMark/>
          </w:tcPr>
          <w:p w14:paraId="04F8FAD6"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92</w:t>
            </w:r>
          </w:p>
        </w:tc>
        <w:tc>
          <w:tcPr>
            <w:tcW w:w="816" w:type="dxa"/>
            <w:tcBorders>
              <w:top w:val="nil"/>
              <w:left w:val="nil"/>
              <w:bottom w:val="single" w:sz="4" w:space="0" w:color="auto"/>
              <w:right w:val="single" w:sz="4" w:space="0" w:color="auto"/>
            </w:tcBorders>
            <w:shd w:val="clear" w:color="auto" w:fill="auto"/>
            <w:vAlign w:val="center"/>
            <w:hideMark/>
          </w:tcPr>
          <w:p w14:paraId="5EBBA83A"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82</w:t>
            </w:r>
          </w:p>
        </w:tc>
        <w:tc>
          <w:tcPr>
            <w:tcW w:w="1117" w:type="dxa"/>
            <w:tcBorders>
              <w:top w:val="nil"/>
              <w:left w:val="nil"/>
              <w:bottom w:val="single" w:sz="4" w:space="0" w:color="auto"/>
              <w:right w:val="single" w:sz="4" w:space="0" w:color="auto"/>
            </w:tcBorders>
            <w:shd w:val="clear" w:color="auto" w:fill="auto"/>
            <w:vAlign w:val="center"/>
            <w:hideMark/>
          </w:tcPr>
          <w:p w14:paraId="603193A8"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102</w:t>
            </w:r>
          </w:p>
        </w:tc>
        <w:tc>
          <w:tcPr>
            <w:tcW w:w="1524" w:type="dxa"/>
            <w:tcBorders>
              <w:top w:val="nil"/>
              <w:left w:val="nil"/>
              <w:bottom w:val="single" w:sz="4" w:space="0" w:color="auto"/>
              <w:right w:val="single" w:sz="4" w:space="0" w:color="auto"/>
            </w:tcBorders>
            <w:shd w:val="clear" w:color="auto" w:fill="auto"/>
            <w:vAlign w:val="center"/>
            <w:hideMark/>
          </w:tcPr>
          <w:p w14:paraId="68FA8505"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348</w:t>
            </w:r>
          </w:p>
        </w:tc>
      </w:tr>
      <w:tr w:rsidR="00B77730" w:rsidRPr="00B77730" w14:paraId="6CB30203" w14:textId="77777777" w:rsidTr="00B77730">
        <w:trPr>
          <w:trHeight w:val="300"/>
          <w:jc w:val="center"/>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14F1442E"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Sep-21</w:t>
            </w:r>
          </w:p>
        </w:tc>
        <w:tc>
          <w:tcPr>
            <w:tcW w:w="1734" w:type="dxa"/>
            <w:tcBorders>
              <w:top w:val="nil"/>
              <w:left w:val="nil"/>
              <w:bottom w:val="single" w:sz="4" w:space="0" w:color="auto"/>
              <w:right w:val="single" w:sz="4" w:space="0" w:color="auto"/>
            </w:tcBorders>
            <w:shd w:val="clear" w:color="auto" w:fill="auto"/>
            <w:vAlign w:val="center"/>
            <w:hideMark/>
          </w:tcPr>
          <w:p w14:paraId="06D167C4"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74</w:t>
            </w:r>
          </w:p>
        </w:tc>
        <w:tc>
          <w:tcPr>
            <w:tcW w:w="1222" w:type="dxa"/>
            <w:tcBorders>
              <w:top w:val="nil"/>
              <w:left w:val="nil"/>
              <w:bottom w:val="single" w:sz="4" w:space="0" w:color="auto"/>
              <w:right w:val="single" w:sz="4" w:space="0" w:color="auto"/>
            </w:tcBorders>
            <w:shd w:val="clear" w:color="auto" w:fill="auto"/>
            <w:vAlign w:val="center"/>
            <w:hideMark/>
          </w:tcPr>
          <w:p w14:paraId="2A866F85"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94</w:t>
            </w:r>
          </w:p>
        </w:tc>
        <w:tc>
          <w:tcPr>
            <w:tcW w:w="816" w:type="dxa"/>
            <w:tcBorders>
              <w:top w:val="nil"/>
              <w:left w:val="nil"/>
              <w:bottom w:val="single" w:sz="4" w:space="0" w:color="auto"/>
              <w:right w:val="single" w:sz="4" w:space="0" w:color="auto"/>
            </w:tcBorders>
            <w:shd w:val="clear" w:color="auto" w:fill="auto"/>
            <w:vAlign w:val="center"/>
            <w:hideMark/>
          </w:tcPr>
          <w:p w14:paraId="02710654"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84</w:t>
            </w:r>
          </w:p>
        </w:tc>
        <w:tc>
          <w:tcPr>
            <w:tcW w:w="1117" w:type="dxa"/>
            <w:tcBorders>
              <w:top w:val="nil"/>
              <w:left w:val="nil"/>
              <w:bottom w:val="single" w:sz="4" w:space="0" w:color="auto"/>
              <w:right w:val="single" w:sz="4" w:space="0" w:color="auto"/>
            </w:tcBorders>
            <w:shd w:val="clear" w:color="auto" w:fill="auto"/>
            <w:vAlign w:val="center"/>
            <w:hideMark/>
          </w:tcPr>
          <w:p w14:paraId="450C8328"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104</w:t>
            </w:r>
          </w:p>
        </w:tc>
        <w:tc>
          <w:tcPr>
            <w:tcW w:w="1524" w:type="dxa"/>
            <w:tcBorders>
              <w:top w:val="nil"/>
              <w:left w:val="nil"/>
              <w:bottom w:val="single" w:sz="4" w:space="0" w:color="auto"/>
              <w:right w:val="single" w:sz="4" w:space="0" w:color="auto"/>
            </w:tcBorders>
            <w:shd w:val="clear" w:color="auto" w:fill="auto"/>
            <w:vAlign w:val="center"/>
            <w:hideMark/>
          </w:tcPr>
          <w:p w14:paraId="0C1069AE" w14:textId="77777777" w:rsidR="00B77730" w:rsidRPr="00B77730" w:rsidRDefault="00B77730" w:rsidP="00B77730">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7730">
              <w:rPr>
                <w:rFonts w:ascii="Times New Roman" w:eastAsia="Times New Roman" w:hAnsi="Times New Roman" w:cs="Times New Roman"/>
                <w:color w:val="000000"/>
                <w:kern w:val="0"/>
                <w:sz w:val="24"/>
                <w:szCs w:val="24"/>
                <w:lang w:eastAsia="en-IN"/>
                <w14:ligatures w14:val="none"/>
              </w:rPr>
              <w:t>356</w:t>
            </w:r>
          </w:p>
        </w:tc>
      </w:tr>
    </w:tbl>
    <w:p w14:paraId="0C4833E7" w14:textId="77777777" w:rsidR="00B77730" w:rsidRPr="00B77730" w:rsidRDefault="00B77730" w:rsidP="00D0365E">
      <w:pPr>
        <w:rPr>
          <w:rFonts w:ascii="Times New Roman" w:hAnsi="Times New Roman" w:cs="Times New Roman"/>
          <w:sz w:val="24"/>
          <w:szCs w:val="24"/>
          <w:lang w:val="en-US"/>
        </w:rPr>
      </w:pPr>
    </w:p>
    <w:p w14:paraId="6C97CD7A" w14:textId="7E8A35EB" w:rsidR="00B77730" w:rsidRDefault="00B77730" w:rsidP="00D0365E">
      <w:pPr>
        <w:rPr>
          <w:rFonts w:ascii="Times New Roman" w:hAnsi="Times New Roman" w:cs="Times New Roman"/>
          <w:sz w:val="24"/>
          <w:szCs w:val="24"/>
          <w:lang w:val="en-US"/>
        </w:rPr>
      </w:pPr>
      <w:r w:rsidRPr="00B77730">
        <w:rPr>
          <w:rFonts w:ascii="Times New Roman" w:hAnsi="Times New Roman" w:cs="Times New Roman"/>
          <w:noProof/>
          <w:sz w:val="24"/>
          <w:szCs w:val="24"/>
        </w:rPr>
        <w:lastRenderedPageBreak/>
        <w:drawing>
          <wp:inline distT="0" distB="0" distL="0" distR="0" wp14:anchorId="174376EE" wp14:editId="56E0907B">
            <wp:extent cx="5669280" cy="2743200"/>
            <wp:effectExtent l="0" t="0" r="7620" b="0"/>
            <wp:docPr id="1976531598" name="Chart 1">
              <a:extLst xmlns:a="http://schemas.openxmlformats.org/drawingml/2006/main">
                <a:ext uri="{FF2B5EF4-FFF2-40B4-BE49-F238E27FC236}">
                  <a16:creationId xmlns:a16="http://schemas.microsoft.com/office/drawing/2014/main" id="{274478FF-986E-D71D-F8C7-E64B1B4B1D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0AACFE" w14:textId="77777777" w:rsidR="00B77730" w:rsidRDefault="00B77730" w:rsidP="00D0365E">
      <w:pPr>
        <w:rPr>
          <w:rFonts w:ascii="Times New Roman" w:hAnsi="Times New Roman" w:cs="Times New Roman"/>
          <w:sz w:val="24"/>
          <w:szCs w:val="24"/>
          <w:lang w:val="en-US"/>
        </w:rPr>
      </w:pPr>
    </w:p>
    <w:p w14:paraId="2C7FF509" w14:textId="6828D406" w:rsidR="00B77730" w:rsidRPr="00130A70" w:rsidRDefault="00B77730" w:rsidP="00D0365E">
      <w:pPr>
        <w:rPr>
          <w:rFonts w:ascii="Times New Roman" w:hAnsi="Times New Roman" w:cs="Times New Roman"/>
          <w:b/>
          <w:bCs/>
          <w:sz w:val="36"/>
          <w:szCs w:val="36"/>
          <w:u w:val="single"/>
          <w:lang w:val="en-US"/>
        </w:rPr>
      </w:pPr>
      <w:r w:rsidRPr="00130A70">
        <w:rPr>
          <w:rFonts w:ascii="Times New Roman" w:hAnsi="Times New Roman" w:cs="Times New Roman"/>
          <w:b/>
          <w:bCs/>
          <w:sz w:val="36"/>
          <w:szCs w:val="36"/>
          <w:u w:val="single"/>
          <w:lang w:val="en-US"/>
        </w:rPr>
        <w:t>Wire Money Transfer</w:t>
      </w:r>
    </w:p>
    <w:p w14:paraId="14C526F8" w14:textId="79E5CE4F" w:rsidR="00B77730" w:rsidRPr="00130A70" w:rsidRDefault="00B77730" w:rsidP="00130A70">
      <w:pPr>
        <w:pStyle w:val="ListParagraph"/>
        <w:numPr>
          <w:ilvl w:val="0"/>
          <w:numId w:val="2"/>
        </w:numPr>
        <w:rPr>
          <w:rFonts w:ascii="Times New Roman" w:hAnsi="Times New Roman" w:cs="Times New Roman"/>
          <w:color w:val="101820"/>
          <w:sz w:val="24"/>
          <w:szCs w:val="24"/>
        </w:rPr>
      </w:pPr>
      <w:r w:rsidRPr="00130A70">
        <w:rPr>
          <w:rFonts w:ascii="Times New Roman" w:hAnsi="Times New Roman" w:cs="Times New Roman"/>
          <w:color w:val="101820"/>
          <w:sz w:val="24"/>
          <w:szCs w:val="24"/>
        </w:rPr>
        <w:t>Wire transfers move money electronically from one bank account to another. They can be domestic (between two U.S. accounts) or between a U.S. and international account.</w:t>
      </w:r>
    </w:p>
    <w:p w14:paraId="2B0BA633" w14:textId="440533C5" w:rsidR="00B77730" w:rsidRPr="00130A70" w:rsidRDefault="00B77730" w:rsidP="00130A70">
      <w:pPr>
        <w:pStyle w:val="ListParagraph"/>
        <w:numPr>
          <w:ilvl w:val="0"/>
          <w:numId w:val="2"/>
        </w:numPr>
        <w:rPr>
          <w:rFonts w:ascii="Times New Roman" w:hAnsi="Times New Roman" w:cs="Times New Roman"/>
          <w:color w:val="111111"/>
          <w:spacing w:val="1"/>
          <w:sz w:val="24"/>
          <w:szCs w:val="24"/>
          <w:shd w:val="clear" w:color="auto" w:fill="FFFFFF"/>
        </w:rPr>
      </w:pPr>
      <w:r w:rsidRPr="00130A70">
        <w:rPr>
          <w:rFonts w:ascii="Times New Roman" w:hAnsi="Times New Roman" w:cs="Times New Roman"/>
          <w:color w:val="111111"/>
          <w:spacing w:val="1"/>
          <w:sz w:val="24"/>
          <w:szCs w:val="24"/>
          <w:shd w:val="clear" w:color="auto" w:fill="FFFFFF"/>
        </w:rPr>
        <w:t>Non-bank wire transfers do not require bank account numbers. One popular non-bank wire transfer company is Western Union, whose international money transfer service is available in more than 200 countries.</w:t>
      </w:r>
    </w:p>
    <w:p w14:paraId="5A41D664" w14:textId="1B89C039" w:rsidR="00B77730" w:rsidRPr="00E06907" w:rsidRDefault="00AF7D2E" w:rsidP="00130A70">
      <w:pPr>
        <w:pStyle w:val="ListParagraph"/>
        <w:numPr>
          <w:ilvl w:val="0"/>
          <w:numId w:val="2"/>
        </w:numPr>
        <w:rPr>
          <w:rFonts w:ascii="Times New Roman" w:hAnsi="Times New Roman" w:cs="Times New Roman"/>
          <w:spacing w:val="1"/>
          <w:sz w:val="24"/>
          <w:szCs w:val="24"/>
          <w:shd w:val="clear" w:color="auto" w:fill="FFFFFF"/>
        </w:rPr>
      </w:pPr>
      <w:r w:rsidRPr="00E06907">
        <w:rPr>
          <w:rFonts w:ascii="Times New Roman" w:hAnsi="Times New Roman" w:cs="Times New Roman"/>
          <w:spacing w:val="1"/>
          <w:sz w:val="24"/>
          <w:szCs w:val="24"/>
          <w:shd w:val="clear" w:color="auto" w:fill="FFFFFF"/>
        </w:rPr>
        <w:t>International wire transfers that originate in the United States are monitored by the Office of Foreign Assets Control, an agency of the U.S. Treasury. The agency makes sure the money sent overseas is not being used to fund terrorist activities or for </w:t>
      </w:r>
      <w:hyperlink r:id="rId9" w:history="1">
        <w:r w:rsidRPr="00E06907">
          <w:rPr>
            <w:rStyle w:val="Hyperlink"/>
            <w:rFonts w:ascii="Times New Roman" w:hAnsi="Times New Roman" w:cs="Times New Roman"/>
            <w:color w:val="auto"/>
            <w:spacing w:val="1"/>
            <w:sz w:val="24"/>
            <w:szCs w:val="24"/>
            <w:u w:val="none"/>
            <w:shd w:val="clear" w:color="auto" w:fill="FFFFFF"/>
          </w:rPr>
          <w:t>money laundering</w:t>
        </w:r>
      </w:hyperlink>
      <w:r w:rsidRPr="00E06907">
        <w:rPr>
          <w:rFonts w:ascii="Times New Roman" w:hAnsi="Times New Roman" w:cs="Times New Roman"/>
          <w:spacing w:val="1"/>
          <w:sz w:val="24"/>
          <w:szCs w:val="24"/>
          <w:shd w:val="clear" w:color="auto" w:fill="FFFFFF"/>
        </w:rPr>
        <w:t> purposes.</w:t>
      </w:r>
    </w:p>
    <w:p w14:paraId="6B3FD358" w14:textId="1D35E83D" w:rsidR="00AF7D2E" w:rsidRPr="00E06907" w:rsidRDefault="00AF7D2E" w:rsidP="00130A70">
      <w:pPr>
        <w:pStyle w:val="ListParagraph"/>
        <w:numPr>
          <w:ilvl w:val="0"/>
          <w:numId w:val="2"/>
        </w:numPr>
        <w:rPr>
          <w:rFonts w:ascii="Times New Roman" w:hAnsi="Times New Roman" w:cs="Times New Roman"/>
          <w:spacing w:val="1"/>
          <w:sz w:val="24"/>
          <w:szCs w:val="24"/>
          <w:shd w:val="clear" w:color="auto" w:fill="FFFFFF"/>
        </w:rPr>
      </w:pPr>
      <w:r w:rsidRPr="00E06907">
        <w:rPr>
          <w:rFonts w:ascii="Times New Roman" w:hAnsi="Times New Roman" w:cs="Times New Roman"/>
          <w:spacing w:val="1"/>
          <w:sz w:val="24"/>
          <w:szCs w:val="24"/>
          <w:shd w:val="clear" w:color="auto" w:fill="FFFFFF"/>
        </w:rPr>
        <w:t>Banks often charge a flat fee for wire transfers, which can range between $15 and $50. This can eat up a large percentage of the transferred amount, especially for smaller transactions.</w:t>
      </w:r>
    </w:p>
    <w:p w14:paraId="68486709" w14:textId="3B0F2683" w:rsidR="00AF7D2E" w:rsidRPr="00E06907" w:rsidRDefault="00AF7D2E" w:rsidP="00130A70">
      <w:pPr>
        <w:pStyle w:val="ListParagraph"/>
        <w:numPr>
          <w:ilvl w:val="0"/>
          <w:numId w:val="2"/>
        </w:numPr>
        <w:rPr>
          <w:rFonts w:ascii="Times New Roman" w:hAnsi="Times New Roman" w:cs="Times New Roman"/>
          <w:spacing w:val="1"/>
          <w:sz w:val="24"/>
          <w:szCs w:val="24"/>
          <w:shd w:val="clear" w:color="auto" w:fill="FFFFFF"/>
        </w:rPr>
      </w:pPr>
      <w:r w:rsidRPr="00E06907">
        <w:rPr>
          <w:rFonts w:ascii="Times New Roman" w:hAnsi="Times New Roman" w:cs="Times New Roman"/>
          <w:spacing w:val="1"/>
          <w:sz w:val="24"/>
          <w:szCs w:val="24"/>
          <w:shd w:val="clear" w:color="auto" w:fill="FFFFFF"/>
        </w:rPr>
        <w:t>evolutions in </w:t>
      </w:r>
      <w:hyperlink r:id="rId10" w:history="1">
        <w:r w:rsidRPr="00E06907">
          <w:rPr>
            <w:rStyle w:val="Hyperlink"/>
            <w:rFonts w:ascii="Times New Roman" w:hAnsi="Times New Roman" w:cs="Times New Roman"/>
            <w:color w:val="auto"/>
            <w:spacing w:val="1"/>
            <w:sz w:val="24"/>
            <w:szCs w:val="24"/>
            <w:u w:val="none"/>
            <w:shd w:val="clear" w:color="auto" w:fill="FFFFFF"/>
          </w:rPr>
          <w:t>fintech</w:t>
        </w:r>
      </w:hyperlink>
      <w:r w:rsidRPr="00E06907">
        <w:rPr>
          <w:rFonts w:ascii="Times New Roman" w:hAnsi="Times New Roman" w:cs="Times New Roman"/>
          <w:spacing w:val="1"/>
          <w:sz w:val="24"/>
          <w:szCs w:val="24"/>
          <w:shd w:val="clear" w:color="auto" w:fill="FFFFFF"/>
        </w:rPr>
        <w:t> have provided alternatives that may be even faster than wire transfers. Tools like </w:t>
      </w:r>
      <w:hyperlink r:id="rId11" w:history="1">
        <w:r w:rsidRPr="00E06907">
          <w:rPr>
            <w:rStyle w:val="Hyperlink"/>
            <w:rFonts w:ascii="Times New Roman" w:hAnsi="Times New Roman" w:cs="Times New Roman"/>
            <w:color w:val="auto"/>
            <w:spacing w:val="1"/>
            <w:sz w:val="24"/>
            <w:szCs w:val="24"/>
            <w:u w:val="none"/>
            <w:shd w:val="clear" w:color="auto" w:fill="FFFFFF"/>
          </w:rPr>
          <w:t>PayPal</w:t>
        </w:r>
      </w:hyperlink>
      <w:r w:rsidRPr="00E06907">
        <w:rPr>
          <w:rFonts w:ascii="Times New Roman" w:hAnsi="Times New Roman" w:cs="Times New Roman"/>
          <w:spacing w:val="1"/>
          <w:sz w:val="24"/>
          <w:szCs w:val="24"/>
          <w:shd w:val="clear" w:color="auto" w:fill="FFFFFF"/>
        </w:rPr>
        <w:t> and </w:t>
      </w:r>
      <w:hyperlink r:id="rId12" w:history="1">
        <w:r w:rsidRPr="00E06907">
          <w:rPr>
            <w:rStyle w:val="Hyperlink"/>
            <w:rFonts w:ascii="Times New Roman" w:hAnsi="Times New Roman" w:cs="Times New Roman"/>
            <w:color w:val="auto"/>
            <w:spacing w:val="1"/>
            <w:sz w:val="24"/>
            <w:szCs w:val="24"/>
            <w:u w:val="none"/>
            <w:shd w:val="clear" w:color="auto" w:fill="FFFFFF"/>
          </w:rPr>
          <w:t>Venmo</w:t>
        </w:r>
      </w:hyperlink>
      <w:r w:rsidRPr="00E06907">
        <w:rPr>
          <w:rFonts w:ascii="Times New Roman" w:hAnsi="Times New Roman" w:cs="Times New Roman"/>
          <w:spacing w:val="1"/>
          <w:sz w:val="24"/>
          <w:szCs w:val="24"/>
          <w:shd w:val="clear" w:color="auto" w:fill="FFFFFF"/>
        </w:rPr>
        <w:t> allow domestic transfers in extremely small amounts, even faster than a bank wire, and for lower (or no) fees</w:t>
      </w:r>
      <w:r w:rsidRPr="00E06907">
        <w:rPr>
          <w:rFonts w:ascii="Times New Roman" w:hAnsi="Times New Roman" w:cs="Times New Roman"/>
          <w:spacing w:val="1"/>
          <w:sz w:val="24"/>
          <w:szCs w:val="24"/>
          <w:shd w:val="clear" w:color="auto" w:fill="FFFFFF"/>
        </w:rPr>
        <w:t>.</w:t>
      </w:r>
    </w:p>
    <w:p w14:paraId="30DC8A19" w14:textId="5FC40142" w:rsidR="00AF7D2E" w:rsidRPr="00130A70" w:rsidRDefault="00AF7D2E" w:rsidP="00130A70">
      <w:pPr>
        <w:pStyle w:val="ListParagraph"/>
        <w:numPr>
          <w:ilvl w:val="0"/>
          <w:numId w:val="2"/>
        </w:numPr>
        <w:rPr>
          <w:rFonts w:ascii="Times New Roman" w:hAnsi="Times New Roman" w:cs="Times New Roman"/>
          <w:color w:val="2C415A"/>
          <w:sz w:val="24"/>
          <w:szCs w:val="24"/>
          <w:shd w:val="clear" w:color="auto" w:fill="FFFFFF"/>
        </w:rPr>
      </w:pPr>
      <w:r w:rsidRPr="00130A70">
        <w:rPr>
          <w:rFonts w:ascii="Times New Roman" w:hAnsi="Times New Roman" w:cs="Times New Roman"/>
          <w:color w:val="2C415A"/>
          <w:sz w:val="24"/>
          <w:szCs w:val="24"/>
          <w:shd w:val="clear" w:color="auto" w:fill="FFFFFF"/>
        </w:rPr>
        <w:t>Wire transfers are regulated under the </w:t>
      </w:r>
      <w:hyperlink r:id="rId13" w:tgtFrame="_blank" w:history="1">
        <w:r w:rsidRPr="00130A70">
          <w:rPr>
            <w:rStyle w:val="Hyperlink"/>
            <w:rFonts w:ascii="Times New Roman" w:hAnsi="Times New Roman" w:cs="Times New Roman"/>
            <w:b/>
            <w:bCs/>
            <w:color w:val="6FA0AF"/>
            <w:sz w:val="24"/>
            <w:szCs w:val="24"/>
            <w:shd w:val="clear" w:color="auto" w:fill="FFFFFF"/>
          </w:rPr>
          <w:t>Electronic Fund Transfer Act (EFTA)</w:t>
        </w:r>
      </w:hyperlink>
      <w:r w:rsidRPr="00130A70">
        <w:rPr>
          <w:rFonts w:ascii="Times New Roman" w:hAnsi="Times New Roman" w:cs="Times New Roman"/>
          <w:color w:val="2C415A"/>
          <w:sz w:val="24"/>
          <w:szCs w:val="24"/>
          <w:shd w:val="clear" w:color="auto" w:fill="FFFFFF"/>
        </w:rPr>
        <w:t>, which does not put a limit on the amount of money a person can transfer.</w:t>
      </w:r>
    </w:p>
    <w:p w14:paraId="1C85582A" w14:textId="4BB71D5C" w:rsidR="00AF7D2E" w:rsidRPr="00130A70" w:rsidRDefault="00AF7D2E" w:rsidP="00130A70">
      <w:pPr>
        <w:pStyle w:val="ListParagraph"/>
        <w:numPr>
          <w:ilvl w:val="0"/>
          <w:numId w:val="2"/>
        </w:numPr>
        <w:rPr>
          <w:rFonts w:ascii="Times New Roman" w:hAnsi="Times New Roman" w:cs="Times New Roman"/>
          <w:color w:val="2C415A"/>
          <w:sz w:val="24"/>
          <w:szCs w:val="24"/>
          <w:shd w:val="clear" w:color="auto" w:fill="FFFFFF"/>
        </w:rPr>
      </w:pPr>
      <w:r w:rsidRPr="00130A70">
        <w:rPr>
          <w:rFonts w:ascii="Times New Roman" w:hAnsi="Times New Roman" w:cs="Times New Roman"/>
          <w:color w:val="2C415A"/>
          <w:sz w:val="24"/>
          <w:szCs w:val="24"/>
          <w:shd w:val="clear" w:color="auto" w:fill="FFFFFF"/>
        </w:rPr>
        <w:t>The Bank Secrecy Act of 1970 requires U.S. financial institutions and businesses to report transactions over $10,000 to the Financial Crimes Enforcement Network (FinCEN). This is called a </w:t>
      </w:r>
      <w:hyperlink r:id="rId14" w:tgtFrame="_blank" w:history="1">
        <w:r w:rsidRPr="00130A70">
          <w:rPr>
            <w:rStyle w:val="Hyperlink"/>
            <w:rFonts w:ascii="Times New Roman" w:hAnsi="Times New Roman" w:cs="Times New Roman"/>
            <w:b/>
            <w:bCs/>
            <w:color w:val="6FA0AF"/>
            <w:sz w:val="24"/>
            <w:szCs w:val="24"/>
            <w:shd w:val="clear" w:color="auto" w:fill="FFFFFF"/>
          </w:rPr>
          <w:t>Currency Transaction Report</w:t>
        </w:r>
      </w:hyperlink>
      <w:r w:rsidRPr="00130A70">
        <w:rPr>
          <w:rFonts w:ascii="Times New Roman" w:hAnsi="Times New Roman" w:cs="Times New Roman"/>
          <w:color w:val="2C415A"/>
          <w:sz w:val="24"/>
          <w:szCs w:val="24"/>
          <w:shd w:val="clear" w:color="auto" w:fill="FFFFFF"/>
        </w:rPr>
        <w:t> (CTR). </w:t>
      </w:r>
    </w:p>
    <w:p w14:paraId="6B4F6837" w14:textId="6B8EE58D" w:rsidR="00AF7D2E" w:rsidRDefault="00AF7D2E" w:rsidP="00130A70">
      <w:pPr>
        <w:pStyle w:val="ListParagraph"/>
        <w:numPr>
          <w:ilvl w:val="0"/>
          <w:numId w:val="2"/>
        </w:numPr>
        <w:rPr>
          <w:rFonts w:ascii="Times New Roman" w:hAnsi="Times New Roman" w:cs="Times New Roman"/>
          <w:color w:val="2C415A"/>
          <w:sz w:val="24"/>
          <w:szCs w:val="24"/>
          <w:shd w:val="clear" w:color="auto" w:fill="FFFFFF"/>
        </w:rPr>
      </w:pPr>
      <w:r w:rsidRPr="00130A70">
        <w:rPr>
          <w:rFonts w:ascii="Times New Roman" w:hAnsi="Times New Roman" w:cs="Times New Roman"/>
          <w:color w:val="2C415A"/>
          <w:sz w:val="24"/>
          <w:szCs w:val="24"/>
          <w:shd w:val="clear" w:color="auto" w:fill="FFFFFF"/>
        </w:rPr>
        <w:t>The IRS determines </w:t>
      </w:r>
      <w:hyperlink r:id="rId15" w:tgtFrame="_blank" w:history="1">
        <w:r w:rsidRPr="00130A70">
          <w:rPr>
            <w:rStyle w:val="Hyperlink"/>
            <w:rFonts w:ascii="Times New Roman" w:hAnsi="Times New Roman" w:cs="Times New Roman"/>
            <w:b/>
            <w:bCs/>
            <w:color w:val="6FA0AF"/>
            <w:sz w:val="24"/>
            <w:szCs w:val="24"/>
            <w:shd w:val="clear" w:color="auto" w:fill="FFFFFF"/>
          </w:rPr>
          <w:t>an annual exclusion amount</w:t>
        </w:r>
      </w:hyperlink>
      <w:r w:rsidRPr="00130A70">
        <w:rPr>
          <w:rFonts w:ascii="Times New Roman" w:hAnsi="Times New Roman" w:cs="Times New Roman"/>
          <w:color w:val="2C415A"/>
          <w:sz w:val="24"/>
          <w:szCs w:val="24"/>
          <w:shd w:val="clear" w:color="auto" w:fill="FFFFFF"/>
        </w:rPr>
        <w:t> for each tax year. In 2022, that amount was $16,000, and in 2023, the amount is $17,000. This means that you can give money to a person up to that amount without paying gift tax.</w:t>
      </w:r>
    </w:p>
    <w:p w14:paraId="3F96E07F" w14:textId="3B38B967" w:rsidR="00E06907" w:rsidRPr="00E06907" w:rsidRDefault="00E06907" w:rsidP="00130A70">
      <w:pPr>
        <w:pStyle w:val="ListParagraph"/>
        <w:numPr>
          <w:ilvl w:val="0"/>
          <w:numId w:val="2"/>
        </w:numPr>
        <w:rPr>
          <w:rFonts w:ascii="Times New Roman" w:hAnsi="Times New Roman" w:cs="Times New Roman"/>
          <w:sz w:val="28"/>
          <w:szCs w:val="28"/>
          <w:shd w:val="clear" w:color="auto" w:fill="FFFFFF"/>
        </w:rPr>
      </w:pPr>
      <w:hyperlink r:id="rId16" w:history="1">
        <w:r w:rsidRPr="00E06907">
          <w:rPr>
            <w:rStyle w:val="Hyperlink"/>
            <w:rFonts w:ascii="Times New Roman" w:hAnsi="Times New Roman" w:cs="Times New Roman"/>
            <w:color w:val="auto"/>
            <w:sz w:val="24"/>
            <w:szCs w:val="24"/>
            <w:u w:val="none"/>
            <w:shd w:val="clear" w:color="auto" w:fill="FFFFFF"/>
          </w:rPr>
          <w:t>Wise</w:t>
        </w:r>
      </w:hyperlink>
      <w:r w:rsidRPr="00E06907">
        <w:rPr>
          <w:rFonts w:ascii="Times New Roman" w:hAnsi="Times New Roman" w:cs="Times New Roman"/>
          <w:sz w:val="24"/>
          <w:szCs w:val="24"/>
          <w:shd w:val="clear" w:color="auto" w:fill="FFFFFF"/>
        </w:rPr>
        <w:t> international payments use the mid-market exchange rate with no markup and no hidden fees. That can mean they’re </w:t>
      </w:r>
      <w:hyperlink r:id="rId17" w:history="1">
        <w:r w:rsidRPr="00E06907">
          <w:rPr>
            <w:rStyle w:val="Hyperlink"/>
            <w:rFonts w:ascii="Times New Roman" w:hAnsi="Times New Roman" w:cs="Times New Roman"/>
            <w:color w:val="auto"/>
            <w:sz w:val="24"/>
            <w:szCs w:val="24"/>
            <w:u w:val="none"/>
            <w:shd w:val="clear" w:color="auto" w:fill="FFFFFF"/>
          </w:rPr>
          <w:t>6x cheaper</w:t>
        </w:r>
      </w:hyperlink>
      <w:r w:rsidRPr="00E06907">
        <w:rPr>
          <w:rFonts w:ascii="Times New Roman" w:hAnsi="Times New Roman" w:cs="Times New Roman"/>
          <w:sz w:val="24"/>
          <w:szCs w:val="24"/>
          <w:shd w:val="clear" w:color="auto" w:fill="FFFFFF"/>
        </w:rPr>
        <w:t> than a regular bank.</w:t>
      </w:r>
    </w:p>
    <w:p w14:paraId="6555274E" w14:textId="09568593" w:rsidR="00E06907" w:rsidRPr="00E06907" w:rsidRDefault="00E06907" w:rsidP="00130A70">
      <w:pPr>
        <w:pStyle w:val="ListParagraph"/>
        <w:numPr>
          <w:ilvl w:val="0"/>
          <w:numId w:val="2"/>
        </w:numPr>
        <w:rPr>
          <w:rFonts w:ascii="Times New Roman" w:hAnsi="Times New Roman" w:cs="Times New Roman"/>
          <w:sz w:val="28"/>
          <w:szCs w:val="28"/>
          <w:shd w:val="clear" w:color="auto" w:fill="FFFFFF"/>
        </w:rPr>
      </w:pPr>
      <w:r w:rsidRPr="00E06907">
        <w:rPr>
          <w:rFonts w:ascii="Times New Roman" w:hAnsi="Times New Roman" w:cs="Times New Roman"/>
          <w:sz w:val="24"/>
          <w:szCs w:val="24"/>
          <w:shd w:val="clear" w:color="auto" w:fill="FFFFFF"/>
        </w:rPr>
        <w:lastRenderedPageBreak/>
        <w:t>Xoom is part of the PayPal family, and lets users send money around the world to bank accounts, for cash collection or delivery, to top up phone airtime, and to pay bills. </w:t>
      </w:r>
    </w:p>
    <w:p w14:paraId="3BC0F4E2" w14:textId="325318F7" w:rsidR="00E06907" w:rsidRPr="00E06907" w:rsidRDefault="00E06907" w:rsidP="00130A70">
      <w:pPr>
        <w:pStyle w:val="ListParagraph"/>
        <w:numPr>
          <w:ilvl w:val="0"/>
          <w:numId w:val="2"/>
        </w:numPr>
        <w:rPr>
          <w:rFonts w:ascii="Times New Roman" w:hAnsi="Times New Roman" w:cs="Times New Roman"/>
          <w:sz w:val="32"/>
          <w:szCs w:val="32"/>
          <w:shd w:val="clear" w:color="auto" w:fill="FFFFFF"/>
        </w:rPr>
      </w:pPr>
      <w:r w:rsidRPr="00E06907">
        <w:rPr>
          <w:rFonts w:ascii="Times New Roman" w:hAnsi="Times New Roman" w:cs="Times New Roman"/>
          <w:sz w:val="24"/>
          <w:szCs w:val="24"/>
          <w:shd w:val="clear" w:color="auto" w:fill="FFFFFF"/>
        </w:rPr>
        <w:t>the share of Americans who used a wire transfer service as of 2018, by age</w:t>
      </w:r>
      <w:r w:rsidRPr="00E06907">
        <w:rPr>
          <w:rFonts w:ascii="Times New Roman" w:hAnsi="Times New Roman" w:cs="Times New Roman"/>
          <w:sz w:val="24"/>
          <w:szCs w:val="24"/>
          <w:shd w:val="clear" w:color="auto" w:fill="FFFFFF"/>
        </w:rPr>
        <w:t xml:space="preserve"> is that 18-29 years (13.97%), 30-49 years (16.63%), 50-64 year (7.24%)</w:t>
      </w:r>
    </w:p>
    <w:tbl>
      <w:tblPr>
        <w:tblW w:w="6540" w:type="dxa"/>
        <w:jc w:val="center"/>
        <w:tblLook w:val="04A0" w:firstRow="1" w:lastRow="0" w:firstColumn="1" w:lastColumn="0" w:noHBand="0" w:noVBand="1"/>
      </w:tblPr>
      <w:tblGrid>
        <w:gridCol w:w="682"/>
        <w:gridCol w:w="1384"/>
        <w:gridCol w:w="1072"/>
        <w:gridCol w:w="1098"/>
        <w:gridCol w:w="1006"/>
        <w:gridCol w:w="1076"/>
        <w:gridCol w:w="222"/>
      </w:tblGrid>
      <w:tr w:rsidR="00E06907" w:rsidRPr="00130A70" w14:paraId="67D66ED1" w14:textId="77777777" w:rsidTr="00E06907">
        <w:trPr>
          <w:gridAfter w:val="1"/>
          <w:wAfter w:w="36" w:type="dxa"/>
          <w:trHeight w:val="1728"/>
          <w:jc w:val="center"/>
        </w:trPr>
        <w:tc>
          <w:tcPr>
            <w:tcW w:w="948"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36DB1DA7"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r w:rsidRPr="00130A70">
              <w:rPr>
                <w:rFonts w:ascii="Arial" w:eastAsia="Times New Roman" w:hAnsi="Arial" w:cs="Arial"/>
                <w:b/>
                <w:bCs/>
                <w:color w:val="FFFFFF"/>
                <w:kern w:val="0"/>
                <w:sz w:val="20"/>
                <w:szCs w:val="20"/>
                <w:lang w:eastAsia="en-IN"/>
                <w14:ligatures w14:val="none"/>
              </w:rPr>
              <w:t>Year</w:t>
            </w:r>
          </w:p>
        </w:tc>
        <w:tc>
          <w:tcPr>
            <w:tcW w:w="1258"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0F0D66BD" w14:textId="77777777" w:rsidR="00130A70" w:rsidRPr="00130A70" w:rsidRDefault="00130A70" w:rsidP="00130A70">
            <w:pPr>
              <w:spacing w:after="0" w:line="240" w:lineRule="auto"/>
              <w:jc w:val="center"/>
              <w:rPr>
                <w:rFonts w:ascii="Arial" w:eastAsia="Times New Roman" w:hAnsi="Arial" w:cs="Arial"/>
                <w:b/>
                <w:bCs/>
                <w:color w:val="FFFFFF"/>
                <w:kern w:val="0"/>
                <w:sz w:val="20"/>
                <w:szCs w:val="20"/>
                <w:lang w:eastAsia="en-IN"/>
                <w14:ligatures w14:val="none"/>
              </w:rPr>
            </w:pPr>
            <w:r w:rsidRPr="00130A70">
              <w:rPr>
                <w:rFonts w:ascii="Arial" w:eastAsia="Times New Roman" w:hAnsi="Arial" w:cs="Arial"/>
                <w:b/>
                <w:bCs/>
                <w:color w:val="FFFFFF"/>
                <w:kern w:val="0"/>
                <w:sz w:val="20"/>
                <w:szCs w:val="20"/>
                <w:lang w:eastAsia="en-IN"/>
                <w14:ligatures w14:val="none"/>
              </w:rPr>
              <w:t>Transfers originated (millions)</w:t>
            </w:r>
          </w:p>
        </w:tc>
        <w:tc>
          <w:tcPr>
            <w:tcW w:w="958"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102B16B0" w14:textId="77777777" w:rsidR="00130A70" w:rsidRPr="00130A70" w:rsidRDefault="00130A70" w:rsidP="00130A70">
            <w:pPr>
              <w:spacing w:after="0" w:line="240" w:lineRule="auto"/>
              <w:jc w:val="center"/>
              <w:rPr>
                <w:rFonts w:ascii="Arial" w:eastAsia="Times New Roman" w:hAnsi="Arial" w:cs="Arial"/>
                <w:b/>
                <w:bCs/>
                <w:color w:val="FFFFFF"/>
                <w:kern w:val="0"/>
                <w:sz w:val="20"/>
                <w:szCs w:val="20"/>
                <w:lang w:eastAsia="en-IN"/>
                <w14:ligatures w14:val="none"/>
              </w:rPr>
            </w:pPr>
            <w:r w:rsidRPr="00130A70">
              <w:rPr>
                <w:rFonts w:ascii="Arial" w:eastAsia="Times New Roman" w:hAnsi="Arial" w:cs="Arial"/>
                <w:b/>
                <w:bCs/>
                <w:color w:val="FFFFFF"/>
                <w:kern w:val="0"/>
                <w:sz w:val="20"/>
                <w:szCs w:val="20"/>
                <w:lang w:eastAsia="en-IN"/>
                <w14:ligatures w14:val="none"/>
              </w:rPr>
              <w:t>Annual volume growth (percent)</w:t>
            </w:r>
          </w:p>
        </w:tc>
        <w:tc>
          <w:tcPr>
            <w:tcW w:w="1426"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60120FFD" w14:textId="77777777" w:rsidR="00130A70" w:rsidRPr="00130A70" w:rsidRDefault="00130A70" w:rsidP="00130A70">
            <w:pPr>
              <w:spacing w:after="0" w:line="240" w:lineRule="auto"/>
              <w:jc w:val="center"/>
              <w:rPr>
                <w:rFonts w:ascii="Arial" w:eastAsia="Times New Roman" w:hAnsi="Arial" w:cs="Arial"/>
                <w:b/>
                <w:bCs/>
                <w:color w:val="FFFFFF"/>
                <w:kern w:val="0"/>
                <w:sz w:val="20"/>
                <w:szCs w:val="20"/>
                <w:lang w:eastAsia="en-IN"/>
                <w14:ligatures w14:val="none"/>
              </w:rPr>
            </w:pPr>
            <w:r w:rsidRPr="00130A70">
              <w:rPr>
                <w:rFonts w:ascii="Arial" w:eastAsia="Times New Roman" w:hAnsi="Arial" w:cs="Arial"/>
                <w:b/>
                <w:bCs/>
                <w:color w:val="FFFFFF"/>
                <w:kern w:val="0"/>
                <w:sz w:val="20"/>
                <w:szCs w:val="20"/>
                <w:lang w:eastAsia="en-IN"/>
                <w14:ligatures w14:val="none"/>
              </w:rPr>
              <w:t>Annual value growth (percent)</w:t>
            </w:r>
          </w:p>
        </w:tc>
        <w:tc>
          <w:tcPr>
            <w:tcW w:w="956"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2FFC43A3" w14:textId="77777777" w:rsidR="00130A70" w:rsidRPr="00130A70" w:rsidRDefault="00130A70" w:rsidP="00130A70">
            <w:pPr>
              <w:spacing w:after="0" w:line="240" w:lineRule="auto"/>
              <w:jc w:val="center"/>
              <w:rPr>
                <w:rFonts w:ascii="Arial" w:eastAsia="Times New Roman" w:hAnsi="Arial" w:cs="Arial"/>
                <w:b/>
                <w:bCs/>
                <w:color w:val="FFFFFF"/>
                <w:kern w:val="0"/>
                <w:sz w:val="20"/>
                <w:szCs w:val="20"/>
                <w:lang w:eastAsia="en-IN"/>
                <w14:ligatures w14:val="none"/>
              </w:rPr>
            </w:pPr>
            <w:r w:rsidRPr="00130A70">
              <w:rPr>
                <w:rFonts w:ascii="Arial" w:eastAsia="Times New Roman" w:hAnsi="Arial" w:cs="Arial"/>
                <w:b/>
                <w:bCs/>
                <w:color w:val="FFFFFF"/>
                <w:kern w:val="0"/>
                <w:sz w:val="20"/>
                <w:szCs w:val="20"/>
                <w:lang w:eastAsia="en-IN"/>
                <w14:ligatures w14:val="none"/>
              </w:rPr>
              <w:t>Average value per transfer</w:t>
            </w:r>
          </w:p>
        </w:tc>
        <w:tc>
          <w:tcPr>
            <w:tcW w:w="958" w:type="dxa"/>
            <w:vMerge w:val="restart"/>
            <w:tcBorders>
              <w:top w:val="single" w:sz="4" w:space="0" w:color="auto"/>
              <w:left w:val="single" w:sz="4" w:space="0" w:color="auto"/>
              <w:bottom w:val="single" w:sz="4" w:space="0" w:color="000000"/>
              <w:right w:val="single" w:sz="4" w:space="0" w:color="auto"/>
            </w:tcBorders>
            <w:shd w:val="clear" w:color="000000" w:fill="0066CC"/>
            <w:vAlign w:val="bottom"/>
            <w:hideMark/>
          </w:tcPr>
          <w:p w14:paraId="7BBB9F2D" w14:textId="77777777" w:rsidR="00130A70" w:rsidRPr="00130A70" w:rsidRDefault="00130A70" w:rsidP="00130A70">
            <w:pPr>
              <w:spacing w:after="0" w:line="240" w:lineRule="auto"/>
              <w:jc w:val="center"/>
              <w:rPr>
                <w:rFonts w:ascii="Calibri" w:eastAsia="Times New Roman" w:hAnsi="Calibri" w:cs="Calibri"/>
                <w:b/>
                <w:bCs/>
                <w:color w:val="FFFFFF"/>
                <w:kern w:val="0"/>
                <w:lang w:eastAsia="en-IN"/>
                <w14:ligatures w14:val="none"/>
              </w:rPr>
            </w:pPr>
            <w:r w:rsidRPr="00130A70">
              <w:rPr>
                <w:rFonts w:ascii="Calibri" w:eastAsia="Times New Roman" w:hAnsi="Calibri" w:cs="Calibri"/>
                <w:b/>
                <w:bCs/>
                <w:color w:val="FFFFFF"/>
                <w:kern w:val="0"/>
                <w:lang w:eastAsia="en-IN"/>
                <w14:ligatures w14:val="none"/>
              </w:rPr>
              <w:t>Average daily volume of Transfers (number)</w:t>
            </w:r>
          </w:p>
        </w:tc>
      </w:tr>
      <w:tr w:rsidR="00130A70" w:rsidRPr="00130A70" w14:paraId="39CB24B8" w14:textId="77777777" w:rsidTr="00E06907">
        <w:trPr>
          <w:trHeight w:val="288"/>
          <w:jc w:val="center"/>
        </w:trPr>
        <w:tc>
          <w:tcPr>
            <w:tcW w:w="948" w:type="dxa"/>
            <w:vMerge/>
            <w:tcBorders>
              <w:top w:val="single" w:sz="4" w:space="0" w:color="auto"/>
              <w:left w:val="single" w:sz="4" w:space="0" w:color="auto"/>
              <w:bottom w:val="single" w:sz="4" w:space="0" w:color="000000"/>
              <w:right w:val="single" w:sz="4" w:space="0" w:color="auto"/>
            </w:tcBorders>
            <w:vAlign w:val="center"/>
            <w:hideMark/>
          </w:tcPr>
          <w:p w14:paraId="2866304D"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p>
        </w:tc>
        <w:tc>
          <w:tcPr>
            <w:tcW w:w="1258" w:type="dxa"/>
            <w:vMerge/>
            <w:tcBorders>
              <w:top w:val="single" w:sz="4" w:space="0" w:color="auto"/>
              <w:left w:val="single" w:sz="4" w:space="0" w:color="auto"/>
              <w:bottom w:val="single" w:sz="4" w:space="0" w:color="000000"/>
              <w:right w:val="single" w:sz="4" w:space="0" w:color="auto"/>
            </w:tcBorders>
            <w:vAlign w:val="center"/>
            <w:hideMark/>
          </w:tcPr>
          <w:p w14:paraId="7357D4C8"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p>
        </w:tc>
        <w:tc>
          <w:tcPr>
            <w:tcW w:w="958" w:type="dxa"/>
            <w:vMerge/>
            <w:tcBorders>
              <w:top w:val="single" w:sz="4" w:space="0" w:color="auto"/>
              <w:left w:val="single" w:sz="4" w:space="0" w:color="auto"/>
              <w:bottom w:val="single" w:sz="4" w:space="0" w:color="000000"/>
              <w:right w:val="single" w:sz="4" w:space="0" w:color="auto"/>
            </w:tcBorders>
            <w:vAlign w:val="center"/>
            <w:hideMark/>
          </w:tcPr>
          <w:p w14:paraId="0B8B028E"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p>
        </w:tc>
        <w:tc>
          <w:tcPr>
            <w:tcW w:w="1426" w:type="dxa"/>
            <w:vMerge/>
            <w:tcBorders>
              <w:top w:val="single" w:sz="4" w:space="0" w:color="auto"/>
              <w:left w:val="single" w:sz="4" w:space="0" w:color="auto"/>
              <w:bottom w:val="single" w:sz="4" w:space="0" w:color="000000"/>
              <w:right w:val="single" w:sz="4" w:space="0" w:color="auto"/>
            </w:tcBorders>
            <w:vAlign w:val="center"/>
            <w:hideMark/>
          </w:tcPr>
          <w:p w14:paraId="6EEDCBD6"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p>
        </w:tc>
        <w:tc>
          <w:tcPr>
            <w:tcW w:w="956" w:type="dxa"/>
            <w:vMerge/>
            <w:tcBorders>
              <w:top w:val="single" w:sz="4" w:space="0" w:color="auto"/>
              <w:left w:val="single" w:sz="4" w:space="0" w:color="auto"/>
              <w:bottom w:val="single" w:sz="4" w:space="0" w:color="000000"/>
              <w:right w:val="single" w:sz="4" w:space="0" w:color="auto"/>
            </w:tcBorders>
            <w:vAlign w:val="center"/>
            <w:hideMark/>
          </w:tcPr>
          <w:p w14:paraId="33B1D12C" w14:textId="77777777" w:rsidR="00130A70" w:rsidRPr="00130A70" w:rsidRDefault="00130A70" w:rsidP="00130A70">
            <w:pPr>
              <w:spacing w:after="0" w:line="240" w:lineRule="auto"/>
              <w:rPr>
                <w:rFonts w:ascii="Arial" w:eastAsia="Times New Roman" w:hAnsi="Arial" w:cs="Arial"/>
                <w:b/>
                <w:bCs/>
                <w:color w:val="FFFFFF"/>
                <w:kern w:val="0"/>
                <w:sz w:val="20"/>
                <w:szCs w:val="20"/>
                <w:lang w:eastAsia="en-IN"/>
                <w14:ligatures w14:val="none"/>
              </w:rPr>
            </w:pPr>
          </w:p>
        </w:tc>
        <w:tc>
          <w:tcPr>
            <w:tcW w:w="958" w:type="dxa"/>
            <w:vMerge/>
            <w:tcBorders>
              <w:top w:val="single" w:sz="4" w:space="0" w:color="auto"/>
              <w:left w:val="single" w:sz="4" w:space="0" w:color="auto"/>
              <w:bottom w:val="single" w:sz="4" w:space="0" w:color="000000"/>
              <w:right w:val="single" w:sz="4" w:space="0" w:color="auto"/>
            </w:tcBorders>
            <w:vAlign w:val="center"/>
            <w:hideMark/>
          </w:tcPr>
          <w:p w14:paraId="47B24559" w14:textId="77777777" w:rsidR="00130A70" w:rsidRPr="00130A70" w:rsidRDefault="00130A70" w:rsidP="00130A70">
            <w:pPr>
              <w:spacing w:after="0" w:line="240" w:lineRule="auto"/>
              <w:rPr>
                <w:rFonts w:ascii="Calibri" w:eastAsia="Times New Roman" w:hAnsi="Calibri" w:cs="Calibri"/>
                <w:b/>
                <w:bCs/>
                <w:color w:val="FFFFFF"/>
                <w:kern w:val="0"/>
                <w:lang w:eastAsia="en-IN"/>
                <w14:ligatures w14:val="none"/>
              </w:rPr>
            </w:pPr>
          </w:p>
        </w:tc>
        <w:tc>
          <w:tcPr>
            <w:tcW w:w="36" w:type="dxa"/>
            <w:tcBorders>
              <w:top w:val="nil"/>
              <w:left w:val="nil"/>
              <w:bottom w:val="nil"/>
              <w:right w:val="nil"/>
            </w:tcBorders>
            <w:shd w:val="clear" w:color="auto" w:fill="auto"/>
            <w:noWrap/>
            <w:vAlign w:val="bottom"/>
            <w:hideMark/>
          </w:tcPr>
          <w:p w14:paraId="1D1B424C" w14:textId="77777777" w:rsidR="00130A70" w:rsidRPr="00130A70" w:rsidRDefault="00130A70" w:rsidP="00130A70">
            <w:pPr>
              <w:spacing w:after="0" w:line="240" w:lineRule="auto"/>
              <w:jc w:val="center"/>
              <w:rPr>
                <w:rFonts w:ascii="Calibri" w:eastAsia="Times New Roman" w:hAnsi="Calibri" w:cs="Calibri"/>
                <w:b/>
                <w:bCs/>
                <w:color w:val="FFFFFF"/>
                <w:kern w:val="0"/>
                <w:lang w:eastAsia="en-IN"/>
                <w14:ligatures w14:val="none"/>
              </w:rPr>
            </w:pPr>
          </w:p>
        </w:tc>
      </w:tr>
      <w:tr w:rsidR="00130A70" w:rsidRPr="00130A70" w14:paraId="26E4424B"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414C68C8"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2023</w:t>
            </w:r>
          </w:p>
        </w:tc>
        <w:tc>
          <w:tcPr>
            <w:tcW w:w="1258" w:type="dxa"/>
            <w:tcBorders>
              <w:top w:val="nil"/>
              <w:left w:val="nil"/>
              <w:bottom w:val="single" w:sz="4" w:space="0" w:color="auto"/>
              <w:right w:val="single" w:sz="4" w:space="0" w:color="auto"/>
            </w:tcBorders>
            <w:shd w:val="clear" w:color="000000" w:fill="FFFFFF"/>
            <w:hideMark/>
          </w:tcPr>
          <w:p w14:paraId="2B5C9481"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19,33,16,782</w:t>
            </w:r>
          </w:p>
        </w:tc>
        <w:tc>
          <w:tcPr>
            <w:tcW w:w="958" w:type="dxa"/>
            <w:tcBorders>
              <w:top w:val="nil"/>
              <w:left w:val="nil"/>
              <w:bottom w:val="single" w:sz="4" w:space="0" w:color="auto"/>
              <w:right w:val="single" w:sz="4" w:space="0" w:color="auto"/>
            </w:tcBorders>
            <w:shd w:val="clear" w:color="000000" w:fill="FFFFFF"/>
            <w:hideMark/>
          </w:tcPr>
          <w:p w14:paraId="19B9D628"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-1.4</w:t>
            </w:r>
          </w:p>
        </w:tc>
        <w:tc>
          <w:tcPr>
            <w:tcW w:w="1426" w:type="dxa"/>
            <w:tcBorders>
              <w:top w:val="nil"/>
              <w:left w:val="nil"/>
              <w:bottom w:val="single" w:sz="4" w:space="0" w:color="auto"/>
              <w:right w:val="single" w:sz="4" w:space="0" w:color="auto"/>
            </w:tcBorders>
            <w:shd w:val="clear" w:color="000000" w:fill="FFFFFF"/>
            <w:hideMark/>
          </w:tcPr>
          <w:p w14:paraId="09598657"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2.5</w:t>
            </w:r>
          </w:p>
        </w:tc>
        <w:tc>
          <w:tcPr>
            <w:tcW w:w="956" w:type="dxa"/>
            <w:tcBorders>
              <w:top w:val="nil"/>
              <w:left w:val="nil"/>
              <w:bottom w:val="single" w:sz="4" w:space="0" w:color="auto"/>
              <w:right w:val="single" w:sz="4" w:space="0" w:color="auto"/>
            </w:tcBorders>
            <w:shd w:val="clear" w:color="000000" w:fill="FFFFFF"/>
            <w:hideMark/>
          </w:tcPr>
          <w:p w14:paraId="4A8367D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5.62</w:t>
            </w:r>
          </w:p>
        </w:tc>
        <w:tc>
          <w:tcPr>
            <w:tcW w:w="958" w:type="dxa"/>
            <w:tcBorders>
              <w:top w:val="nil"/>
              <w:left w:val="nil"/>
              <w:bottom w:val="single" w:sz="4" w:space="0" w:color="auto"/>
              <w:right w:val="single" w:sz="4" w:space="0" w:color="auto"/>
            </w:tcBorders>
            <w:shd w:val="clear" w:color="000000" w:fill="FFFFFF"/>
            <w:hideMark/>
          </w:tcPr>
          <w:p w14:paraId="2E343BDD"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7,73,267</w:t>
            </w:r>
          </w:p>
        </w:tc>
        <w:tc>
          <w:tcPr>
            <w:tcW w:w="36" w:type="dxa"/>
            <w:vAlign w:val="center"/>
            <w:hideMark/>
          </w:tcPr>
          <w:p w14:paraId="24E95811"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0B6973F3"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1DD000FA"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2022</w:t>
            </w:r>
          </w:p>
        </w:tc>
        <w:tc>
          <w:tcPr>
            <w:tcW w:w="1258" w:type="dxa"/>
            <w:tcBorders>
              <w:top w:val="nil"/>
              <w:left w:val="nil"/>
              <w:bottom w:val="single" w:sz="4" w:space="0" w:color="auto"/>
              <w:right w:val="single" w:sz="4" w:space="0" w:color="auto"/>
            </w:tcBorders>
            <w:shd w:val="clear" w:color="000000" w:fill="F9F9F9"/>
            <w:hideMark/>
          </w:tcPr>
          <w:p w14:paraId="4FC24678"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19,60,52,238</w:t>
            </w:r>
          </w:p>
        </w:tc>
        <w:tc>
          <w:tcPr>
            <w:tcW w:w="958" w:type="dxa"/>
            <w:tcBorders>
              <w:top w:val="nil"/>
              <w:left w:val="nil"/>
              <w:bottom w:val="single" w:sz="4" w:space="0" w:color="auto"/>
              <w:right w:val="single" w:sz="4" w:space="0" w:color="auto"/>
            </w:tcBorders>
            <w:shd w:val="clear" w:color="000000" w:fill="F9F9F9"/>
            <w:hideMark/>
          </w:tcPr>
          <w:p w14:paraId="6B1646A7"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-4.1</w:t>
            </w:r>
          </w:p>
        </w:tc>
        <w:tc>
          <w:tcPr>
            <w:tcW w:w="1426" w:type="dxa"/>
            <w:tcBorders>
              <w:top w:val="nil"/>
              <w:left w:val="nil"/>
              <w:bottom w:val="single" w:sz="4" w:space="0" w:color="auto"/>
              <w:right w:val="single" w:sz="4" w:space="0" w:color="auto"/>
            </w:tcBorders>
            <w:shd w:val="clear" w:color="000000" w:fill="F9F9F9"/>
            <w:hideMark/>
          </w:tcPr>
          <w:p w14:paraId="50A1656F"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6.9</w:t>
            </w:r>
          </w:p>
        </w:tc>
        <w:tc>
          <w:tcPr>
            <w:tcW w:w="956" w:type="dxa"/>
            <w:tcBorders>
              <w:top w:val="nil"/>
              <w:left w:val="nil"/>
              <w:bottom w:val="single" w:sz="4" w:space="0" w:color="auto"/>
              <w:right w:val="single" w:sz="4" w:space="0" w:color="auto"/>
            </w:tcBorders>
            <w:shd w:val="clear" w:color="000000" w:fill="F9F9F9"/>
            <w:hideMark/>
          </w:tcPr>
          <w:p w14:paraId="5ABD3B66"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5.41</w:t>
            </w:r>
          </w:p>
        </w:tc>
        <w:tc>
          <w:tcPr>
            <w:tcW w:w="958" w:type="dxa"/>
            <w:tcBorders>
              <w:top w:val="nil"/>
              <w:left w:val="nil"/>
              <w:bottom w:val="single" w:sz="4" w:space="0" w:color="auto"/>
              <w:right w:val="single" w:sz="4" w:space="0" w:color="auto"/>
            </w:tcBorders>
            <w:shd w:val="clear" w:color="000000" w:fill="F9F9F9"/>
            <w:hideMark/>
          </w:tcPr>
          <w:p w14:paraId="289C9D5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7,84,209</w:t>
            </w:r>
          </w:p>
        </w:tc>
        <w:tc>
          <w:tcPr>
            <w:tcW w:w="36" w:type="dxa"/>
            <w:vAlign w:val="center"/>
            <w:hideMark/>
          </w:tcPr>
          <w:p w14:paraId="1B4D9C14"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63FFB2B3"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6791EC18"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2021</w:t>
            </w:r>
          </w:p>
        </w:tc>
        <w:tc>
          <w:tcPr>
            <w:tcW w:w="1258" w:type="dxa"/>
            <w:tcBorders>
              <w:top w:val="nil"/>
              <w:left w:val="nil"/>
              <w:bottom w:val="single" w:sz="4" w:space="0" w:color="auto"/>
              <w:right w:val="single" w:sz="4" w:space="0" w:color="auto"/>
            </w:tcBorders>
            <w:shd w:val="clear" w:color="000000" w:fill="FFFFFF"/>
            <w:hideMark/>
          </w:tcPr>
          <w:p w14:paraId="641B451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20,44,90,893</w:t>
            </w:r>
          </w:p>
        </w:tc>
        <w:tc>
          <w:tcPr>
            <w:tcW w:w="958" w:type="dxa"/>
            <w:tcBorders>
              <w:top w:val="nil"/>
              <w:left w:val="nil"/>
              <w:bottom w:val="single" w:sz="4" w:space="0" w:color="auto"/>
              <w:right w:val="single" w:sz="4" w:space="0" w:color="auto"/>
            </w:tcBorders>
            <w:shd w:val="clear" w:color="000000" w:fill="FFFFFF"/>
            <w:hideMark/>
          </w:tcPr>
          <w:p w14:paraId="05372EB3"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11.1</w:t>
            </w:r>
          </w:p>
        </w:tc>
        <w:tc>
          <w:tcPr>
            <w:tcW w:w="1426" w:type="dxa"/>
            <w:tcBorders>
              <w:top w:val="nil"/>
              <w:left w:val="nil"/>
              <w:bottom w:val="single" w:sz="4" w:space="0" w:color="auto"/>
              <w:right w:val="single" w:sz="4" w:space="0" w:color="auto"/>
            </w:tcBorders>
            <w:shd w:val="clear" w:color="000000" w:fill="FFFFFF"/>
            <w:hideMark/>
          </w:tcPr>
          <w:p w14:paraId="31072F3E"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18</w:t>
            </w:r>
          </w:p>
        </w:tc>
        <w:tc>
          <w:tcPr>
            <w:tcW w:w="956" w:type="dxa"/>
            <w:tcBorders>
              <w:top w:val="nil"/>
              <w:left w:val="nil"/>
              <w:bottom w:val="single" w:sz="4" w:space="0" w:color="auto"/>
              <w:right w:val="single" w:sz="4" w:space="0" w:color="auto"/>
            </w:tcBorders>
            <w:shd w:val="clear" w:color="000000" w:fill="FFFFFF"/>
            <w:hideMark/>
          </w:tcPr>
          <w:p w14:paraId="7BAC296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4.85</w:t>
            </w:r>
          </w:p>
        </w:tc>
        <w:tc>
          <w:tcPr>
            <w:tcW w:w="958" w:type="dxa"/>
            <w:tcBorders>
              <w:top w:val="nil"/>
              <w:left w:val="nil"/>
              <w:bottom w:val="single" w:sz="4" w:space="0" w:color="auto"/>
              <w:right w:val="single" w:sz="4" w:space="0" w:color="auto"/>
            </w:tcBorders>
            <w:shd w:val="clear" w:color="000000" w:fill="FFFFFF"/>
            <w:hideMark/>
          </w:tcPr>
          <w:p w14:paraId="16BE1484"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8,11,472</w:t>
            </w:r>
          </w:p>
        </w:tc>
        <w:tc>
          <w:tcPr>
            <w:tcW w:w="36" w:type="dxa"/>
            <w:vAlign w:val="center"/>
            <w:hideMark/>
          </w:tcPr>
          <w:p w14:paraId="1525BE3C"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7E542D25"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637771FD"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2020</w:t>
            </w:r>
          </w:p>
        </w:tc>
        <w:tc>
          <w:tcPr>
            <w:tcW w:w="1258" w:type="dxa"/>
            <w:tcBorders>
              <w:top w:val="nil"/>
              <w:left w:val="nil"/>
              <w:bottom w:val="single" w:sz="4" w:space="0" w:color="auto"/>
              <w:right w:val="single" w:sz="4" w:space="0" w:color="auto"/>
            </w:tcBorders>
            <w:shd w:val="clear" w:color="000000" w:fill="F9F9F9"/>
            <w:hideMark/>
          </w:tcPr>
          <w:p w14:paraId="785CE580"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18,40,10,202</w:t>
            </w:r>
          </w:p>
        </w:tc>
        <w:tc>
          <w:tcPr>
            <w:tcW w:w="958" w:type="dxa"/>
            <w:tcBorders>
              <w:top w:val="nil"/>
              <w:left w:val="nil"/>
              <w:bottom w:val="single" w:sz="4" w:space="0" w:color="auto"/>
              <w:right w:val="single" w:sz="4" w:space="0" w:color="auto"/>
            </w:tcBorders>
            <w:shd w:val="clear" w:color="000000" w:fill="F9F9F9"/>
            <w:hideMark/>
          </w:tcPr>
          <w:p w14:paraId="1EDD639A"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9.8</w:t>
            </w:r>
          </w:p>
        </w:tc>
        <w:tc>
          <w:tcPr>
            <w:tcW w:w="1426" w:type="dxa"/>
            <w:tcBorders>
              <w:top w:val="nil"/>
              <w:left w:val="nil"/>
              <w:bottom w:val="single" w:sz="4" w:space="0" w:color="auto"/>
              <w:right w:val="single" w:sz="4" w:space="0" w:color="auto"/>
            </w:tcBorders>
            <w:shd w:val="clear" w:color="000000" w:fill="F9F9F9"/>
            <w:hideMark/>
          </w:tcPr>
          <w:p w14:paraId="2E42C76A"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20.8</w:t>
            </w:r>
          </w:p>
        </w:tc>
        <w:tc>
          <w:tcPr>
            <w:tcW w:w="956" w:type="dxa"/>
            <w:tcBorders>
              <w:top w:val="nil"/>
              <w:left w:val="nil"/>
              <w:bottom w:val="single" w:sz="4" w:space="0" w:color="auto"/>
              <w:right w:val="single" w:sz="4" w:space="0" w:color="auto"/>
            </w:tcBorders>
            <w:shd w:val="clear" w:color="000000" w:fill="F9F9F9"/>
            <w:hideMark/>
          </w:tcPr>
          <w:p w14:paraId="52E8F763"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4.57</w:t>
            </w:r>
          </w:p>
        </w:tc>
        <w:tc>
          <w:tcPr>
            <w:tcW w:w="958" w:type="dxa"/>
            <w:tcBorders>
              <w:top w:val="nil"/>
              <w:left w:val="nil"/>
              <w:bottom w:val="single" w:sz="4" w:space="0" w:color="auto"/>
              <w:right w:val="single" w:sz="4" w:space="0" w:color="auto"/>
            </w:tcBorders>
            <w:shd w:val="clear" w:color="000000" w:fill="F9F9F9"/>
            <w:hideMark/>
          </w:tcPr>
          <w:p w14:paraId="4E676E8D"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7,27,313</w:t>
            </w:r>
          </w:p>
        </w:tc>
        <w:tc>
          <w:tcPr>
            <w:tcW w:w="36" w:type="dxa"/>
            <w:vAlign w:val="center"/>
            <w:hideMark/>
          </w:tcPr>
          <w:p w14:paraId="7108EC0A"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00981F84"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7E54EBD5"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2019</w:t>
            </w:r>
          </w:p>
        </w:tc>
        <w:tc>
          <w:tcPr>
            <w:tcW w:w="1258" w:type="dxa"/>
            <w:tcBorders>
              <w:top w:val="nil"/>
              <w:left w:val="nil"/>
              <w:bottom w:val="single" w:sz="4" w:space="0" w:color="auto"/>
              <w:right w:val="single" w:sz="4" w:space="0" w:color="auto"/>
            </w:tcBorders>
            <w:shd w:val="clear" w:color="000000" w:fill="FFFFFF"/>
            <w:hideMark/>
          </w:tcPr>
          <w:p w14:paraId="1AE85347"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16,76,50,062</w:t>
            </w:r>
          </w:p>
        </w:tc>
        <w:tc>
          <w:tcPr>
            <w:tcW w:w="958" w:type="dxa"/>
            <w:tcBorders>
              <w:top w:val="nil"/>
              <w:left w:val="nil"/>
              <w:bottom w:val="single" w:sz="4" w:space="0" w:color="auto"/>
              <w:right w:val="single" w:sz="4" w:space="0" w:color="auto"/>
            </w:tcBorders>
            <w:shd w:val="clear" w:color="000000" w:fill="FFFFFF"/>
            <w:hideMark/>
          </w:tcPr>
          <w:p w14:paraId="5DCF78DF"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5.8</w:t>
            </w:r>
          </w:p>
        </w:tc>
        <w:tc>
          <w:tcPr>
            <w:tcW w:w="1426" w:type="dxa"/>
            <w:tcBorders>
              <w:top w:val="nil"/>
              <w:left w:val="nil"/>
              <w:bottom w:val="single" w:sz="4" w:space="0" w:color="auto"/>
              <w:right w:val="single" w:sz="4" w:space="0" w:color="auto"/>
            </w:tcBorders>
            <w:shd w:val="clear" w:color="000000" w:fill="FFFFFF"/>
            <w:hideMark/>
          </w:tcPr>
          <w:p w14:paraId="7B5CF80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-2.8</w:t>
            </w:r>
          </w:p>
        </w:tc>
        <w:tc>
          <w:tcPr>
            <w:tcW w:w="956" w:type="dxa"/>
            <w:tcBorders>
              <w:top w:val="nil"/>
              <w:left w:val="nil"/>
              <w:bottom w:val="single" w:sz="4" w:space="0" w:color="auto"/>
              <w:right w:val="single" w:sz="4" w:space="0" w:color="auto"/>
            </w:tcBorders>
            <w:shd w:val="clear" w:color="000000" w:fill="FFFFFF"/>
            <w:hideMark/>
          </w:tcPr>
          <w:p w14:paraId="38A4D9E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4.15</w:t>
            </w:r>
          </w:p>
        </w:tc>
        <w:tc>
          <w:tcPr>
            <w:tcW w:w="958" w:type="dxa"/>
            <w:tcBorders>
              <w:top w:val="nil"/>
              <w:left w:val="nil"/>
              <w:bottom w:val="single" w:sz="4" w:space="0" w:color="auto"/>
              <w:right w:val="single" w:sz="4" w:space="0" w:color="auto"/>
            </w:tcBorders>
            <w:shd w:val="clear" w:color="000000" w:fill="FFFFFF"/>
            <w:hideMark/>
          </w:tcPr>
          <w:p w14:paraId="27490C6D"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6,67,929</w:t>
            </w:r>
          </w:p>
        </w:tc>
        <w:tc>
          <w:tcPr>
            <w:tcW w:w="36" w:type="dxa"/>
            <w:vAlign w:val="center"/>
            <w:hideMark/>
          </w:tcPr>
          <w:p w14:paraId="386E7555"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538846CD"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000000" w:fill="E2F0FF"/>
            <w:hideMark/>
          </w:tcPr>
          <w:p w14:paraId="66FDB210"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2018</w:t>
            </w:r>
          </w:p>
        </w:tc>
        <w:tc>
          <w:tcPr>
            <w:tcW w:w="1258" w:type="dxa"/>
            <w:tcBorders>
              <w:top w:val="nil"/>
              <w:left w:val="nil"/>
              <w:bottom w:val="single" w:sz="4" w:space="0" w:color="auto"/>
              <w:right w:val="single" w:sz="4" w:space="0" w:color="auto"/>
            </w:tcBorders>
            <w:shd w:val="clear" w:color="000000" w:fill="F9F9F9"/>
            <w:hideMark/>
          </w:tcPr>
          <w:p w14:paraId="2DA508F9"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15,84,30,742</w:t>
            </w:r>
          </w:p>
        </w:tc>
        <w:tc>
          <w:tcPr>
            <w:tcW w:w="958" w:type="dxa"/>
            <w:tcBorders>
              <w:top w:val="nil"/>
              <w:left w:val="nil"/>
              <w:bottom w:val="single" w:sz="4" w:space="0" w:color="auto"/>
              <w:right w:val="single" w:sz="4" w:space="0" w:color="auto"/>
            </w:tcBorders>
            <w:shd w:val="clear" w:color="000000" w:fill="F9F9F9"/>
            <w:hideMark/>
          </w:tcPr>
          <w:p w14:paraId="2F5612BF"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3.8</w:t>
            </w:r>
          </w:p>
        </w:tc>
        <w:tc>
          <w:tcPr>
            <w:tcW w:w="1426" w:type="dxa"/>
            <w:tcBorders>
              <w:top w:val="nil"/>
              <w:left w:val="nil"/>
              <w:bottom w:val="single" w:sz="4" w:space="0" w:color="auto"/>
              <w:right w:val="single" w:sz="4" w:space="0" w:color="auto"/>
            </w:tcBorders>
            <w:shd w:val="clear" w:color="000000" w:fill="F9F9F9"/>
            <w:hideMark/>
          </w:tcPr>
          <w:p w14:paraId="1419FE82"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-3.2</w:t>
            </w:r>
          </w:p>
        </w:tc>
        <w:tc>
          <w:tcPr>
            <w:tcW w:w="956" w:type="dxa"/>
            <w:tcBorders>
              <w:top w:val="nil"/>
              <w:left w:val="nil"/>
              <w:bottom w:val="single" w:sz="4" w:space="0" w:color="auto"/>
              <w:right w:val="single" w:sz="4" w:space="0" w:color="auto"/>
            </w:tcBorders>
            <w:shd w:val="clear" w:color="000000" w:fill="F9F9F9"/>
            <w:hideMark/>
          </w:tcPr>
          <w:p w14:paraId="444581E4"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4.52</w:t>
            </w:r>
          </w:p>
        </w:tc>
        <w:tc>
          <w:tcPr>
            <w:tcW w:w="958" w:type="dxa"/>
            <w:tcBorders>
              <w:top w:val="nil"/>
              <w:left w:val="nil"/>
              <w:bottom w:val="single" w:sz="4" w:space="0" w:color="auto"/>
              <w:right w:val="single" w:sz="4" w:space="0" w:color="auto"/>
            </w:tcBorders>
            <w:shd w:val="clear" w:color="000000" w:fill="F9F9F9"/>
            <w:hideMark/>
          </w:tcPr>
          <w:p w14:paraId="3994D84D"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6,31,198</w:t>
            </w:r>
          </w:p>
        </w:tc>
        <w:tc>
          <w:tcPr>
            <w:tcW w:w="36" w:type="dxa"/>
            <w:vAlign w:val="center"/>
            <w:hideMark/>
          </w:tcPr>
          <w:p w14:paraId="1E3ADEF6"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r w:rsidR="00130A70" w:rsidRPr="00130A70" w14:paraId="635EB534" w14:textId="77777777" w:rsidTr="00E06907">
        <w:trPr>
          <w:trHeight w:val="288"/>
          <w:jc w:val="center"/>
        </w:trPr>
        <w:tc>
          <w:tcPr>
            <w:tcW w:w="948" w:type="dxa"/>
            <w:tcBorders>
              <w:top w:val="nil"/>
              <w:left w:val="single" w:sz="4" w:space="0" w:color="auto"/>
              <w:bottom w:val="single" w:sz="4" w:space="0" w:color="auto"/>
              <w:right w:val="single" w:sz="4" w:space="0" w:color="auto"/>
            </w:tcBorders>
            <w:shd w:val="clear" w:color="auto" w:fill="D9E2F3" w:themeFill="accent1" w:themeFillTint="33"/>
            <w:hideMark/>
          </w:tcPr>
          <w:p w14:paraId="2E111298" w14:textId="77777777" w:rsidR="00130A70" w:rsidRPr="00130A70" w:rsidRDefault="00130A70" w:rsidP="00130A70">
            <w:pPr>
              <w:spacing w:after="0" w:line="240" w:lineRule="auto"/>
              <w:rPr>
                <w:rFonts w:ascii="Arial" w:eastAsia="Times New Roman" w:hAnsi="Arial" w:cs="Arial"/>
                <w:b/>
                <w:bCs/>
                <w:color w:val="333333"/>
                <w:kern w:val="0"/>
                <w:sz w:val="20"/>
                <w:szCs w:val="20"/>
                <w:lang w:eastAsia="en-IN"/>
                <w14:ligatures w14:val="none"/>
              </w:rPr>
            </w:pPr>
            <w:r w:rsidRPr="00130A70">
              <w:rPr>
                <w:rFonts w:ascii="Arial" w:eastAsia="Times New Roman" w:hAnsi="Arial" w:cs="Arial"/>
                <w:b/>
                <w:bCs/>
                <w:color w:val="333333"/>
                <w:kern w:val="0"/>
                <w:sz w:val="20"/>
                <w:szCs w:val="20"/>
                <w:lang w:eastAsia="en-IN"/>
                <w14:ligatures w14:val="none"/>
              </w:rPr>
              <w:t>2017</w:t>
            </w:r>
          </w:p>
        </w:tc>
        <w:tc>
          <w:tcPr>
            <w:tcW w:w="1258" w:type="dxa"/>
            <w:tcBorders>
              <w:top w:val="nil"/>
              <w:left w:val="nil"/>
              <w:bottom w:val="single" w:sz="4" w:space="0" w:color="auto"/>
              <w:right w:val="single" w:sz="4" w:space="0" w:color="auto"/>
            </w:tcBorders>
            <w:shd w:val="clear" w:color="auto" w:fill="FFFFFF" w:themeFill="background1"/>
            <w:hideMark/>
          </w:tcPr>
          <w:p w14:paraId="60032F2D"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15,26,49,633</w:t>
            </w:r>
          </w:p>
        </w:tc>
        <w:tc>
          <w:tcPr>
            <w:tcW w:w="958" w:type="dxa"/>
            <w:tcBorders>
              <w:top w:val="nil"/>
              <w:left w:val="nil"/>
              <w:bottom w:val="single" w:sz="4" w:space="0" w:color="auto"/>
              <w:right w:val="single" w:sz="4" w:space="0" w:color="auto"/>
            </w:tcBorders>
            <w:shd w:val="clear" w:color="auto" w:fill="FFFFFF" w:themeFill="background1"/>
            <w:hideMark/>
          </w:tcPr>
          <w:p w14:paraId="7535C901"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3</w:t>
            </w:r>
          </w:p>
        </w:tc>
        <w:tc>
          <w:tcPr>
            <w:tcW w:w="1426" w:type="dxa"/>
            <w:tcBorders>
              <w:top w:val="nil"/>
              <w:left w:val="nil"/>
              <w:bottom w:val="single" w:sz="4" w:space="0" w:color="auto"/>
              <w:right w:val="single" w:sz="4" w:space="0" w:color="auto"/>
            </w:tcBorders>
            <w:shd w:val="clear" w:color="auto" w:fill="FFFFFF" w:themeFill="background1"/>
            <w:hideMark/>
          </w:tcPr>
          <w:p w14:paraId="2B6D2EA4"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-3.5</w:t>
            </w:r>
          </w:p>
        </w:tc>
        <w:tc>
          <w:tcPr>
            <w:tcW w:w="956" w:type="dxa"/>
            <w:tcBorders>
              <w:top w:val="nil"/>
              <w:left w:val="nil"/>
              <w:bottom w:val="single" w:sz="4" w:space="0" w:color="auto"/>
              <w:right w:val="single" w:sz="4" w:space="0" w:color="auto"/>
            </w:tcBorders>
            <w:shd w:val="clear" w:color="auto" w:fill="FFFFFF" w:themeFill="background1"/>
            <w:hideMark/>
          </w:tcPr>
          <w:p w14:paraId="16A3060C"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4.85</w:t>
            </w:r>
          </w:p>
        </w:tc>
        <w:tc>
          <w:tcPr>
            <w:tcW w:w="958" w:type="dxa"/>
            <w:tcBorders>
              <w:top w:val="nil"/>
              <w:left w:val="nil"/>
              <w:bottom w:val="single" w:sz="4" w:space="0" w:color="auto"/>
              <w:right w:val="single" w:sz="4" w:space="0" w:color="auto"/>
            </w:tcBorders>
            <w:shd w:val="clear" w:color="auto" w:fill="FFFFFF" w:themeFill="background1"/>
            <w:hideMark/>
          </w:tcPr>
          <w:p w14:paraId="072BC43E" w14:textId="77777777" w:rsidR="00130A70" w:rsidRPr="00130A70" w:rsidRDefault="00130A70" w:rsidP="00130A70">
            <w:pPr>
              <w:spacing w:after="0" w:line="240" w:lineRule="auto"/>
              <w:jc w:val="right"/>
              <w:rPr>
                <w:rFonts w:ascii="Arial" w:eastAsia="Times New Roman" w:hAnsi="Arial" w:cs="Arial"/>
                <w:color w:val="333333"/>
                <w:kern w:val="0"/>
                <w:sz w:val="20"/>
                <w:szCs w:val="20"/>
                <w:lang w:eastAsia="en-IN"/>
                <w14:ligatures w14:val="none"/>
              </w:rPr>
            </w:pPr>
            <w:r w:rsidRPr="00130A70">
              <w:rPr>
                <w:rFonts w:ascii="Arial" w:eastAsia="Times New Roman" w:hAnsi="Arial" w:cs="Arial"/>
                <w:color w:val="333333"/>
                <w:kern w:val="0"/>
                <w:sz w:val="20"/>
                <w:szCs w:val="20"/>
                <w:lang w:eastAsia="en-IN"/>
                <w14:ligatures w14:val="none"/>
              </w:rPr>
              <w:t>6,08,166</w:t>
            </w:r>
          </w:p>
        </w:tc>
        <w:tc>
          <w:tcPr>
            <w:tcW w:w="36" w:type="dxa"/>
            <w:vAlign w:val="center"/>
            <w:hideMark/>
          </w:tcPr>
          <w:p w14:paraId="351435BF" w14:textId="77777777" w:rsidR="00130A70" w:rsidRPr="00130A70" w:rsidRDefault="00130A70" w:rsidP="00130A70">
            <w:pPr>
              <w:spacing w:after="0" w:line="240" w:lineRule="auto"/>
              <w:rPr>
                <w:rFonts w:ascii="Times New Roman" w:eastAsia="Times New Roman" w:hAnsi="Times New Roman" w:cs="Times New Roman"/>
                <w:kern w:val="0"/>
                <w:sz w:val="20"/>
                <w:szCs w:val="20"/>
                <w:lang w:eastAsia="en-IN"/>
                <w14:ligatures w14:val="none"/>
              </w:rPr>
            </w:pPr>
          </w:p>
        </w:tc>
      </w:tr>
    </w:tbl>
    <w:p w14:paraId="37539D2F" w14:textId="77777777" w:rsidR="00130A70" w:rsidRPr="00B77730" w:rsidRDefault="00130A70" w:rsidP="00D0365E">
      <w:pPr>
        <w:rPr>
          <w:rFonts w:ascii="Times New Roman" w:hAnsi="Times New Roman" w:cs="Times New Roman"/>
          <w:sz w:val="24"/>
          <w:szCs w:val="24"/>
          <w:lang w:val="en-US"/>
        </w:rPr>
      </w:pPr>
    </w:p>
    <w:sectPr w:rsidR="00130A70" w:rsidRPr="00B77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0A52"/>
    <w:multiLevelType w:val="hybridMultilevel"/>
    <w:tmpl w:val="B58A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240F33"/>
    <w:multiLevelType w:val="hybridMultilevel"/>
    <w:tmpl w:val="EA6E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83976">
    <w:abstractNumId w:val="1"/>
  </w:num>
  <w:num w:numId="2" w16cid:durableId="128819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03"/>
    <w:rsid w:val="00001581"/>
    <w:rsid w:val="00130A70"/>
    <w:rsid w:val="003C1080"/>
    <w:rsid w:val="00661B03"/>
    <w:rsid w:val="00AF7D2E"/>
    <w:rsid w:val="00B77730"/>
    <w:rsid w:val="00D0365E"/>
    <w:rsid w:val="00E0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C48"/>
  <w15:chartTrackingRefBased/>
  <w15:docId w15:val="{9BE8B55D-3781-47BC-B097-B82E3F8A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1B03"/>
    <w:rPr>
      <w:color w:val="0000FF"/>
      <w:u w:val="single"/>
    </w:rPr>
  </w:style>
  <w:style w:type="character" w:styleId="Strong">
    <w:name w:val="Strong"/>
    <w:basedOn w:val="DefaultParagraphFont"/>
    <w:uiPriority w:val="22"/>
    <w:qFormat/>
    <w:rsid w:val="00661B03"/>
    <w:rPr>
      <w:b/>
      <w:bCs/>
    </w:rPr>
  </w:style>
  <w:style w:type="paragraph" w:styleId="ListParagraph">
    <w:name w:val="List Paragraph"/>
    <w:basedOn w:val="Normal"/>
    <w:uiPriority w:val="34"/>
    <w:qFormat/>
    <w:rsid w:val="00B7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21378">
      <w:bodyDiv w:val="1"/>
      <w:marLeft w:val="0"/>
      <w:marRight w:val="0"/>
      <w:marTop w:val="0"/>
      <w:marBottom w:val="0"/>
      <w:divBdr>
        <w:top w:val="none" w:sz="0" w:space="0" w:color="auto"/>
        <w:left w:val="none" w:sz="0" w:space="0" w:color="auto"/>
        <w:bottom w:val="none" w:sz="0" w:space="0" w:color="auto"/>
        <w:right w:val="none" w:sz="0" w:space="0" w:color="auto"/>
      </w:divBdr>
    </w:div>
    <w:div w:id="8349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dic.gov/news/financial-institution-letters/2019/fil19009b.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obots.net/fintech/how-to-do-an-online-money-transfer/" TargetMode="External"/><Relationship Id="rId12" Type="http://schemas.openxmlformats.org/officeDocument/2006/relationships/hyperlink" Target="https://www.investopedia.com/articles/personal-finance/010715/venmo-its-business-model-and-competition.asp" TargetMode="External"/><Relationship Id="rId17" Type="http://schemas.openxmlformats.org/officeDocument/2006/relationships/hyperlink" Target="https://wise.com/us/blog/4x-cheaper-than-bank-cards" TargetMode="External"/><Relationship Id="rId2" Type="http://schemas.openxmlformats.org/officeDocument/2006/relationships/numbering" Target="numbering.xml"/><Relationship Id="rId16" Type="http://schemas.openxmlformats.org/officeDocument/2006/relationships/hyperlink" Target="https://wise.com/us/" TargetMode="External"/><Relationship Id="rId1" Type="http://schemas.openxmlformats.org/officeDocument/2006/relationships/customXml" Target="../customXml/item1.xml"/><Relationship Id="rId6" Type="http://schemas.openxmlformats.org/officeDocument/2006/relationships/hyperlink" Target="https://robots.net/fintech/why-didnt-my-money-transfer/" TargetMode="External"/><Relationship Id="rId11" Type="http://schemas.openxmlformats.org/officeDocument/2006/relationships/hyperlink" Target="https://www.investopedia.com/terms/p/paypal.asp" TargetMode="External"/><Relationship Id="rId5" Type="http://schemas.openxmlformats.org/officeDocument/2006/relationships/webSettings" Target="webSettings.xml"/><Relationship Id="rId15" Type="http://schemas.openxmlformats.org/officeDocument/2006/relationships/hyperlink" Target="https://www.irs.gov/businesses/small-businesses-self-employed/whats-new-estate-and-gift-tax" TargetMode="External"/><Relationship Id="rId10" Type="http://schemas.openxmlformats.org/officeDocument/2006/relationships/hyperlink" Target="https://www.investopedia.com/terms/f/fintech.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m/moneylaundering.asp" TargetMode="External"/><Relationship Id="rId14" Type="http://schemas.openxmlformats.org/officeDocument/2006/relationships/hyperlink" Target="https://www.fdic.gov/news/financial-institution-letters/2021/fil21012c.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100"/>
              <a:t>Indexed monthly volume exchanged by U.S. consumers on various money transfer platforms (MoneyGram, Western Union, Wise, and XOOM)</a:t>
            </a:r>
          </a:p>
        </c:rich>
      </c:tx>
      <c:layout>
        <c:manualLayout>
          <c:xMode val="edge"/>
          <c:yMode val="edge"/>
          <c:x val="0.10749300087489064"/>
          <c:y val="3.7037037037037035E-2"/>
        </c:manualLayout>
      </c:layout>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areaChart>
        <c:grouping val="stacked"/>
        <c:varyColors val="0"/>
        <c:ser>
          <c:idx val="0"/>
          <c:order val="0"/>
          <c:tx>
            <c:strRef>
              <c:f>Sheet1!$B$2</c:f>
              <c:strCache>
                <c:ptCount val="1"/>
                <c:pt idx="0">
                  <c:v>MoneyGram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Sheet1!$A$3:$A$9</c:f>
              <c:numCache>
                <c:formatCode>mmm\-yy</c:formatCode>
                <c:ptCount val="7"/>
                <c:pt idx="0">
                  <c:v>43466</c:v>
                </c:pt>
                <c:pt idx="1">
                  <c:v>43800</c:v>
                </c:pt>
                <c:pt idx="2">
                  <c:v>43831</c:v>
                </c:pt>
                <c:pt idx="3">
                  <c:v>44166</c:v>
                </c:pt>
                <c:pt idx="4">
                  <c:v>44197</c:v>
                </c:pt>
                <c:pt idx="5">
                  <c:v>44409</c:v>
                </c:pt>
                <c:pt idx="6">
                  <c:v>44440</c:v>
                </c:pt>
              </c:numCache>
            </c:numRef>
          </c:cat>
          <c:val>
            <c:numRef>
              <c:f>Sheet1!$B$3:$B$9</c:f>
              <c:numCache>
                <c:formatCode>General</c:formatCode>
                <c:ptCount val="7"/>
                <c:pt idx="0">
                  <c:v>10</c:v>
                </c:pt>
                <c:pt idx="1">
                  <c:v>32</c:v>
                </c:pt>
                <c:pt idx="2">
                  <c:v>34</c:v>
                </c:pt>
                <c:pt idx="3">
                  <c:v>56</c:v>
                </c:pt>
                <c:pt idx="4">
                  <c:v>58</c:v>
                </c:pt>
                <c:pt idx="5">
                  <c:v>72</c:v>
                </c:pt>
                <c:pt idx="6">
                  <c:v>74</c:v>
                </c:pt>
              </c:numCache>
            </c:numRef>
          </c:val>
          <c:extLst>
            <c:ext xmlns:c16="http://schemas.microsoft.com/office/drawing/2014/chart" uri="{C3380CC4-5D6E-409C-BE32-E72D297353CC}">
              <c16:uniqueId val="{00000000-B6C5-4A22-B650-717D3AC26385}"/>
            </c:ext>
          </c:extLst>
        </c:ser>
        <c:ser>
          <c:idx val="1"/>
          <c:order val="1"/>
          <c:tx>
            <c:strRef>
              <c:f>Sheet1!$C$2</c:f>
              <c:strCache>
                <c:ptCount val="1"/>
                <c:pt idx="0">
                  <c:v>Western Union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Sheet1!$A$3:$A$9</c:f>
              <c:numCache>
                <c:formatCode>mmm\-yy</c:formatCode>
                <c:ptCount val="7"/>
                <c:pt idx="0">
                  <c:v>43466</c:v>
                </c:pt>
                <c:pt idx="1">
                  <c:v>43800</c:v>
                </c:pt>
                <c:pt idx="2">
                  <c:v>43831</c:v>
                </c:pt>
                <c:pt idx="3">
                  <c:v>44166</c:v>
                </c:pt>
                <c:pt idx="4">
                  <c:v>44197</c:v>
                </c:pt>
                <c:pt idx="5">
                  <c:v>44409</c:v>
                </c:pt>
                <c:pt idx="6">
                  <c:v>44440</c:v>
                </c:pt>
              </c:numCache>
            </c:numRef>
          </c:cat>
          <c:val>
            <c:numRef>
              <c:f>Sheet1!$C$3:$C$9</c:f>
              <c:numCache>
                <c:formatCode>General</c:formatCode>
                <c:ptCount val="7"/>
                <c:pt idx="0">
                  <c:v>30</c:v>
                </c:pt>
                <c:pt idx="1">
                  <c:v>52</c:v>
                </c:pt>
                <c:pt idx="2">
                  <c:v>54</c:v>
                </c:pt>
                <c:pt idx="3">
                  <c:v>76</c:v>
                </c:pt>
                <c:pt idx="4">
                  <c:v>78</c:v>
                </c:pt>
                <c:pt idx="5">
                  <c:v>92</c:v>
                </c:pt>
                <c:pt idx="6">
                  <c:v>94</c:v>
                </c:pt>
              </c:numCache>
            </c:numRef>
          </c:val>
          <c:extLst>
            <c:ext xmlns:c16="http://schemas.microsoft.com/office/drawing/2014/chart" uri="{C3380CC4-5D6E-409C-BE32-E72D297353CC}">
              <c16:uniqueId val="{00000001-B6C5-4A22-B650-717D3AC26385}"/>
            </c:ext>
          </c:extLst>
        </c:ser>
        <c:ser>
          <c:idx val="2"/>
          <c:order val="2"/>
          <c:tx>
            <c:strRef>
              <c:f>Sheet1!$D$2</c:f>
              <c:strCache>
                <c:ptCount val="1"/>
                <c:pt idx="0">
                  <c:v>Wise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Sheet1!$A$3:$A$9</c:f>
              <c:numCache>
                <c:formatCode>mmm\-yy</c:formatCode>
                <c:ptCount val="7"/>
                <c:pt idx="0">
                  <c:v>43466</c:v>
                </c:pt>
                <c:pt idx="1">
                  <c:v>43800</c:v>
                </c:pt>
                <c:pt idx="2">
                  <c:v>43831</c:v>
                </c:pt>
                <c:pt idx="3">
                  <c:v>44166</c:v>
                </c:pt>
                <c:pt idx="4">
                  <c:v>44197</c:v>
                </c:pt>
                <c:pt idx="5">
                  <c:v>44409</c:v>
                </c:pt>
                <c:pt idx="6">
                  <c:v>44440</c:v>
                </c:pt>
              </c:numCache>
            </c:numRef>
          </c:cat>
          <c:val>
            <c:numRef>
              <c:f>Sheet1!$D$3:$D$9</c:f>
              <c:numCache>
                <c:formatCode>General</c:formatCode>
                <c:ptCount val="7"/>
                <c:pt idx="0">
                  <c:v>20</c:v>
                </c:pt>
                <c:pt idx="1">
                  <c:v>42</c:v>
                </c:pt>
                <c:pt idx="2">
                  <c:v>44</c:v>
                </c:pt>
                <c:pt idx="3">
                  <c:v>66</c:v>
                </c:pt>
                <c:pt idx="4">
                  <c:v>68</c:v>
                </c:pt>
                <c:pt idx="5">
                  <c:v>82</c:v>
                </c:pt>
                <c:pt idx="6">
                  <c:v>84</c:v>
                </c:pt>
              </c:numCache>
            </c:numRef>
          </c:val>
          <c:extLst>
            <c:ext xmlns:c16="http://schemas.microsoft.com/office/drawing/2014/chart" uri="{C3380CC4-5D6E-409C-BE32-E72D297353CC}">
              <c16:uniqueId val="{00000002-B6C5-4A22-B650-717D3AC26385}"/>
            </c:ext>
          </c:extLst>
        </c:ser>
        <c:ser>
          <c:idx val="3"/>
          <c:order val="3"/>
          <c:tx>
            <c:strRef>
              <c:f>Sheet1!$E$2</c:f>
              <c:strCache>
                <c:ptCount val="1"/>
                <c:pt idx="0">
                  <c:v>XOOM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Sheet1!$A$3:$A$9</c:f>
              <c:numCache>
                <c:formatCode>mmm\-yy</c:formatCode>
                <c:ptCount val="7"/>
                <c:pt idx="0">
                  <c:v>43466</c:v>
                </c:pt>
                <c:pt idx="1">
                  <c:v>43800</c:v>
                </c:pt>
                <c:pt idx="2">
                  <c:v>43831</c:v>
                </c:pt>
                <c:pt idx="3">
                  <c:v>44166</c:v>
                </c:pt>
                <c:pt idx="4">
                  <c:v>44197</c:v>
                </c:pt>
                <c:pt idx="5">
                  <c:v>44409</c:v>
                </c:pt>
                <c:pt idx="6">
                  <c:v>44440</c:v>
                </c:pt>
              </c:numCache>
            </c:numRef>
          </c:cat>
          <c:val>
            <c:numRef>
              <c:f>Sheet1!$E$3:$E$9</c:f>
              <c:numCache>
                <c:formatCode>General</c:formatCode>
                <c:ptCount val="7"/>
                <c:pt idx="0">
                  <c:v>40</c:v>
                </c:pt>
                <c:pt idx="1">
                  <c:v>62</c:v>
                </c:pt>
                <c:pt idx="2">
                  <c:v>64</c:v>
                </c:pt>
                <c:pt idx="3">
                  <c:v>86</c:v>
                </c:pt>
                <c:pt idx="4">
                  <c:v>88</c:v>
                </c:pt>
                <c:pt idx="5">
                  <c:v>102</c:v>
                </c:pt>
                <c:pt idx="6">
                  <c:v>104</c:v>
                </c:pt>
              </c:numCache>
            </c:numRef>
          </c:val>
          <c:extLst>
            <c:ext xmlns:c16="http://schemas.microsoft.com/office/drawing/2014/chart" uri="{C3380CC4-5D6E-409C-BE32-E72D297353CC}">
              <c16:uniqueId val="{00000003-B6C5-4A22-B650-717D3AC26385}"/>
            </c:ext>
          </c:extLst>
        </c:ser>
        <c:ser>
          <c:idx val="4"/>
          <c:order val="4"/>
          <c:tx>
            <c:strRef>
              <c:f>Sheet1!$F$2</c:f>
              <c:strCache>
                <c:ptCount val="1"/>
                <c:pt idx="0">
                  <c:v>Total Volume Exchanged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Sheet1!$A$3:$A$9</c:f>
              <c:numCache>
                <c:formatCode>mmm\-yy</c:formatCode>
                <c:ptCount val="7"/>
                <c:pt idx="0">
                  <c:v>43466</c:v>
                </c:pt>
                <c:pt idx="1">
                  <c:v>43800</c:v>
                </c:pt>
                <c:pt idx="2">
                  <c:v>43831</c:v>
                </c:pt>
                <c:pt idx="3">
                  <c:v>44166</c:v>
                </c:pt>
                <c:pt idx="4">
                  <c:v>44197</c:v>
                </c:pt>
                <c:pt idx="5">
                  <c:v>44409</c:v>
                </c:pt>
                <c:pt idx="6">
                  <c:v>44440</c:v>
                </c:pt>
              </c:numCache>
            </c:numRef>
          </c:cat>
          <c:val>
            <c:numRef>
              <c:f>Sheet1!$F$3:$F$9</c:f>
              <c:numCache>
                <c:formatCode>General</c:formatCode>
                <c:ptCount val="7"/>
                <c:pt idx="0">
                  <c:v>100</c:v>
                </c:pt>
                <c:pt idx="1">
                  <c:v>188</c:v>
                </c:pt>
                <c:pt idx="2">
                  <c:v>196</c:v>
                </c:pt>
                <c:pt idx="3">
                  <c:v>284</c:v>
                </c:pt>
                <c:pt idx="4">
                  <c:v>292</c:v>
                </c:pt>
                <c:pt idx="5">
                  <c:v>348</c:v>
                </c:pt>
                <c:pt idx="6">
                  <c:v>356</c:v>
                </c:pt>
              </c:numCache>
            </c:numRef>
          </c:val>
          <c:extLst>
            <c:ext xmlns:c16="http://schemas.microsoft.com/office/drawing/2014/chart" uri="{C3380CC4-5D6E-409C-BE32-E72D297353CC}">
              <c16:uniqueId val="{00000004-B6C5-4A22-B650-717D3AC26385}"/>
            </c:ext>
          </c:extLst>
        </c:ser>
        <c:dLbls>
          <c:showLegendKey val="0"/>
          <c:showVal val="0"/>
          <c:showCatName val="0"/>
          <c:showSerName val="0"/>
          <c:showPercent val="0"/>
          <c:showBubbleSize val="0"/>
        </c:dLbls>
        <c:axId val="491136800"/>
        <c:axId val="491158880"/>
      </c:areaChart>
      <c:dateAx>
        <c:axId val="491136800"/>
        <c:scaling>
          <c:orientation val="minMax"/>
        </c:scaling>
        <c:delete val="0"/>
        <c:axPos val="b"/>
        <c:numFmt formatCode="mmm\-yy"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1158880"/>
        <c:crosses val="autoZero"/>
        <c:auto val="1"/>
        <c:lblOffset val="100"/>
        <c:baseTimeUnit val="months"/>
      </c:dateAx>
      <c:valAx>
        <c:axId val="4911588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113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94D5-ECD1-49A3-9C8B-CC0D2449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2</cp:revision>
  <dcterms:created xsi:type="dcterms:W3CDTF">2024-06-29T06:53:00Z</dcterms:created>
  <dcterms:modified xsi:type="dcterms:W3CDTF">2024-06-29T08:46:00Z</dcterms:modified>
</cp:coreProperties>
</file>