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D7D48" w14:textId="21F216DD" w:rsidR="00001581" w:rsidRPr="002C7A10" w:rsidRDefault="003950BD">
      <w:pPr>
        <w:rPr>
          <w:rFonts w:ascii="Times New Roman" w:hAnsi="Times New Roman" w:cs="Times New Roman"/>
          <w:b/>
          <w:bCs/>
          <w:sz w:val="36"/>
          <w:szCs w:val="36"/>
          <w:u w:val="single"/>
          <w:lang w:val="en-US"/>
        </w:rPr>
      </w:pPr>
      <w:r w:rsidRPr="002C7A10">
        <w:rPr>
          <w:rFonts w:ascii="Times New Roman" w:hAnsi="Times New Roman" w:cs="Times New Roman"/>
          <w:b/>
          <w:bCs/>
          <w:sz w:val="36"/>
          <w:szCs w:val="36"/>
          <w:u w:val="single"/>
          <w:lang w:val="en-US"/>
        </w:rPr>
        <w:t xml:space="preserve">CERTIFICATE OF DEPOSIT </w:t>
      </w:r>
    </w:p>
    <w:p w14:paraId="14DB29DB" w14:textId="12693DBF" w:rsidR="003950BD" w:rsidRPr="002C7A10" w:rsidRDefault="002C7A10" w:rsidP="002C7A10">
      <w:pPr>
        <w:pStyle w:val="ListParagraph"/>
        <w:numPr>
          <w:ilvl w:val="0"/>
          <w:numId w:val="2"/>
        </w:numPr>
        <w:rPr>
          <w:rFonts w:ascii="Times New Roman" w:hAnsi="Times New Roman" w:cs="Times New Roman"/>
          <w:color w:val="0C0C0C"/>
          <w:sz w:val="24"/>
          <w:szCs w:val="24"/>
          <w:shd w:val="clear" w:color="auto" w:fill="FFFFFF"/>
        </w:rPr>
      </w:pPr>
      <w:r w:rsidRPr="002C7A10">
        <w:rPr>
          <w:rFonts w:ascii="Times New Roman" w:hAnsi="Times New Roman" w:cs="Times New Roman"/>
          <w:color w:val="0C0C0C"/>
          <w:sz w:val="24"/>
          <w:szCs w:val="24"/>
          <w:shd w:val="clear" w:color="auto" w:fill="FFFFFF"/>
        </w:rPr>
        <w:t>We</w:t>
      </w:r>
      <w:r w:rsidR="003950BD" w:rsidRPr="002C7A10">
        <w:rPr>
          <w:rFonts w:ascii="Times New Roman" w:hAnsi="Times New Roman" w:cs="Times New Roman"/>
          <w:color w:val="0C0C0C"/>
          <w:sz w:val="24"/>
          <w:szCs w:val="24"/>
          <w:shd w:val="clear" w:color="auto" w:fill="FFFFFF"/>
        </w:rPr>
        <w:t xml:space="preserve"> deposit a lump sum into an account for a fixed period of time, during which the account holder is paid interest by the bank, generally daily or monthly. Once a CD reaches its maturity date, the account holder has the option to either withdraw their original deposit plus the interest earned or renew the CD for an additional term.</w:t>
      </w:r>
    </w:p>
    <w:p w14:paraId="4C66F15B" w14:textId="77777777" w:rsidR="003950BD" w:rsidRPr="002C7A10" w:rsidRDefault="003950BD" w:rsidP="002C7A10">
      <w:pPr>
        <w:pStyle w:val="ListParagraph"/>
        <w:numPr>
          <w:ilvl w:val="0"/>
          <w:numId w:val="2"/>
        </w:numPr>
        <w:rPr>
          <w:rFonts w:ascii="Times New Roman" w:hAnsi="Times New Roman" w:cs="Times New Roman"/>
          <w:sz w:val="24"/>
          <w:szCs w:val="24"/>
          <w:lang w:eastAsia="en-IN"/>
        </w:rPr>
      </w:pPr>
      <w:r w:rsidRPr="002C7A10">
        <w:rPr>
          <w:rFonts w:ascii="Times New Roman" w:hAnsi="Times New Roman" w:cs="Times New Roman"/>
          <w:sz w:val="24"/>
          <w:szCs w:val="24"/>
          <w:lang w:eastAsia="en-IN"/>
        </w:rPr>
        <w:t>There are three main factors to understanding how a CD works:</w:t>
      </w:r>
    </w:p>
    <w:p w14:paraId="2445FDD6" w14:textId="77777777" w:rsidR="003950BD" w:rsidRPr="002C7A10" w:rsidRDefault="003950BD" w:rsidP="002C7A10">
      <w:pPr>
        <w:pStyle w:val="ListParagraph"/>
        <w:numPr>
          <w:ilvl w:val="0"/>
          <w:numId w:val="4"/>
        </w:numPr>
        <w:rPr>
          <w:rFonts w:ascii="Times New Roman" w:hAnsi="Times New Roman" w:cs="Times New Roman"/>
          <w:sz w:val="24"/>
          <w:szCs w:val="24"/>
          <w:lang w:eastAsia="en-IN"/>
        </w:rPr>
      </w:pPr>
      <w:r w:rsidRPr="002C7A10">
        <w:rPr>
          <w:rFonts w:ascii="Times New Roman" w:hAnsi="Times New Roman" w:cs="Times New Roman"/>
          <w:sz w:val="24"/>
          <w:szCs w:val="24"/>
        </w:rPr>
        <w:t>Deposit amount:</w:t>
      </w:r>
      <w:r w:rsidRPr="002C7A10">
        <w:rPr>
          <w:rFonts w:ascii="Times New Roman" w:hAnsi="Times New Roman" w:cs="Times New Roman"/>
          <w:sz w:val="24"/>
          <w:szCs w:val="24"/>
          <w:lang w:eastAsia="en-IN"/>
        </w:rPr>
        <w:t> The dollar amount that is put into the account</w:t>
      </w:r>
    </w:p>
    <w:p w14:paraId="2C27C30D" w14:textId="77777777" w:rsidR="003950BD" w:rsidRPr="002C7A10" w:rsidRDefault="003950BD" w:rsidP="002C7A10">
      <w:pPr>
        <w:pStyle w:val="ListParagraph"/>
        <w:numPr>
          <w:ilvl w:val="0"/>
          <w:numId w:val="4"/>
        </w:numPr>
        <w:rPr>
          <w:rFonts w:ascii="Times New Roman" w:hAnsi="Times New Roman" w:cs="Times New Roman"/>
          <w:sz w:val="24"/>
          <w:szCs w:val="24"/>
          <w:lang w:eastAsia="en-IN"/>
        </w:rPr>
      </w:pPr>
      <w:r w:rsidRPr="002C7A10">
        <w:rPr>
          <w:rFonts w:ascii="Times New Roman" w:hAnsi="Times New Roman" w:cs="Times New Roman"/>
          <w:sz w:val="24"/>
          <w:szCs w:val="24"/>
        </w:rPr>
        <w:t>Term:</w:t>
      </w:r>
      <w:r w:rsidRPr="002C7A10">
        <w:rPr>
          <w:rFonts w:ascii="Times New Roman" w:hAnsi="Times New Roman" w:cs="Times New Roman"/>
          <w:sz w:val="24"/>
          <w:szCs w:val="24"/>
          <w:lang w:eastAsia="en-IN"/>
        </w:rPr>
        <w:t> The period of time until the account matures</w:t>
      </w:r>
    </w:p>
    <w:p w14:paraId="0C728811" w14:textId="77777777" w:rsidR="003950BD" w:rsidRPr="002C7A10" w:rsidRDefault="003950BD" w:rsidP="002C7A10">
      <w:pPr>
        <w:pStyle w:val="ListParagraph"/>
        <w:numPr>
          <w:ilvl w:val="0"/>
          <w:numId w:val="4"/>
        </w:numPr>
        <w:rPr>
          <w:rFonts w:ascii="Times New Roman" w:hAnsi="Times New Roman" w:cs="Times New Roman"/>
          <w:sz w:val="24"/>
          <w:szCs w:val="24"/>
          <w:lang w:eastAsia="en-IN"/>
        </w:rPr>
      </w:pPr>
      <w:r w:rsidRPr="002C7A10">
        <w:rPr>
          <w:rFonts w:ascii="Times New Roman" w:hAnsi="Times New Roman" w:cs="Times New Roman"/>
          <w:sz w:val="24"/>
          <w:szCs w:val="24"/>
        </w:rPr>
        <w:t>Interest rate:</w:t>
      </w:r>
      <w:r w:rsidRPr="002C7A10">
        <w:rPr>
          <w:rFonts w:ascii="Times New Roman" w:hAnsi="Times New Roman" w:cs="Times New Roman"/>
          <w:sz w:val="24"/>
          <w:szCs w:val="24"/>
          <w:lang w:eastAsia="en-IN"/>
        </w:rPr>
        <w:t> The annual percentage yield the bank pays the account holder in interest</w:t>
      </w:r>
    </w:p>
    <w:p w14:paraId="3F812B93" w14:textId="29DD5442" w:rsidR="003950BD" w:rsidRPr="002C7A10" w:rsidRDefault="00F35545" w:rsidP="002C7A10">
      <w:pPr>
        <w:pStyle w:val="ListParagraph"/>
        <w:numPr>
          <w:ilvl w:val="0"/>
          <w:numId w:val="5"/>
        </w:numPr>
        <w:rPr>
          <w:rFonts w:ascii="Times New Roman" w:hAnsi="Times New Roman" w:cs="Times New Roman"/>
          <w:color w:val="000000" w:themeColor="text1"/>
          <w:sz w:val="24"/>
          <w:szCs w:val="24"/>
          <w:shd w:val="clear" w:color="auto" w:fill="FFFFFF"/>
        </w:rPr>
      </w:pPr>
      <w:r w:rsidRPr="002C7A10">
        <w:rPr>
          <w:rFonts w:ascii="Times New Roman" w:hAnsi="Times New Roman" w:cs="Times New Roman"/>
          <w:color w:val="000000" w:themeColor="text1"/>
          <w:sz w:val="24"/>
          <w:szCs w:val="24"/>
          <w:shd w:val="clear" w:color="auto" w:fill="FFFFFF"/>
        </w:rPr>
        <w:t>Certificate of deposit in India can be issued for a minimum deposit of Rs. 1 lakh or in subsequent multiples of it.</w:t>
      </w:r>
    </w:p>
    <w:p w14:paraId="313A8CA2" w14:textId="5EE183A1" w:rsidR="00F35545" w:rsidRPr="002C7A10" w:rsidRDefault="00F35545" w:rsidP="002C7A10">
      <w:pPr>
        <w:pStyle w:val="ListParagraph"/>
        <w:numPr>
          <w:ilvl w:val="0"/>
          <w:numId w:val="5"/>
        </w:numPr>
        <w:rPr>
          <w:rFonts w:ascii="Times New Roman" w:hAnsi="Times New Roman" w:cs="Times New Roman"/>
          <w:color w:val="44475B"/>
          <w:sz w:val="24"/>
          <w:szCs w:val="24"/>
          <w:shd w:val="clear" w:color="auto" w:fill="FFFFFF"/>
        </w:rPr>
      </w:pPr>
      <w:r w:rsidRPr="002C7A10">
        <w:rPr>
          <w:rFonts w:ascii="Times New Roman" w:hAnsi="Times New Roman" w:cs="Times New Roman"/>
          <w:sz w:val="24"/>
          <w:szCs w:val="24"/>
        </w:rPr>
        <w:t>CDs are considered one of the safest investment options because they are typically insured by the government up to a certain limit (e.g., $250,000 per depositor per bank in the United States by the FDIC).</w:t>
      </w:r>
    </w:p>
    <w:p w14:paraId="2CC21D6F" w14:textId="77777777" w:rsidR="00F35545" w:rsidRPr="002C7A10" w:rsidRDefault="00F35545" w:rsidP="002C7A10">
      <w:pPr>
        <w:pStyle w:val="ListParagraph"/>
        <w:numPr>
          <w:ilvl w:val="0"/>
          <w:numId w:val="5"/>
        </w:numPr>
        <w:shd w:val="clear" w:color="auto" w:fill="FEFEFE"/>
        <w:spacing w:after="300" w:line="240" w:lineRule="auto"/>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In aggregate, certificate of deposit (CD) balances at US banks climbed to $2.870 trillion in the fourth quarter of 2023, up 6.9% from the previous quarter and 68.0% year over year, S&amp;P Global Market Intelligence data shows. While the CD balances continued to rise, the rate of growth has slowed since increasing 24.8% in the first quarter of 2023.</w:t>
      </w:r>
    </w:p>
    <w:p w14:paraId="75E3C340" w14:textId="77777777" w:rsidR="00970428" w:rsidRPr="002C7A10" w:rsidRDefault="00970428" w:rsidP="002C7A10">
      <w:pPr>
        <w:pStyle w:val="ListParagraph"/>
        <w:numPr>
          <w:ilvl w:val="0"/>
          <w:numId w:val="5"/>
        </w:numPr>
        <w:shd w:val="clear" w:color="auto" w:fill="FEFEFE"/>
        <w:spacing w:after="300" w:line="240" w:lineRule="auto"/>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hAnsi="Times New Roman" w:cs="Times New Roman"/>
          <w:sz w:val="24"/>
          <w:szCs w:val="24"/>
        </w:rPr>
        <w:t>CD rates have been relatively high due to the Federal Reserve's rate hikes in 2022 and 2023. The average rate for a five-year CD is around 1.43% annual percentage yield (APY), which is significantly higher than the national average rate for regular savings accounts at 0.45% APY​</w:t>
      </w:r>
    </w:p>
    <w:tbl>
      <w:tblPr>
        <w:tblStyle w:val="PlainTable1"/>
        <w:tblW w:w="0" w:type="auto"/>
        <w:jc w:val="center"/>
        <w:tblLook w:val="04A0" w:firstRow="1" w:lastRow="0" w:firstColumn="1" w:lastColumn="0" w:noHBand="0" w:noVBand="1"/>
      </w:tblPr>
      <w:tblGrid>
        <w:gridCol w:w="1083"/>
        <w:gridCol w:w="1144"/>
        <w:gridCol w:w="1273"/>
        <w:gridCol w:w="1256"/>
        <w:gridCol w:w="1144"/>
      </w:tblGrid>
      <w:tr w:rsidR="00970428" w:rsidRPr="002C7A10" w14:paraId="4A953AB9" w14:textId="77777777" w:rsidTr="006365D1">
        <w:trPr>
          <w:cnfStyle w:val="100000000000" w:firstRow="1" w:lastRow="0" w:firstColumn="0" w:lastColumn="0" w:oddVBand="0" w:evenVBand="0" w:oddHBand="0"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083" w:type="dxa"/>
          </w:tcPr>
          <w:p w14:paraId="130E6BFC" w14:textId="66787ECD" w:rsidR="00970428" w:rsidRPr="002C7A10" w:rsidRDefault="00970428" w:rsidP="00F35545">
            <w:pPr>
              <w:spacing w:after="30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Year</w:t>
            </w:r>
          </w:p>
        </w:tc>
        <w:tc>
          <w:tcPr>
            <w:tcW w:w="1144" w:type="dxa"/>
          </w:tcPr>
          <w:p w14:paraId="75D081C0" w14:textId="342EC234" w:rsidR="00970428" w:rsidRPr="002C7A10" w:rsidRDefault="00970428" w:rsidP="00F35545">
            <w:pPr>
              <w:spacing w:after="3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CDs/ total deposits (%)</w:t>
            </w:r>
          </w:p>
        </w:tc>
        <w:tc>
          <w:tcPr>
            <w:tcW w:w="1273" w:type="dxa"/>
          </w:tcPr>
          <w:p w14:paraId="2B5170F6" w14:textId="55EEA123" w:rsidR="00970428" w:rsidRPr="002C7A10" w:rsidRDefault="00970428" w:rsidP="00F35545">
            <w:pPr>
              <w:spacing w:after="3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Brokered deposits/ total deposits (%)</w:t>
            </w:r>
          </w:p>
        </w:tc>
        <w:tc>
          <w:tcPr>
            <w:tcW w:w="1256" w:type="dxa"/>
          </w:tcPr>
          <w:p w14:paraId="6E67575B" w14:textId="3EA2E4BE" w:rsidR="00970428" w:rsidRPr="002C7A10" w:rsidRDefault="00970428" w:rsidP="00F35545">
            <w:pPr>
              <w:spacing w:after="3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FHLB advances / total liabilities (%)</w:t>
            </w:r>
          </w:p>
        </w:tc>
        <w:tc>
          <w:tcPr>
            <w:tcW w:w="1144" w:type="dxa"/>
          </w:tcPr>
          <w:p w14:paraId="0D8F3948" w14:textId="7C5DD11E" w:rsidR="00970428" w:rsidRPr="002C7A10" w:rsidRDefault="00970428" w:rsidP="00F35545">
            <w:pPr>
              <w:spacing w:after="3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Total loans and leases/ total deposits (%)</w:t>
            </w:r>
          </w:p>
        </w:tc>
      </w:tr>
      <w:tr w:rsidR="007504B7" w:rsidRPr="002C7A10" w14:paraId="11EB1DE2" w14:textId="77777777" w:rsidTr="006365D1">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083" w:type="dxa"/>
          </w:tcPr>
          <w:p w14:paraId="59FAB48E" w14:textId="63E8DDE6" w:rsidR="00970428" w:rsidRPr="002C7A10" w:rsidRDefault="00970428" w:rsidP="00F35545">
            <w:pPr>
              <w:spacing w:after="30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2016</w:t>
            </w:r>
          </w:p>
        </w:tc>
        <w:tc>
          <w:tcPr>
            <w:tcW w:w="1144" w:type="dxa"/>
          </w:tcPr>
          <w:p w14:paraId="57D3E753" w14:textId="44EB93A7"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12.0</w:t>
            </w:r>
          </w:p>
        </w:tc>
        <w:tc>
          <w:tcPr>
            <w:tcW w:w="1273" w:type="dxa"/>
          </w:tcPr>
          <w:p w14:paraId="01ED9444" w14:textId="2C81579E"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6.0</w:t>
            </w:r>
          </w:p>
        </w:tc>
        <w:tc>
          <w:tcPr>
            <w:tcW w:w="1256" w:type="dxa"/>
          </w:tcPr>
          <w:p w14:paraId="125D9EAB" w14:textId="2403231D"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4.0</w:t>
            </w:r>
          </w:p>
        </w:tc>
        <w:tc>
          <w:tcPr>
            <w:tcW w:w="1144" w:type="dxa"/>
          </w:tcPr>
          <w:p w14:paraId="2C9CAED0" w14:textId="68935B90"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72</w:t>
            </w:r>
          </w:p>
        </w:tc>
      </w:tr>
      <w:tr w:rsidR="00970428" w:rsidRPr="002C7A10" w14:paraId="4D609E39" w14:textId="77777777" w:rsidTr="006365D1">
        <w:trPr>
          <w:trHeight w:val="398"/>
          <w:jc w:val="center"/>
        </w:trPr>
        <w:tc>
          <w:tcPr>
            <w:cnfStyle w:val="001000000000" w:firstRow="0" w:lastRow="0" w:firstColumn="1" w:lastColumn="0" w:oddVBand="0" w:evenVBand="0" w:oddHBand="0" w:evenHBand="0" w:firstRowFirstColumn="0" w:firstRowLastColumn="0" w:lastRowFirstColumn="0" w:lastRowLastColumn="0"/>
            <w:tcW w:w="1083" w:type="dxa"/>
          </w:tcPr>
          <w:p w14:paraId="03E6230C" w14:textId="72E3D605" w:rsidR="00970428" w:rsidRPr="002C7A10" w:rsidRDefault="00970428" w:rsidP="00F35545">
            <w:pPr>
              <w:spacing w:after="30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2017</w:t>
            </w:r>
          </w:p>
        </w:tc>
        <w:tc>
          <w:tcPr>
            <w:tcW w:w="1144" w:type="dxa"/>
          </w:tcPr>
          <w:p w14:paraId="732F70EF" w14:textId="58CDAEB0"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12.5</w:t>
            </w:r>
          </w:p>
        </w:tc>
        <w:tc>
          <w:tcPr>
            <w:tcW w:w="1273" w:type="dxa"/>
          </w:tcPr>
          <w:p w14:paraId="2EDB42D3" w14:textId="51C854F2"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6.72</w:t>
            </w:r>
          </w:p>
        </w:tc>
        <w:tc>
          <w:tcPr>
            <w:tcW w:w="1256" w:type="dxa"/>
          </w:tcPr>
          <w:p w14:paraId="2C9F6CB9" w14:textId="2E484543"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4.0</w:t>
            </w:r>
          </w:p>
        </w:tc>
        <w:tc>
          <w:tcPr>
            <w:tcW w:w="1144" w:type="dxa"/>
          </w:tcPr>
          <w:p w14:paraId="7B1AC766" w14:textId="197C73C4"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72.5</w:t>
            </w:r>
          </w:p>
        </w:tc>
      </w:tr>
      <w:tr w:rsidR="007504B7" w:rsidRPr="002C7A10" w14:paraId="10A270AB" w14:textId="77777777" w:rsidTr="006365D1">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083" w:type="dxa"/>
          </w:tcPr>
          <w:p w14:paraId="0EA2C874" w14:textId="5C99F506" w:rsidR="00970428" w:rsidRPr="002C7A10" w:rsidRDefault="00970428" w:rsidP="00F35545">
            <w:pPr>
              <w:spacing w:after="30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2018</w:t>
            </w:r>
          </w:p>
        </w:tc>
        <w:tc>
          <w:tcPr>
            <w:tcW w:w="1144" w:type="dxa"/>
          </w:tcPr>
          <w:p w14:paraId="4170F346" w14:textId="1E61AD81"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13.0</w:t>
            </w:r>
          </w:p>
        </w:tc>
        <w:tc>
          <w:tcPr>
            <w:tcW w:w="1273" w:type="dxa"/>
          </w:tcPr>
          <w:p w14:paraId="15F0B228" w14:textId="6CEC1F77"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7.25</w:t>
            </w:r>
          </w:p>
        </w:tc>
        <w:tc>
          <w:tcPr>
            <w:tcW w:w="1256" w:type="dxa"/>
          </w:tcPr>
          <w:p w14:paraId="4DEF5BDB" w14:textId="3650B668"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3.46</w:t>
            </w:r>
          </w:p>
        </w:tc>
        <w:tc>
          <w:tcPr>
            <w:tcW w:w="1144" w:type="dxa"/>
          </w:tcPr>
          <w:p w14:paraId="72A3CAA7" w14:textId="49F04556"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73</w:t>
            </w:r>
          </w:p>
        </w:tc>
      </w:tr>
      <w:tr w:rsidR="00970428" w:rsidRPr="002C7A10" w14:paraId="5F78D517" w14:textId="77777777" w:rsidTr="006365D1">
        <w:trPr>
          <w:trHeight w:val="405"/>
          <w:jc w:val="center"/>
        </w:trPr>
        <w:tc>
          <w:tcPr>
            <w:cnfStyle w:val="001000000000" w:firstRow="0" w:lastRow="0" w:firstColumn="1" w:lastColumn="0" w:oddVBand="0" w:evenVBand="0" w:oddHBand="0" w:evenHBand="0" w:firstRowFirstColumn="0" w:firstRowLastColumn="0" w:lastRowFirstColumn="0" w:lastRowLastColumn="0"/>
            <w:tcW w:w="1083" w:type="dxa"/>
          </w:tcPr>
          <w:p w14:paraId="42C8F74F" w14:textId="3604E65C" w:rsidR="00970428" w:rsidRPr="002C7A10" w:rsidRDefault="00970428" w:rsidP="00F35545">
            <w:pPr>
              <w:spacing w:after="30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2019</w:t>
            </w:r>
          </w:p>
        </w:tc>
        <w:tc>
          <w:tcPr>
            <w:tcW w:w="1144" w:type="dxa"/>
          </w:tcPr>
          <w:p w14:paraId="78C2EF11" w14:textId="601B76AF"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12.5</w:t>
            </w:r>
          </w:p>
        </w:tc>
        <w:tc>
          <w:tcPr>
            <w:tcW w:w="1273" w:type="dxa"/>
          </w:tcPr>
          <w:p w14:paraId="32C46B77" w14:textId="2CDBAAE3"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7.5</w:t>
            </w:r>
          </w:p>
        </w:tc>
        <w:tc>
          <w:tcPr>
            <w:tcW w:w="1256" w:type="dxa"/>
          </w:tcPr>
          <w:p w14:paraId="345B7EEF" w14:textId="08298819"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3.0</w:t>
            </w:r>
          </w:p>
        </w:tc>
        <w:tc>
          <w:tcPr>
            <w:tcW w:w="1144" w:type="dxa"/>
          </w:tcPr>
          <w:p w14:paraId="35217456" w14:textId="42CCCC04"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70</w:t>
            </w:r>
          </w:p>
        </w:tc>
      </w:tr>
      <w:tr w:rsidR="007504B7" w:rsidRPr="002C7A10" w14:paraId="16EBF06B" w14:textId="77777777" w:rsidTr="006365D1">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083" w:type="dxa"/>
          </w:tcPr>
          <w:p w14:paraId="3993C8FE" w14:textId="3CD4233C" w:rsidR="00970428" w:rsidRPr="002C7A10" w:rsidRDefault="00970428" w:rsidP="00F35545">
            <w:pPr>
              <w:spacing w:after="30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2020</w:t>
            </w:r>
          </w:p>
        </w:tc>
        <w:tc>
          <w:tcPr>
            <w:tcW w:w="1144" w:type="dxa"/>
          </w:tcPr>
          <w:p w14:paraId="4A23E855" w14:textId="75649B93"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9.0</w:t>
            </w:r>
          </w:p>
        </w:tc>
        <w:tc>
          <w:tcPr>
            <w:tcW w:w="1273" w:type="dxa"/>
          </w:tcPr>
          <w:p w14:paraId="759298DA" w14:textId="7240DADE"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6.5</w:t>
            </w:r>
          </w:p>
        </w:tc>
        <w:tc>
          <w:tcPr>
            <w:tcW w:w="1256" w:type="dxa"/>
          </w:tcPr>
          <w:p w14:paraId="13FEE892" w14:textId="75ED4DAE"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 xml:space="preserve"> 2.36</w:t>
            </w:r>
          </w:p>
        </w:tc>
        <w:tc>
          <w:tcPr>
            <w:tcW w:w="1144" w:type="dxa"/>
          </w:tcPr>
          <w:p w14:paraId="352CE8CE" w14:textId="136ACDAD"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58</w:t>
            </w:r>
          </w:p>
        </w:tc>
      </w:tr>
      <w:tr w:rsidR="00970428" w:rsidRPr="002C7A10" w14:paraId="6A41CA56" w14:textId="77777777" w:rsidTr="006365D1">
        <w:trPr>
          <w:trHeight w:val="405"/>
          <w:jc w:val="center"/>
        </w:trPr>
        <w:tc>
          <w:tcPr>
            <w:cnfStyle w:val="001000000000" w:firstRow="0" w:lastRow="0" w:firstColumn="1" w:lastColumn="0" w:oddVBand="0" w:evenVBand="0" w:oddHBand="0" w:evenHBand="0" w:firstRowFirstColumn="0" w:firstRowLastColumn="0" w:lastRowFirstColumn="0" w:lastRowLastColumn="0"/>
            <w:tcW w:w="1083" w:type="dxa"/>
          </w:tcPr>
          <w:p w14:paraId="7472FA95" w14:textId="2213737F" w:rsidR="00970428" w:rsidRPr="002C7A10" w:rsidRDefault="00970428" w:rsidP="00F35545">
            <w:pPr>
              <w:spacing w:after="30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2021</w:t>
            </w:r>
          </w:p>
        </w:tc>
        <w:tc>
          <w:tcPr>
            <w:tcW w:w="1144" w:type="dxa"/>
          </w:tcPr>
          <w:p w14:paraId="0ED53A2B" w14:textId="65516E0A"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8.0</w:t>
            </w:r>
          </w:p>
        </w:tc>
        <w:tc>
          <w:tcPr>
            <w:tcW w:w="1273" w:type="dxa"/>
          </w:tcPr>
          <w:p w14:paraId="7A040B6E" w14:textId="7CB5AF6A"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6.25</w:t>
            </w:r>
          </w:p>
        </w:tc>
        <w:tc>
          <w:tcPr>
            <w:tcW w:w="1256" w:type="dxa"/>
          </w:tcPr>
          <w:p w14:paraId="08376AFC" w14:textId="3A1EC677"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2.5</w:t>
            </w:r>
          </w:p>
        </w:tc>
        <w:tc>
          <w:tcPr>
            <w:tcW w:w="1144" w:type="dxa"/>
          </w:tcPr>
          <w:p w14:paraId="510FE7F0" w14:textId="15773EE3"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60</w:t>
            </w:r>
          </w:p>
        </w:tc>
      </w:tr>
      <w:tr w:rsidR="007504B7" w:rsidRPr="002C7A10" w14:paraId="1A5CF67D" w14:textId="77777777" w:rsidTr="006365D1">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083" w:type="dxa"/>
          </w:tcPr>
          <w:p w14:paraId="78FC3183" w14:textId="71773795" w:rsidR="00970428" w:rsidRPr="002C7A10" w:rsidRDefault="00970428" w:rsidP="00F35545">
            <w:pPr>
              <w:spacing w:after="30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2022</w:t>
            </w:r>
          </w:p>
        </w:tc>
        <w:tc>
          <w:tcPr>
            <w:tcW w:w="1144" w:type="dxa"/>
          </w:tcPr>
          <w:p w14:paraId="1FAB6CA9" w14:textId="0E6DFD51"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10.0</w:t>
            </w:r>
          </w:p>
        </w:tc>
        <w:tc>
          <w:tcPr>
            <w:tcW w:w="1273" w:type="dxa"/>
          </w:tcPr>
          <w:p w14:paraId="7E045A7C" w14:textId="5B6FE4AB"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7.33</w:t>
            </w:r>
          </w:p>
        </w:tc>
        <w:tc>
          <w:tcPr>
            <w:tcW w:w="1256" w:type="dxa"/>
          </w:tcPr>
          <w:p w14:paraId="08103678" w14:textId="2C466B3F"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2.5</w:t>
            </w:r>
          </w:p>
        </w:tc>
        <w:tc>
          <w:tcPr>
            <w:tcW w:w="1144" w:type="dxa"/>
          </w:tcPr>
          <w:p w14:paraId="710650F7" w14:textId="4E6B6E7C" w:rsidR="00970428" w:rsidRPr="002C7A10" w:rsidRDefault="00970428"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63</w:t>
            </w:r>
          </w:p>
        </w:tc>
      </w:tr>
      <w:tr w:rsidR="00970428" w:rsidRPr="002C7A10" w14:paraId="47159423" w14:textId="77777777" w:rsidTr="006365D1">
        <w:trPr>
          <w:trHeight w:val="398"/>
          <w:jc w:val="center"/>
        </w:trPr>
        <w:tc>
          <w:tcPr>
            <w:cnfStyle w:val="001000000000" w:firstRow="0" w:lastRow="0" w:firstColumn="1" w:lastColumn="0" w:oddVBand="0" w:evenVBand="0" w:oddHBand="0" w:evenHBand="0" w:firstRowFirstColumn="0" w:firstRowLastColumn="0" w:lastRowFirstColumn="0" w:lastRowLastColumn="0"/>
            <w:tcW w:w="1083" w:type="dxa"/>
          </w:tcPr>
          <w:p w14:paraId="3EEA270B" w14:textId="17BD8273" w:rsidR="00970428" w:rsidRPr="002C7A10" w:rsidRDefault="00970428" w:rsidP="00F35545">
            <w:pPr>
              <w:spacing w:after="30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2023</w:t>
            </w:r>
          </w:p>
        </w:tc>
        <w:tc>
          <w:tcPr>
            <w:tcW w:w="1144" w:type="dxa"/>
          </w:tcPr>
          <w:p w14:paraId="37E8A990" w14:textId="5A852A4D"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15.0</w:t>
            </w:r>
          </w:p>
        </w:tc>
        <w:tc>
          <w:tcPr>
            <w:tcW w:w="1273" w:type="dxa"/>
          </w:tcPr>
          <w:p w14:paraId="73BDC79C" w14:textId="61D4678C"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8.36</w:t>
            </w:r>
          </w:p>
        </w:tc>
        <w:tc>
          <w:tcPr>
            <w:tcW w:w="1256" w:type="dxa"/>
          </w:tcPr>
          <w:p w14:paraId="529FA4C1" w14:textId="00E0E5F2"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3.0</w:t>
            </w:r>
          </w:p>
        </w:tc>
        <w:tc>
          <w:tcPr>
            <w:tcW w:w="1144" w:type="dxa"/>
          </w:tcPr>
          <w:p w14:paraId="51806E55" w14:textId="53402C81" w:rsidR="00970428" w:rsidRPr="002C7A10" w:rsidRDefault="00970428"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2C7A10">
              <w:rPr>
                <w:rFonts w:ascii="Times New Roman" w:eastAsia="Times New Roman" w:hAnsi="Times New Roman" w:cs="Times New Roman"/>
                <w:color w:val="0A0A0A"/>
                <w:spacing w:val="-7"/>
                <w:kern w:val="0"/>
                <w:sz w:val="24"/>
                <w:szCs w:val="24"/>
                <w:lang w:eastAsia="en-IN"/>
                <w14:ligatures w14:val="none"/>
              </w:rPr>
              <w:t>65</w:t>
            </w:r>
          </w:p>
        </w:tc>
      </w:tr>
    </w:tbl>
    <w:p w14:paraId="7A7C6960" w14:textId="2F3A97F1" w:rsidR="00970428" w:rsidRDefault="00970428" w:rsidP="00F35545">
      <w:pPr>
        <w:shd w:val="clear" w:color="auto" w:fill="FEFEFE"/>
        <w:spacing w:after="300" w:line="240" w:lineRule="auto"/>
        <w:rPr>
          <w:rFonts w:ascii="Arial" w:eastAsia="Times New Roman" w:hAnsi="Arial" w:cs="Arial"/>
          <w:color w:val="0A0A0A"/>
          <w:spacing w:val="-7"/>
          <w:kern w:val="0"/>
          <w:sz w:val="27"/>
          <w:szCs w:val="27"/>
          <w:lang w:eastAsia="en-IN"/>
          <w14:ligatures w14:val="none"/>
        </w:rPr>
      </w:pPr>
    </w:p>
    <w:p w14:paraId="04367200" w14:textId="6F4467F4" w:rsidR="00970428" w:rsidRDefault="00762E40" w:rsidP="00762E40">
      <w:pPr>
        <w:shd w:val="clear" w:color="auto" w:fill="FEFEFE"/>
        <w:spacing w:after="300" w:line="240" w:lineRule="auto"/>
        <w:jc w:val="center"/>
        <w:rPr>
          <w:rFonts w:ascii="Arial" w:eastAsia="Times New Roman" w:hAnsi="Arial" w:cs="Arial"/>
          <w:color w:val="0A0A0A"/>
          <w:spacing w:val="-7"/>
          <w:kern w:val="0"/>
          <w:sz w:val="27"/>
          <w:szCs w:val="27"/>
          <w:lang w:eastAsia="en-IN"/>
          <w14:ligatures w14:val="none"/>
        </w:rPr>
      </w:pPr>
      <w:r>
        <w:rPr>
          <w:noProof/>
        </w:rPr>
        <w:drawing>
          <wp:inline distT="0" distB="0" distL="0" distR="0" wp14:anchorId="10C64348" wp14:editId="691414B8">
            <wp:extent cx="6271260" cy="3543300"/>
            <wp:effectExtent l="0" t="0" r="15240" b="0"/>
            <wp:docPr id="1006544382" name="Chart 1">
              <a:extLst xmlns:a="http://schemas.openxmlformats.org/drawingml/2006/main">
                <a:ext uri="{FF2B5EF4-FFF2-40B4-BE49-F238E27FC236}">
                  <a16:creationId xmlns:a16="http://schemas.microsoft.com/office/drawing/2014/main" id="{E943569A-A0FA-B594-69B6-A175F10F7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29A85A8" w14:textId="1683128D" w:rsidR="00154E9D" w:rsidRPr="006B091B" w:rsidRDefault="00154E9D" w:rsidP="00F35545">
      <w:pPr>
        <w:shd w:val="clear" w:color="auto" w:fill="FEFEFE"/>
        <w:spacing w:after="300" w:line="240" w:lineRule="auto"/>
        <w:rPr>
          <w:rFonts w:ascii="Times New Roman" w:eastAsia="Times New Roman" w:hAnsi="Times New Roman" w:cs="Times New Roman"/>
          <w:b/>
          <w:bCs/>
          <w:color w:val="000000" w:themeColor="text1"/>
          <w:spacing w:val="-7"/>
          <w:kern w:val="0"/>
          <w:sz w:val="36"/>
          <w:szCs w:val="36"/>
          <w:u w:val="single"/>
          <w:lang w:eastAsia="en-IN"/>
          <w14:ligatures w14:val="none"/>
        </w:rPr>
      </w:pPr>
      <w:r w:rsidRPr="006B091B">
        <w:rPr>
          <w:rFonts w:ascii="Times New Roman" w:eastAsia="Times New Roman" w:hAnsi="Times New Roman" w:cs="Times New Roman"/>
          <w:b/>
          <w:bCs/>
          <w:color w:val="000000" w:themeColor="text1"/>
          <w:spacing w:val="-7"/>
          <w:kern w:val="0"/>
          <w:sz w:val="36"/>
          <w:szCs w:val="36"/>
          <w:u w:val="single"/>
          <w:lang w:eastAsia="en-IN"/>
          <w14:ligatures w14:val="none"/>
        </w:rPr>
        <w:t>MONEY MARKET ACCOUNTS</w:t>
      </w:r>
    </w:p>
    <w:p w14:paraId="101B9855" w14:textId="758649A8" w:rsidR="006B091B" w:rsidRDefault="00154E9D" w:rsidP="006B091B">
      <w:pPr>
        <w:pStyle w:val="ListParagraph"/>
        <w:numPr>
          <w:ilvl w:val="0"/>
          <w:numId w:val="7"/>
        </w:numPr>
        <w:shd w:val="clear" w:color="auto" w:fill="FEFEFE"/>
        <w:spacing w:after="300" w:line="240" w:lineRule="auto"/>
        <w:rPr>
          <w:rFonts w:ascii="Times New Roman" w:hAnsi="Times New Roman" w:cs="Times New Roman"/>
          <w:color w:val="1E2B22"/>
          <w:sz w:val="24"/>
          <w:szCs w:val="24"/>
          <w:shd w:val="clear" w:color="auto" w:fill="FFFFFF"/>
        </w:rPr>
      </w:pPr>
      <w:r w:rsidRPr="006B091B">
        <w:rPr>
          <w:rFonts w:ascii="Times New Roman" w:hAnsi="Times New Roman" w:cs="Times New Roman"/>
          <w:color w:val="1E2B22"/>
          <w:sz w:val="24"/>
          <w:szCs w:val="24"/>
          <w:shd w:val="clear" w:color="auto" w:fill="FFFFFF"/>
        </w:rPr>
        <w:t>A </w:t>
      </w:r>
      <w:hyperlink r:id="rId7" w:history="1">
        <w:r w:rsidRPr="006B091B">
          <w:rPr>
            <w:rStyle w:val="Hyperlink"/>
            <w:rFonts w:ascii="Times New Roman" w:hAnsi="Times New Roman" w:cs="Times New Roman"/>
            <w:color w:val="000000" w:themeColor="text1"/>
            <w:sz w:val="24"/>
            <w:szCs w:val="24"/>
            <w:u w:val="none"/>
            <w:shd w:val="clear" w:color="auto" w:fill="FFFFFF"/>
          </w:rPr>
          <w:t>money market account</w:t>
        </w:r>
      </w:hyperlink>
      <w:r w:rsidRPr="006B091B">
        <w:rPr>
          <w:rFonts w:ascii="Times New Roman" w:hAnsi="Times New Roman" w:cs="Times New Roman"/>
          <w:color w:val="1E2B22"/>
          <w:sz w:val="24"/>
          <w:szCs w:val="24"/>
          <w:shd w:val="clear" w:color="auto" w:fill="FFFFFF"/>
        </w:rPr>
        <w:t xml:space="preserve"> is a deposit account offering higher rates than a traditional savings account. Once </w:t>
      </w:r>
      <w:r w:rsidR="00762E40">
        <w:rPr>
          <w:rFonts w:ascii="Times New Roman" w:hAnsi="Times New Roman" w:cs="Times New Roman"/>
          <w:color w:val="1E2B22"/>
          <w:sz w:val="24"/>
          <w:szCs w:val="24"/>
          <w:shd w:val="clear" w:color="auto" w:fill="FFFFFF"/>
        </w:rPr>
        <w:t>We</w:t>
      </w:r>
      <w:r w:rsidRPr="006B091B">
        <w:rPr>
          <w:rFonts w:ascii="Times New Roman" w:hAnsi="Times New Roman" w:cs="Times New Roman"/>
          <w:color w:val="1E2B22"/>
          <w:sz w:val="24"/>
          <w:szCs w:val="24"/>
          <w:shd w:val="clear" w:color="auto" w:fill="FFFFFF"/>
        </w:rPr>
        <w:t xml:space="preserve"> make </w:t>
      </w:r>
      <w:r w:rsidR="00762E40">
        <w:rPr>
          <w:rFonts w:ascii="Times New Roman" w:hAnsi="Times New Roman" w:cs="Times New Roman"/>
          <w:color w:val="1E2B22"/>
          <w:sz w:val="24"/>
          <w:szCs w:val="24"/>
          <w:shd w:val="clear" w:color="auto" w:fill="FFFFFF"/>
        </w:rPr>
        <w:t>Your</w:t>
      </w:r>
      <w:r w:rsidRPr="006B091B">
        <w:rPr>
          <w:rFonts w:ascii="Times New Roman" w:hAnsi="Times New Roman" w:cs="Times New Roman"/>
          <w:color w:val="1E2B22"/>
          <w:sz w:val="24"/>
          <w:szCs w:val="24"/>
          <w:shd w:val="clear" w:color="auto" w:fill="FFFFFF"/>
        </w:rPr>
        <w:t xml:space="preserve"> initial deposit, </w:t>
      </w:r>
      <w:r w:rsidR="00762E40">
        <w:rPr>
          <w:rFonts w:ascii="Times New Roman" w:hAnsi="Times New Roman" w:cs="Times New Roman"/>
          <w:color w:val="1E2B22"/>
          <w:sz w:val="24"/>
          <w:szCs w:val="24"/>
          <w:shd w:val="clear" w:color="auto" w:fill="FFFFFF"/>
        </w:rPr>
        <w:t>we</w:t>
      </w:r>
      <w:r w:rsidRPr="006B091B">
        <w:rPr>
          <w:rFonts w:ascii="Times New Roman" w:hAnsi="Times New Roman" w:cs="Times New Roman"/>
          <w:color w:val="1E2B22"/>
          <w:sz w:val="24"/>
          <w:szCs w:val="24"/>
          <w:shd w:val="clear" w:color="auto" w:fill="FFFFFF"/>
        </w:rPr>
        <w:t xml:space="preserve"> can add money at any time, making it easier to grow </w:t>
      </w:r>
      <w:r w:rsidR="00762E40">
        <w:rPr>
          <w:rFonts w:ascii="Times New Roman" w:hAnsi="Times New Roman" w:cs="Times New Roman"/>
          <w:color w:val="1E2B22"/>
          <w:sz w:val="24"/>
          <w:szCs w:val="24"/>
          <w:shd w:val="clear" w:color="auto" w:fill="FFFFFF"/>
        </w:rPr>
        <w:t>Your</w:t>
      </w:r>
      <w:r w:rsidRPr="006B091B">
        <w:rPr>
          <w:rFonts w:ascii="Times New Roman" w:hAnsi="Times New Roman" w:cs="Times New Roman"/>
          <w:color w:val="1E2B22"/>
          <w:sz w:val="24"/>
          <w:szCs w:val="24"/>
          <w:shd w:val="clear" w:color="auto" w:fill="FFFFFF"/>
        </w:rPr>
        <w:t xml:space="preserve"> balance. </w:t>
      </w:r>
      <w:r w:rsidR="00762E40">
        <w:rPr>
          <w:rFonts w:ascii="Times New Roman" w:hAnsi="Times New Roman" w:cs="Times New Roman"/>
          <w:color w:val="1E2B22"/>
          <w:sz w:val="24"/>
          <w:szCs w:val="24"/>
          <w:shd w:val="clear" w:color="auto" w:fill="FFFFFF"/>
        </w:rPr>
        <w:t>We</w:t>
      </w:r>
      <w:r w:rsidRPr="006B091B">
        <w:rPr>
          <w:rFonts w:ascii="Times New Roman" w:hAnsi="Times New Roman" w:cs="Times New Roman"/>
          <w:color w:val="1E2B22"/>
          <w:sz w:val="24"/>
          <w:szCs w:val="24"/>
          <w:shd w:val="clear" w:color="auto" w:fill="FFFFFF"/>
        </w:rPr>
        <w:t xml:space="preserve"> also earn interest on </w:t>
      </w:r>
      <w:r w:rsidR="00762E40">
        <w:rPr>
          <w:rFonts w:ascii="Times New Roman" w:hAnsi="Times New Roman" w:cs="Times New Roman"/>
          <w:color w:val="1E2B22"/>
          <w:sz w:val="24"/>
          <w:szCs w:val="24"/>
          <w:shd w:val="clear" w:color="auto" w:fill="FFFFFF"/>
        </w:rPr>
        <w:t>Your</w:t>
      </w:r>
      <w:r w:rsidRPr="006B091B">
        <w:rPr>
          <w:rFonts w:ascii="Times New Roman" w:hAnsi="Times New Roman" w:cs="Times New Roman"/>
          <w:color w:val="1E2B22"/>
          <w:sz w:val="24"/>
          <w:szCs w:val="24"/>
          <w:shd w:val="clear" w:color="auto" w:fill="FFFFFF"/>
        </w:rPr>
        <w:t xml:space="preserve"> deposits.</w:t>
      </w:r>
    </w:p>
    <w:p w14:paraId="73DC5897" w14:textId="01785642" w:rsidR="00154E9D" w:rsidRPr="006B091B" w:rsidRDefault="006B091B" w:rsidP="006B091B">
      <w:pPr>
        <w:pStyle w:val="ListParagraph"/>
        <w:numPr>
          <w:ilvl w:val="0"/>
          <w:numId w:val="7"/>
        </w:numPr>
        <w:shd w:val="clear" w:color="auto" w:fill="FEFEFE"/>
        <w:spacing w:after="300" w:line="240" w:lineRule="auto"/>
        <w:rPr>
          <w:rFonts w:ascii="Times New Roman" w:hAnsi="Times New Roman" w:cs="Times New Roman"/>
          <w:color w:val="1E2B22"/>
          <w:sz w:val="28"/>
          <w:szCs w:val="28"/>
          <w:shd w:val="clear" w:color="auto" w:fill="FFFFFF"/>
        </w:rPr>
      </w:pPr>
      <w:r>
        <w:rPr>
          <w:rFonts w:ascii="Times New Roman" w:hAnsi="Times New Roman" w:cs="Times New Roman"/>
          <w:color w:val="000000" w:themeColor="text1"/>
          <w:sz w:val="24"/>
          <w:szCs w:val="24"/>
        </w:rPr>
        <w:t xml:space="preserve">Working: </w:t>
      </w:r>
      <w:r w:rsidR="00154E9D" w:rsidRPr="006B091B">
        <w:rPr>
          <w:rFonts w:ascii="Times New Roman" w:hAnsi="Times New Roman" w:cs="Times New Roman"/>
          <w:color w:val="000000" w:themeColor="text1"/>
          <w:sz w:val="24"/>
          <w:szCs w:val="24"/>
        </w:rPr>
        <w:t xml:space="preserve">Money market accounts work like other types of bank accounts. </w:t>
      </w:r>
      <w:r w:rsidR="00762E40">
        <w:rPr>
          <w:rFonts w:ascii="Times New Roman" w:hAnsi="Times New Roman" w:cs="Times New Roman"/>
          <w:color w:val="000000" w:themeColor="text1"/>
          <w:sz w:val="24"/>
          <w:szCs w:val="24"/>
        </w:rPr>
        <w:t>We</w:t>
      </w:r>
      <w:r w:rsidR="00154E9D" w:rsidRPr="006B091B">
        <w:rPr>
          <w:rFonts w:ascii="Times New Roman" w:hAnsi="Times New Roman" w:cs="Times New Roman"/>
          <w:color w:val="000000" w:themeColor="text1"/>
          <w:sz w:val="24"/>
          <w:szCs w:val="24"/>
        </w:rPr>
        <w:t xml:space="preserve"> can deposit cash, checks, transfer funds from checking or take advantage of other deposit methods. </w:t>
      </w:r>
      <w:r w:rsidR="00762E40">
        <w:rPr>
          <w:rFonts w:ascii="Times New Roman" w:hAnsi="Times New Roman" w:cs="Times New Roman"/>
          <w:color w:val="000000" w:themeColor="text1"/>
          <w:sz w:val="24"/>
          <w:szCs w:val="24"/>
        </w:rPr>
        <w:t>We</w:t>
      </w:r>
      <w:r w:rsidR="00154E9D" w:rsidRPr="006B091B">
        <w:rPr>
          <w:rFonts w:ascii="Times New Roman" w:hAnsi="Times New Roman" w:cs="Times New Roman"/>
          <w:color w:val="000000" w:themeColor="text1"/>
          <w:sz w:val="24"/>
          <w:szCs w:val="24"/>
        </w:rPr>
        <w:t xml:space="preserve"> also get a debit card or check-writing privileges, allowing </w:t>
      </w:r>
      <w:r w:rsidR="00762E40">
        <w:rPr>
          <w:rFonts w:ascii="Times New Roman" w:hAnsi="Times New Roman" w:cs="Times New Roman"/>
          <w:color w:val="000000" w:themeColor="text1"/>
          <w:sz w:val="24"/>
          <w:szCs w:val="24"/>
        </w:rPr>
        <w:t>We</w:t>
      </w:r>
      <w:r w:rsidR="00154E9D" w:rsidRPr="006B091B">
        <w:rPr>
          <w:rFonts w:ascii="Times New Roman" w:hAnsi="Times New Roman" w:cs="Times New Roman"/>
          <w:color w:val="000000" w:themeColor="text1"/>
          <w:sz w:val="24"/>
          <w:szCs w:val="24"/>
        </w:rPr>
        <w:t xml:space="preserve"> to access </w:t>
      </w:r>
      <w:r w:rsidR="00762E40">
        <w:rPr>
          <w:rFonts w:ascii="Times New Roman" w:hAnsi="Times New Roman" w:cs="Times New Roman"/>
          <w:color w:val="000000" w:themeColor="text1"/>
          <w:sz w:val="24"/>
          <w:szCs w:val="24"/>
        </w:rPr>
        <w:t>Your</w:t>
      </w:r>
      <w:r w:rsidR="00154E9D" w:rsidRPr="006B091B">
        <w:rPr>
          <w:rFonts w:ascii="Times New Roman" w:hAnsi="Times New Roman" w:cs="Times New Roman"/>
          <w:color w:val="000000" w:themeColor="text1"/>
          <w:sz w:val="24"/>
          <w:szCs w:val="24"/>
        </w:rPr>
        <w:t xml:space="preserve"> funds quickly. Note that some money market accounts have withdrawal limits. If </w:t>
      </w:r>
      <w:r w:rsidR="00762E40">
        <w:rPr>
          <w:rFonts w:ascii="Times New Roman" w:hAnsi="Times New Roman" w:cs="Times New Roman"/>
          <w:color w:val="000000" w:themeColor="text1"/>
          <w:sz w:val="24"/>
          <w:szCs w:val="24"/>
        </w:rPr>
        <w:t>We</w:t>
      </w:r>
      <w:r w:rsidR="00154E9D" w:rsidRPr="006B091B">
        <w:rPr>
          <w:rFonts w:ascii="Times New Roman" w:hAnsi="Times New Roman" w:cs="Times New Roman"/>
          <w:color w:val="000000" w:themeColor="text1"/>
          <w:sz w:val="24"/>
          <w:szCs w:val="24"/>
        </w:rPr>
        <w:t xml:space="preserve"> exceed the limit, </w:t>
      </w:r>
      <w:r w:rsidR="00762E40">
        <w:rPr>
          <w:rFonts w:ascii="Times New Roman" w:hAnsi="Times New Roman" w:cs="Times New Roman"/>
          <w:color w:val="000000" w:themeColor="text1"/>
          <w:sz w:val="24"/>
          <w:szCs w:val="24"/>
        </w:rPr>
        <w:t>we</w:t>
      </w:r>
      <w:r w:rsidR="00154E9D" w:rsidRPr="006B091B">
        <w:rPr>
          <w:rFonts w:ascii="Times New Roman" w:hAnsi="Times New Roman" w:cs="Times New Roman"/>
          <w:color w:val="000000" w:themeColor="text1"/>
          <w:sz w:val="24"/>
          <w:szCs w:val="24"/>
        </w:rPr>
        <w:t xml:space="preserve"> may have to pay a fee.</w:t>
      </w:r>
      <w:r w:rsidRPr="006B091B">
        <w:rPr>
          <w:rFonts w:ascii="Times New Roman" w:hAnsi="Times New Roman" w:cs="Times New Roman"/>
          <w:color w:val="000000" w:themeColor="text1"/>
          <w:sz w:val="24"/>
          <w:szCs w:val="24"/>
        </w:rPr>
        <w:t xml:space="preserve"> </w:t>
      </w:r>
      <w:r w:rsidR="00154E9D" w:rsidRPr="006B091B">
        <w:rPr>
          <w:rFonts w:ascii="Times New Roman" w:hAnsi="Times New Roman" w:cs="Times New Roman"/>
          <w:color w:val="000000" w:themeColor="text1"/>
          <w:sz w:val="24"/>
          <w:szCs w:val="24"/>
        </w:rPr>
        <w:t>Generally, money market accounts are ideal for individuals with short-term savings goals.</w:t>
      </w:r>
    </w:p>
    <w:p w14:paraId="3A892CB4" w14:textId="0D79E5CD" w:rsidR="006B091B" w:rsidRPr="006B091B" w:rsidRDefault="006B091B" w:rsidP="006B091B">
      <w:pPr>
        <w:pStyle w:val="ListParagraph"/>
        <w:numPr>
          <w:ilvl w:val="0"/>
          <w:numId w:val="7"/>
        </w:numPr>
        <w:spacing w:before="100" w:beforeAutospacing="1" w:after="100" w:afterAutospacing="1" w:line="240" w:lineRule="auto"/>
        <w:rPr>
          <w:rFonts w:ascii="Times New Roman" w:hAnsi="Times New Roman" w:cs="Times New Roman"/>
          <w:sz w:val="24"/>
          <w:szCs w:val="24"/>
        </w:rPr>
      </w:pPr>
      <w:r w:rsidRPr="006B091B">
        <w:rPr>
          <w:rFonts w:ascii="Times New Roman" w:hAnsi="Times New Roman" w:cs="Times New Roman"/>
          <w:sz w:val="24"/>
          <w:szCs w:val="24"/>
        </w:rPr>
        <w:t>As of June 2024, total money market fund assets stood at approximately $6.1 trillion. This represented a slight decrease of $22.32 billion over a six-day period, mainly driven by a reduction in government funds and prime funds​.</w:t>
      </w:r>
    </w:p>
    <w:p w14:paraId="19228E6D" w14:textId="3935EED4" w:rsidR="006B091B" w:rsidRPr="006B091B" w:rsidRDefault="006B091B" w:rsidP="006B091B">
      <w:pPr>
        <w:pStyle w:val="ListParagraph"/>
        <w:numPr>
          <w:ilvl w:val="0"/>
          <w:numId w:val="7"/>
        </w:numPr>
        <w:shd w:val="clear" w:color="auto" w:fill="FEFEFE"/>
        <w:spacing w:after="300" w:line="240" w:lineRule="auto"/>
        <w:rPr>
          <w:rFonts w:ascii="Times New Roman" w:hAnsi="Times New Roman" w:cs="Times New Roman"/>
          <w:sz w:val="24"/>
          <w:szCs w:val="24"/>
        </w:rPr>
      </w:pPr>
      <w:r w:rsidRPr="006B091B">
        <w:rPr>
          <w:rFonts w:ascii="Times New Roman" w:hAnsi="Times New Roman" w:cs="Times New Roman"/>
          <w:sz w:val="24"/>
          <w:szCs w:val="24"/>
        </w:rPr>
        <w:t>Money Market Accounts are insured by the FDIC (Federal Deposit Insurance Corporation) for banks and the NCUA (National Credit Union Administration) for credit unions, up to $250,000 per depositor, per institution, providing a high level of safety for depositors.</w:t>
      </w:r>
    </w:p>
    <w:p w14:paraId="0FE3A60E" w14:textId="26C5A6CA" w:rsidR="00154E9D" w:rsidRDefault="00154E9D" w:rsidP="006B091B">
      <w:pPr>
        <w:pStyle w:val="ListParagraph"/>
        <w:numPr>
          <w:ilvl w:val="0"/>
          <w:numId w:val="7"/>
        </w:numPr>
        <w:shd w:val="clear" w:color="auto" w:fill="FEFEFE"/>
        <w:spacing w:after="300" w:line="240" w:lineRule="auto"/>
        <w:rPr>
          <w:rFonts w:ascii="Times New Roman" w:hAnsi="Times New Roman" w:cs="Times New Roman"/>
          <w:color w:val="1E2B22"/>
          <w:sz w:val="24"/>
          <w:szCs w:val="24"/>
          <w:shd w:val="clear" w:color="auto" w:fill="FFFFFF"/>
        </w:rPr>
      </w:pPr>
      <w:r w:rsidRPr="006B091B">
        <w:rPr>
          <w:rFonts w:ascii="Times New Roman" w:hAnsi="Times New Roman" w:cs="Times New Roman"/>
          <w:color w:val="1E2B22"/>
          <w:sz w:val="24"/>
          <w:szCs w:val="24"/>
          <w:shd w:val="clear" w:color="auto" w:fill="FFFFFF"/>
        </w:rPr>
        <w:t>Currently, the average APY for standard money market accounts is 0.66%, according to the </w:t>
      </w:r>
      <w:hyperlink r:id="rId8" w:history="1">
        <w:r w:rsidRPr="006B091B">
          <w:rPr>
            <w:rStyle w:val="Hyperlink"/>
            <w:rFonts w:ascii="Times New Roman" w:hAnsi="Times New Roman" w:cs="Times New Roman"/>
            <w:b/>
            <w:bCs/>
            <w:color w:val="5B7B66"/>
            <w:sz w:val="24"/>
            <w:szCs w:val="24"/>
            <w:shd w:val="clear" w:color="auto" w:fill="FFFFFF"/>
          </w:rPr>
          <w:t>FDIC</w:t>
        </w:r>
      </w:hyperlink>
      <w:r w:rsidRPr="006B091B">
        <w:rPr>
          <w:rFonts w:ascii="Times New Roman" w:hAnsi="Times New Roman" w:cs="Times New Roman"/>
          <w:color w:val="1E2B22"/>
          <w:sz w:val="24"/>
          <w:szCs w:val="24"/>
          <w:shd w:val="clear" w:color="auto" w:fill="FFFFFF"/>
        </w:rPr>
        <w:t>. Several banks offer high-yield money market accounts with APYs of 4% or higher including </w:t>
      </w:r>
      <w:hyperlink r:id="rId9" w:history="1">
        <w:r w:rsidRPr="006B091B">
          <w:rPr>
            <w:rStyle w:val="Hyperlink"/>
            <w:rFonts w:ascii="Times New Roman" w:hAnsi="Times New Roman" w:cs="Times New Roman"/>
            <w:b/>
            <w:bCs/>
            <w:color w:val="5B7B66"/>
            <w:sz w:val="24"/>
            <w:szCs w:val="24"/>
            <w:shd w:val="clear" w:color="auto" w:fill="FFFFFF"/>
          </w:rPr>
          <w:t>U.S. Bank</w:t>
        </w:r>
      </w:hyperlink>
      <w:r w:rsidRPr="006B091B">
        <w:rPr>
          <w:rFonts w:ascii="Times New Roman" w:hAnsi="Times New Roman" w:cs="Times New Roman"/>
          <w:color w:val="1E2B22"/>
          <w:sz w:val="24"/>
          <w:szCs w:val="24"/>
          <w:shd w:val="clear" w:color="auto" w:fill="FFFFFF"/>
        </w:rPr>
        <w:t>, Quontic and EverBank. </w:t>
      </w:r>
    </w:p>
    <w:p w14:paraId="75B80197" w14:textId="77777777" w:rsidR="006B091B" w:rsidRPr="006B091B" w:rsidRDefault="006B091B" w:rsidP="006B091B">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91B">
        <w:rPr>
          <w:rFonts w:ascii="Times New Roman" w:eastAsia="Times New Roman" w:hAnsi="Times New Roman" w:cs="Times New Roman"/>
          <w:b/>
          <w:bCs/>
          <w:kern w:val="0"/>
          <w:sz w:val="24"/>
          <w:szCs w:val="24"/>
          <w:lang w:eastAsia="en-IN"/>
          <w14:ligatures w14:val="none"/>
        </w:rPr>
        <w:t>Truth in Savings Act</w:t>
      </w:r>
      <w:r w:rsidRPr="006B091B">
        <w:rPr>
          <w:rFonts w:ascii="Times New Roman" w:eastAsia="Times New Roman" w:hAnsi="Times New Roman" w:cs="Times New Roman"/>
          <w:kern w:val="0"/>
          <w:sz w:val="24"/>
          <w:szCs w:val="24"/>
          <w:lang w:eastAsia="en-IN"/>
          <w14:ligatures w14:val="none"/>
        </w:rPr>
        <w:t>: This act requires banks and credit unions to provide clear and accurate information about the terms and conditions of MMAs, including the annual percentage yield (APY), fees, and other important details.</w:t>
      </w:r>
    </w:p>
    <w:p w14:paraId="677E5CB9" w14:textId="7F984126" w:rsidR="006B091B" w:rsidRPr="006B091B" w:rsidRDefault="006B091B" w:rsidP="006B091B">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091B">
        <w:rPr>
          <w:rFonts w:ascii="Times New Roman" w:hAnsi="Times New Roman" w:cs="Times New Roman"/>
          <w:sz w:val="24"/>
          <w:szCs w:val="24"/>
        </w:rPr>
        <w:lastRenderedPageBreak/>
        <w:t>The SEC regulates money market funds under Rule 2a-7 of the Investment Company Act of 1940. These regulations are designed to ensure stability and liquidity, including requirements for diversification, credit quality, and maturity of assets.</w:t>
      </w:r>
    </w:p>
    <w:p w14:paraId="4CB7B24E" w14:textId="77777777" w:rsidR="006B091B" w:rsidRPr="006B091B" w:rsidRDefault="006B091B" w:rsidP="006B091B">
      <w:pPr>
        <w:pStyle w:val="ListParagraph"/>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tbl>
      <w:tblPr>
        <w:tblStyle w:val="PlainTable1"/>
        <w:tblW w:w="0" w:type="auto"/>
        <w:jc w:val="center"/>
        <w:tblLook w:val="04A0" w:firstRow="1" w:lastRow="0" w:firstColumn="1" w:lastColumn="0" w:noHBand="0" w:noVBand="1"/>
      </w:tblPr>
      <w:tblGrid>
        <w:gridCol w:w="2868"/>
        <w:gridCol w:w="2868"/>
      </w:tblGrid>
      <w:tr w:rsidR="00C141E5" w:rsidRPr="006B091B" w14:paraId="0FFE42B6" w14:textId="77777777" w:rsidTr="00762E40">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2868" w:type="dxa"/>
          </w:tcPr>
          <w:p w14:paraId="28DC06FF" w14:textId="1E6BC891" w:rsidR="00C141E5" w:rsidRPr="006B091B" w:rsidRDefault="00C141E5" w:rsidP="00F35545">
            <w:pPr>
              <w:spacing w:after="30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Month- Year</w:t>
            </w:r>
          </w:p>
        </w:tc>
        <w:tc>
          <w:tcPr>
            <w:tcW w:w="2868" w:type="dxa"/>
          </w:tcPr>
          <w:p w14:paraId="1C053CE8" w14:textId="2D5FAC02" w:rsidR="00C141E5" w:rsidRPr="006B091B" w:rsidRDefault="00C141E5" w:rsidP="00F35545">
            <w:pPr>
              <w:spacing w:after="3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National Average Money Market Rate (%)</w:t>
            </w:r>
          </w:p>
        </w:tc>
      </w:tr>
      <w:tr w:rsidR="00C141E5" w:rsidRPr="006B091B" w14:paraId="0DCDBB8E" w14:textId="77777777" w:rsidTr="00762E40">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2868" w:type="dxa"/>
          </w:tcPr>
          <w:p w14:paraId="2851FCF6" w14:textId="70C08B87" w:rsidR="00C141E5" w:rsidRPr="006B091B" w:rsidRDefault="00C141E5" w:rsidP="00F35545">
            <w:pPr>
              <w:spacing w:after="30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Apr 2022</w:t>
            </w:r>
          </w:p>
        </w:tc>
        <w:tc>
          <w:tcPr>
            <w:tcW w:w="2868" w:type="dxa"/>
          </w:tcPr>
          <w:p w14:paraId="6C622FB9" w14:textId="11DFD46F" w:rsidR="00C141E5" w:rsidRPr="006B091B" w:rsidRDefault="00C141E5"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0.10</w:t>
            </w:r>
          </w:p>
        </w:tc>
      </w:tr>
      <w:tr w:rsidR="00C141E5" w:rsidRPr="006B091B" w14:paraId="3FE997CF" w14:textId="77777777" w:rsidTr="00762E40">
        <w:trPr>
          <w:trHeight w:val="308"/>
          <w:jc w:val="center"/>
        </w:trPr>
        <w:tc>
          <w:tcPr>
            <w:cnfStyle w:val="001000000000" w:firstRow="0" w:lastRow="0" w:firstColumn="1" w:lastColumn="0" w:oddVBand="0" w:evenVBand="0" w:oddHBand="0" w:evenHBand="0" w:firstRowFirstColumn="0" w:firstRowLastColumn="0" w:lastRowFirstColumn="0" w:lastRowLastColumn="0"/>
            <w:tcW w:w="2868" w:type="dxa"/>
          </w:tcPr>
          <w:p w14:paraId="28A0E711" w14:textId="2DB9CDF0" w:rsidR="00C141E5" w:rsidRPr="006B091B" w:rsidRDefault="00C141E5" w:rsidP="00F35545">
            <w:pPr>
              <w:spacing w:after="30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July 2022</w:t>
            </w:r>
          </w:p>
        </w:tc>
        <w:tc>
          <w:tcPr>
            <w:tcW w:w="2868" w:type="dxa"/>
          </w:tcPr>
          <w:p w14:paraId="3FCD3EA8" w14:textId="404644F9" w:rsidR="00C141E5" w:rsidRPr="006B091B" w:rsidRDefault="00C141E5"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0.15</w:t>
            </w:r>
          </w:p>
        </w:tc>
      </w:tr>
      <w:tr w:rsidR="00C141E5" w:rsidRPr="006B091B" w14:paraId="7D1DF1A2" w14:textId="77777777" w:rsidTr="00762E40">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2868" w:type="dxa"/>
          </w:tcPr>
          <w:p w14:paraId="7F71C5CC" w14:textId="33708B70" w:rsidR="00C141E5" w:rsidRPr="006B091B" w:rsidRDefault="00C141E5" w:rsidP="00F35545">
            <w:pPr>
              <w:spacing w:after="30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Oct 2022</w:t>
            </w:r>
          </w:p>
        </w:tc>
        <w:tc>
          <w:tcPr>
            <w:tcW w:w="2868" w:type="dxa"/>
          </w:tcPr>
          <w:p w14:paraId="4ABE2F00" w14:textId="6B696E38" w:rsidR="00C141E5" w:rsidRPr="006B091B" w:rsidRDefault="00C141E5"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0.30</w:t>
            </w:r>
          </w:p>
        </w:tc>
      </w:tr>
      <w:tr w:rsidR="00C141E5" w:rsidRPr="006B091B" w14:paraId="4519A085" w14:textId="77777777" w:rsidTr="00762E40">
        <w:trPr>
          <w:trHeight w:val="316"/>
          <w:jc w:val="center"/>
        </w:trPr>
        <w:tc>
          <w:tcPr>
            <w:cnfStyle w:val="001000000000" w:firstRow="0" w:lastRow="0" w:firstColumn="1" w:lastColumn="0" w:oddVBand="0" w:evenVBand="0" w:oddHBand="0" w:evenHBand="0" w:firstRowFirstColumn="0" w:firstRowLastColumn="0" w:lastRowFirstColumn="0" w:lastRowLastColumn="0"/>
            <w:tcW w:w="2868" w:type="dxa"/>
          </w:tcPr>
          <w:p w14:paraId="00CBBD81" w14:textId="1865F7C8" w:rsidR="00C141E5" w:rsidRPr="006B091B" w:rsidRDefault="00C141E5" w:rsidP="00F35545">
            <w:pPr>
              <w:spacing w:after="30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Jan 2023</w:t>
            </w:r>
          </w:p>
        </w:tc>
        <w:tc>
          <w:tcPr>
            <w:tcW w:w="2868" w:type="dxa"/>
          </w:tcPr>
          <w:p w14:paraId="2331B5D6" w14:textId="11DF5D73" w:rsidR="00C141E5" w:rsidRPr="006B091B" w:rsidRDefault="00C141E5"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0.45</w:t>
            </w:r>
          </w:p>
        </w:tc>
      </w:tr>
      <w:tr w:rsidR="00C141E5" w:rsidRPr="006B091B" w14:paraId="058C8006" w14:textId="77777777" w:rsidTr="00762E40">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2868" w:type="dxa"/>
          </w:tcPr>
          <w:p w14:paraId="032FE221" w14:textId="73E2CFF6" w:rsidR="00C141E5" w:rsidRPr="006B091B" w:rsidRDefault="00C141E5" w:rsidP="00F35545">
            <w:pPr>
              <w:spacing w:after="30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Apr 2023</w:t>
            </w:r>
          </w:p>
        </w:tc>
        <w:tc>
          <w:tcPr>
            <w:tcW w:w="2868" w:type="dxa"/>
          </w:tcPr>
          <w:p w14:paraId="5F02B2A6" w14:textId="58DD88A6" w:rsidR="00C141E5" w:rsidRPr="006B091B" w:rsidRDefault="00C141E5"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0.52</w:t>
            </w:r>
          </w:p>
        </w:tc>
      </w:tr>
      <w:tr w:rsidR="00C141E5" w:rsidRPr="006B091B" w14:paraId="6FFCA02F" w14:textId="77777777" w:rsidTr="00762E40">
        <w:trPr>
          <w:trHeight w:val="316"/>
          <w:jc w:val="center"/>
        </w:trPr>
        <w:tc>
          <w:tcPr>
            <w:cnfStyle w:val="001000000000" w:firstRow="0" w:lastRow="0" w:firstColumn="1" w:lastColumn="0" w:oddVBand="0" w:evenVBand="0" w:oddHBand="0" w:evenHBand="0" w:firstRowFirstColumn="0" w:firstRowLastColumn="0" w:lastRowFirstColumn="0" w:lastRowLastColumn="0"/>
            <w:tcW w:w="2868" w:type="dxa"/>
          </w:tcPr>
          <w:p w14:paraId="7A181801" w14:textId="579C0CA8" w:rsidR="00C141E5" w:rsidRPr="006B091B" w:rsidRDefault="00C141E5" w:rsidP="00F35545">
            <w:pPr>
              <w:spacing w:after="30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Jul 2023</w:t>
            </w:r>
          </w:p>
        </w:tc>
        <w:tc>
          <w:tcPr>
            <w:tcW w:w="2868" w:type="dxa"/>
          </w:tcPr>
          <w:p w14:paraId="095DD68D" w14:textId="0E0EE435" w:rsidR="00C141E5" w:rsidRPr="006B091B" w:rsidRDefault="00C141E5"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0.53</w:t>
            </w:r>
          </w:p>
        </w:tc>
      </w:tr>
      <w:tr w:rsidR="00C141E5" w:rsidRPr="006B091B" w14:paraId="77EF1555" w14:textId="77777777" w:rsidTr="00762E40">
        <w:trPr>
          <w:cnfStyle w:val="000000100000" w:firstRow="0" w:lastRow="0" w:firstColumn="0" w:lastColumn="0" w:oddVBand="0" w:evenVBand="0" w:oddHBand="1" w:evenHBand="0" w:firstRowFirstColumn="0" w:firstRowLastColumn="0" w:lastRowFirstColumn="0" w:lastRowLastColumn="0"/>
          <w:trHeight w:val="308"/>
          <w:jc w:val="center"/>
        </w:trPr>
        <w:tc>
          <w:tcPr>
            <w:cnfStyle w:val="001000000000" w:firstRow="0" w:lastRow="0" w:firstColumn="1" w:lastColumn="0" w:oddVBand="0" w:evenVBand="0" w:oddHBand="0" w:evenHBand="0" w:firstRowFirstColumn="0" w:firstRowLastColumn="0" w:lastRowFirstColumn="0" w:lastRowLastColumn="0"/>
            <w:tcW w:w="2868" w:type="dxa"/>
          </w:tcPr>
          <w:p w14:paraId="499A176C" w14:textId="70F67E77" w:rsidR="00C141E5" w:rsidRPr="006B091B" w:rsidRDefault="00C141E5" w:rsidP="00F35545">
            <w:pPr>
              <w:spacing w:after="30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Oct 2023</w:t>
            </w:r>
          </w:p>
        </w:tc>
        <w:tc>
          <w:tcPr>
            <w:tcW w:w="2868" w:type="dxa"/>
          </w:tcPr>
          <w:p w14:paraId="378156E3" w14:textId="170901E3" w:rsidR="00C141E5" w:rsidRPr="006B091B" w:rsidRDefault="00C141E5"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0.54</w:t>
            </w:r>
          </w:p>
        </w:tc>
      </w:tr>
      <w:tr w:rsidR="00C141E5" w:rsidRPr="006B091B" w14:paraId="5FA23954" w14:textId="77777777" w:rsidTr="00762E40">
        <w:trPr>
          <w:trHeight w:val="316"/>
          <w:jc w:val="center"/>
        </w:trPr>
        <w:tc>
          <w:tcPr>
            <w:cnfStyle w:val="001000000000" w:firstRow="0" w:lastRow="0" w:firstColumn="1" w:lastColumn="0" w:oddVBand="0" w:evenVBand="0" w:oddHBand="0" w:evenHBand="0" w:firstRowFirstColumn="0" w:firstRowLastColumn="0" w:lastRowFirstColumn="0" w:lastRowLastColumn="0"/>
            <w:tcW w:w="2868" w:type="dxa"/>
          </w:tcPr>
          <w:p w14:paraId="27D588FC" w14:textId="6C3DBF87" w:rsidR="00C141E5" w:rsidRPr="006B091B" w:rsidRDefault="00C141E5" w:rsidP="00F35545">
            <w:pPr>
              <w:spacing w:after="30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Jan 2024</w:t>
            </w:r>
          </w:p>
        </w:tc>
        <w:tc>
          <w:tcPr>
            <w:tcW w:w="2868" w:type="dxa"/>
          </w:tcPr>
          <w:p w14:paraId="45F4E92D" w14:textId="546F5C1F" w:rsidR="00C141E5" w:rsidRPr="006B091B" w:rsidRDefault="00C141E5"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color w:val="0A0A0A"/>
                <w:spacing w:val="-7"/>
                <w:kern w:val="0"/>
                <w:sz w:val="24"/>
                <w:szCs w:val="24"/>
                <w:lang w:eastAsia="en-IN"/>
                <w14:ligatures w14:val="none"/>
              </w:rPr>
              <w:t>0.57</w:t>
            </w:r>
          </w:p>
        </w:tc>
      </w:tr>
    </w:tbl>
    <w:p w14:paraId="1CF3BD73" w14:textId="4702EE0D" w:rsidR="00C141E5" w:rsidRPr="006B091B" w:rsidRDefault="00C141E5" w:rsidP="00F35545">
      <w:pPr>
        <w:shd w:val="clear" w:color="auto" w:fill="FEFEFE"/>
        <w:spacing w:after="300" w:line="240" w:lineRule="auto"/>
        <w:rPr>
          <w:rFonts w:ascii="Times New Roman" w:eastAsia="Times New Roman" w:hAnsi="Times New Roman" w:cs="Times New Roman"/>
          <w:color w:val="0A0A0A"/>
          <w:spacing w:val="-7"/>
          <w:kern w:val="0"/>
          <w:sz w:val="24"/>
          <w:szCs w:val="24"/>
          <w:lang w:eastAsia="en-IN"/>
          <w14:ligatures w14:val="none"/>
        </w:rPr>
      </w:pPr>
    </w:p>
    <w:p w14:paraId="3258B6D2" w14:textId="05295DC6" w:rsidR="00C141E5" w:rsidRDefault="00C141E5" w:rsidP="00A7700D">
      <w:pPr>
        <w:shd w:val="clear" w:color="auto" w:fill="FEFEFE"/>
        <w:spacing w:after="300" w:line="240" w:lineRule="auto"/>
        <w:jc w:val="center"/>
        <w:rPr>
          <w:rFonts w:ascii="Times New Roman" w:eastAsia="Times New Roman" w:hAnsi="Times New Roman" w:cs="Times New Roman"/>
          <w:color w:val="0A0A0A"/>
          <w:spacing w:val="-7"/>
          <w:kern w:val="0"/>
          <w:sz w:val="24"/>
          <w:szCs w:val="24"/>
          <w:lang w:eastAsia="en-IN"/>
          <w14:ligatures w14:val="none"/>
        </w:rPr>
      </w:pPr>
      <w:r w:rsidRPr="006B091B">
        <w:rPr>
          <w:rFonts w:ascii="Times New Roman" w:eastAsia="Times New Roman" w:hAnsi="Times New Roman" w:cs="Times New Roman"/>
          <w:noProof/>
          <w:color w:val="0A0A0A"/>
          <w:spacing w:val="-7"/>
          <w:kern w:val="0"/>
          <w:sz w:val="24"/>
          <w:szCs w:val="24"/>
          <w:lang w:eastAsia="en-IN"/>
          <w14:ligatures w14:val="none"/>
        </w:rPr>
        <w:drawing>
          <wp:inline distT="0" distB="0" distL="0" distR="0" wp14:anchorId="1EFF1B4C" wp14:editId="6B928C1B">
            <wp:extent cx="3779520" cy="1851420"/>
            <wp:effectExtent l="0" t="0" r="0" b="0"/>
            <wp:docPr id="142490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03448" name=""/>
                    <pic:cNvPicPr/>
                  </pic:nvPicPr>
                  <pic:blipFill rotWithShape="1">
                    <a:blip r:embed="rId10"/>
                    <a:srcRect r="7275" b="5600"/>
                    <a:stretch/>
                  </pic:blipFill>
                  <pic:spPr bwMode="auto">
                    <a:xfrm>
                      <a:off x="0" y="0"/>
                      <a:ext cx="3797247" cy="186010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PlainTable1"/>
        <w:tblW w:w="0" w:type="auto"/>
        <w:jc w:val="center"/>
        <w:tblLook w:val="04A0" w:firstRow="1" w:lastRow="0" w:firstColumn="1" w:lastColumn="0" w:noHBand="0" w:noVBand="1"/>
      </w:tblPr>
      <w:tblGrid>
        <w:gridCol w:w="3254"/>
        <w:gridCol w:w="3254"/>
      </w:tblGrid>
      <w:tr w:rsidR="006B091B" w14:paraId="01CF508C" w14:textId="77777777" w:rsidTr="00762E40">
        <w:trPr>
          <w:cnfStyle w:val="100000000000" w:firstRow="1" w:lastRow="0" w:firstColumn="0" w:lastColumn="0" w:oddVBand="0" w:evenVBand="0" w:oddHBand="0"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254" w:type="dxa"/>
          </w:tcPr>
          <w:p w14:paraId="1837AC64" w14:textId="5B06FB51" w:rsidR="006B091B" w:rsidRDefault="007504B7" w:rsidP="00F35545">
            <w:pPr>
              <w:spacing w:after="300"/>
              <w:rPr>
                <w:rFonts w:ascii="Times New Roman" w:eastAsia="Times New Roman" w:hAnsi="Times New Roman" w:cs="Times New Roman"/>
                <w:color w:val="0A0A0A"/>
                <w:spacing w:val="-7"/>
                <w:kern w:val="0"/>
                <w:sz w:val="24"/>
                <w:szCs w:val="24"/>
                <w:lang w:eastAsia="en-IN"/>
                <w14:ligatures w14:val="none"/>
              </w:rPr>
            </w:pPr>
            <w:r>
              <w:rPr>
                <w:rFonts w:ascii="Times New Roman" w:eastAsia="Times New Roman" w:hAnsi="Times New Roman" w:cs="Times New Roman"/>
                <w:color w:val="0A0A0A"/>
                <w:spacing w:val="-7"/>
                <w:kern w:val="0"/>
                <w:sz w:val="24"/>
                <w:szCs w:val="24"/>
                <w:lang w:eastAsia="en-IN"/>
                <w14:ligatures w14:val="none"/>
              </w:rPr>
              <w:t>Account Type</w:t>
            </w:r>
          </w:p>
        </w:tc>
        <w:tc>
          <w:tcPr>
            <w:tcW w:w="3254" w:type="dxa"/>
          </w:tcPr>
          <w:p w14:paraId="2ADD2B35" w14:textId="1DC88C81" w:rsidR="006B091B" w:rsidRDefault="007504B7" w:rsidP="00F35545">
            <w:pPr>
              <w:spacing w:after="30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Pr>
                <w:rFonts w:ascii="Times New Roman" w:eastAsia="Times New Roman" w:hAnsi="Times New Roman" w:cs="Times New Roman"/>
                <w:color w:val="0A0A0A"/>
                <w:spacing w:val="-7"/>
                <w:kern w:val="0"/>
                <w:sz w:val="24"/>
                <w:szCs w:val="24"/>
                <w:lang w:eastAsia="en-IN"/>
                <w14:ligatures w14:val="none"/>
              </w:rPr>
              <w:t>Average Interest Rate</w:t>
            </w:r>
          </w:p>
        </w:tc>
      </w:tr>
      <w:tr w:rsidR="006B091B" w14:paraId="173E4FEC" w14:textId="77777777" w:rsidTr="00762E40">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254" w:type="dxa"/>
          </w:tcPr>
          <w:p w14:paraId="0951B87F" w14:textId="6D14B826" w:rsidR="006B091B" w:rsidRDefault="007504B7" w:rsidP="00F35545">
            <w:pPr>
              <w:spacing w:after="300"/>
              <w:rPr>
                <w:rFonts w:ascii="Times New Roman" w:eastAsia="Times New Roman" w:hAnsi="Times New Roman" w:cs="Times New Roman"/>
                <w:color w:val="0A0A0A"/>
                <w:spacing w:val="-7"/>
                <w:kern w:val="0"/>
                <w:sz w:val="24"/>
                <w:szCs w:val="24"/>
                <w:lang w:eastAsia="en-IN"/>
                <w14:ligatures w14:val="none"/>
              </w:rPr>
            </w:pPr>
            <w:r>
              <w:rPr>
                <w:rFonts w:ascii="Times New Roman" w:eastAsia="Times New Roman" w:hAnsi="Times New Roman" w:cs="Times New Roman"/>
                <w:color w:val="0A0A0A"/>
                <w:spacing w:val="-7"/>
                <w:kern w:val="0"/>
                <w:sz w:val="24"/>
                <w:szCs w:val="24"/>
                <w:lang w:eastAsia="en-IN"/>
                <w14:ligatures w14:val="none"/>
              </w:rPr>
              <w:t>Checking Account</w:t>
            </w:r>
          </w:p>
        </w:tc>
        <w:tc>
          <w:tcPr>
            <w:tcW w:w="3254" w:type="dxa"/>
          </w:tcPr>
          <w:p w14:paraId="1F1F8502" w14:textId="483720A7" w:rsidR="006B091B" w:rsidRPr="007504B7" w:rsidRDefault="007504B7" w:rsidP="007504B7">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Pr>
                <w:rFonts w:ascii="Times New Roman" w:eastAsia="Times New Roman" w:hAnsi="Times New Roman" w:cs="Times New Roman"/>
                <w:color w:val="0A0A0A"/>
                <w:spacing w:val="-7"/>
                <w:kern w:val="0"/>
                <w:sz w:val="24"/>
                <w:szCs w:val="24"/>
                <w:lang w:eastAsia="en-IN"/>
                <w14:ligatures w14:val="none"/>
              </w:rPr>
              <w:t>0.01% - 0.05%</w:t>
            </w:r>
          </w:p>
        </w:tc>
      </w:tr>
      <w:tr w:rsidR="006B091B" w14:paraId="5CFF616A" w14:textId="77777777" w:rsidTr="00762E40">
        <w:trPr>
          <w:trHeight w:val="375"/>
          <w:jc w:val="center"/>
        </w:trPr>
        <w:tc>
          <w:tcPr>
            <w:cnfStyle w:val="001000000000" w:firstRow="0" w:lastRow="0" w:firstColumn="1" w:lastColumn="0" w:oddVBand="0" w:evenVBand="0" w:oddHBand="0" w:evenHBand="0" w:firstRowFirstColumn="0" w:firstRowLastColumn="0" w:lastRowFirstColumn="0" w:lastRowLastColumn="0"/>
            <w:tcW w:w="3254" w:type="dxa"/>
          </w:tcPr>
          <w:p w14:paraId="4C8CCFC9" w14:textId="62141631" w:rsidR="006B091B" w:rsidRDefault="007504B7" w:rsidP="00F35545">
            <w:pPr>
              <w:spacing w:after="300"/>
              <w:rPr>
                <w:rFonts w:ascii="Times New Roman" w:eastAsia="Times New Roman" w:hAnsi="Times New Roman" w:cs="Times New Roman"/>
                <w:color w:val="0A0A0A"/>
                <w:spacing w:val="-7"/>
                <w:kern w:val="0"/>
                <w:sz w:val="24"/>
                <w:szCs w:val="24"/>
                <w:lang w:eastAsia="en-IN"/>
                <w14:ligatures w14:val="none"/>
              </w:rPr>
            </w:pPr>
            <w:r>
              <w:rPr>
                <w:rFonts w:ascii="Times New Roman" w:eastAsia="Times New Roman" w:hAnsi="Times New Roman" w:cs="Times New Roman"/>
                <w:color w:val="0A0A0A"/>
                <w:spacing w:val="-7"/>
                <w:kern w:val="0"/>
                <w:sz w:val="24"/>
                <w:szCs w:val="24"/>
                <w:lang w:eastAsia="en-IN"/>
                <w14:ligatures w14:val="none"/>
              </w:rPr>
              <w:t>Savings Account</w:t>
            </w:r>
          </w:p>
        </w:tc>
        <w:tc>
          <w:tcPr>
            <w:tcW w:w="3254" w:type="dxa"/>
          </w:tcPr>
          <w:p w14:paraId="510C394F" w14:textId="2ABC7EFA" w:rsidR="006B091B" w:rsidRDefault="007504B7"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Pr>
                <w:rFonts w:ascii="Times New Roman" w:eastAsia="Times New Roman" w:hAnsi="Times New Roman" w:cs="Times New Roman"/>
                <w:color w:val="0A0A0A"/>
                <w:spacing w:val="-7"/>
                <w:kern w:val="0"/>
                <w:sz w:val="24"/>
                <w:szCs w:val="24"/>
                <w:lang w:eastAsia="en-IN"/>
                <w14:ligatures w14:val="none"/>
              </w:rPr>
              <w:t>0.30% - 0.60%</w:t>
            </w:r>
          </w:p>
        </w:tc>
      </w:tr>
      <w:tr w:rsidR="006B091B" w14:paraId="21D6CC25" w14:textId="77777777" w:rsidTr="00762E40">
        <w:trPr>
          <w:cnfStyle w:val="000000100000" w:firstRow="0" w:lastRow="0" w:firstColumn="0" w:lastColumn="0" w:oddVBand="0" w:evenVBand="0" w:oddHBand="1" w:evenHBand="0" w:firstRowFirstColumn="0" w:firstRowLastColumn="0" w:lastRowFirstColumn="0" w:lastRowLastColumn="0"/>
          <w:trHeight w:val="383"/>
          <w:jc w:val="center"/>
        </w:trPr>
        <w:tc>
          <w:tcPr>
            <w:cnfStyle w:val="001000000000" w:firstRow="0" w:lastRow="0" w:firstColumn="1" w:lastColumn="0" w:oddVBand="0" w:evenVBand="0" w:oddHBand="0" w:evenHBand="0" w:firstRowFirstColumn="0" w:firstRowLastColumn="0" w:lastRowFirstColumn="0" w:lastRowLastColumn="0"/>
            <w:tcW w:w="3254" w:type="dxa"/>
          </w:tcPr>
          <w:p w14:paraId="4C4917EB" w14:textId="0E0DADD9" w:rsidR="006B091B" w:rsidRDefault="007504B7" w:rsidP="00F35545">
            <w:pPr>
              <w:spacing w:after="300"/>
              <w:rPr>
                <w:rFonts w:ascii="Times New Roman" w:eastAsia="Times New Roman" w:hAnsi="Times New Roman" w:cs="Times New Roman"/>
                <w:color w:val="0A0A0A"/>
                <w:spacing w:val="-7"/>
                <w:kern w:val="0"/>
                <w:sz w:val="24"/>
                <w:szCs w:val="24"/>
                <w:lang w:eastAsia="en-IN"/>
                <w14:ligatures w14:val="none"/>
              </w:rPr>
            </w:pPr>
            <w:r>
              <w:rPr>
                <w:rFonts w:ascii="Times New Roman" w:eastAsia="Times New Roman" w:hAnsi="Times New Roman" w:cs="Times New Roman"/>
                <w:color w:val="0A0A0A"/>
                <w:spacing w:val="-7"/>
                <w:kern w:val="0"/>
                <w:sz w:val="24"/>
                <w:szCs w:val="24"/>
                <w:lang w:eastAsia="en-IN"/>
                <w14:ligatures w14:val="none"/>
              </w:rPr>
              <w:t>Certificate of Deposit (1-year)</w:t>
            </w:r>
          </w:p>
        </w:tc>
        <w:tc>
          <w:tcPr>
            <w:tcW w:w="3254" w:type="dxa"/>
          </w:tcPr>
          <w:p w14:paraId="2B27683E" w14:textId="33B453EB" w:rsidR="006B091B" w:rsidRDefault="007504B7" w:rsidP="00F35545">
            <w:pP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Pr>
                <w:rFonts w:ascii="Times New Roman" w:eastAsia="Times New Roman" w:hAnsi="Times New Roman" w:cs="Times New Roman"/>
                <w:color w:val="0A0A0A"/>
                <w:spacing w:val="-7"/>
                <w:kern w:val="0"/>
                <w:sz w:val="24"/>
                <w:szCs w:val="24"/>
                <w:lang w:eastAsia="en-IN"/>
                <w14:ligatures w14:val="none"/>
              </w:rPr>
              <w:t>1.25% - 1.75%</w:t>
            </w:r>
          </w:p>
        </w:tc>
      </w:tr>
      <w:tr w:rsidR="006B091B" w14:paraId="0A80CA3B" w14:textId="77777777" w:rsidTr="00762E40">
        <w:trPr>
          <w:trHeight w:val="383"/>
          <w:jc w:val="center"/>
        </w:trPr>
        <w:tc>
          <w:tcPr>
            <w:cnfStyle w:val="001000000000" w:firstRow="0" w:lastRow="0" w:firstColumn="1" w:lastColumn="0" w:oddVBand="0" w:evenVBand="0" w:oddHBand="0" w:evenHBand="0" w:firstRowFirstColumn="0" w:firstRowLastColumn="0" w:lastRowFirstColumn="0" w:lastRowLastColumn="0"/>
            <w:tcW w:w="3254" w:type="dxa"/>
          </w:tcPr>
          <w:p w14:paraId="48627511" w14:textId="6E80D405" w:rsidR="006B091B" w:rsidRDefault="007504B7" w:rsidP="00F35545">
            <w:pPr>
              <w:spacing w:after="300"/>
              <w:rPr>
                <w:rFonts w:ascii="Times New Roman" w:eastAsia="Times New Roman" w:hAnsi="Times New Roman" w:cs="Times New Roman"/>
                <w:color w:val="0A0A0A"/>
                <w:spacing w:val="-7"/>
                <w:kern w:val="0"/>
                <w:sz w:val="24"/>
                <w:szCs w:val="24"/>
                <w:lang w:eastAsia="en-IN"/>
                <w14:ligatures w14:val="none"/>
              </w:rPr>
            </w:pPr>
            <w:r>
              <w:rPr>
                <w:rFonts w:ascii="Times New Roman" w:eastAsia="Times New Roman" w:hAnsi="Times New Roman" w:cs="Times New Roman"/>
                <w:color w:val="0A0A0A"/>
                <w:spacing w:val="-7"/>
                <w:kern w:val="0"/>
                <w:sz w:val="24"/>
                <w:szCs w:val="24"/>
                <w:lang w:eastAsia="en-IN"/>
                <w14:ligatures w14:val="none"/>
              </w:rPr>
              <w:t>Money Market Account</w:t>
            </w:r>
          </w:p>
        </w:tc>
        <w:tc>
          <w:tcPr>
            <w:tcW w:w="3254" w:type="dxa"/>
          </w:tcPr>
          <w:p w14:paraId="0431EDEA" w14:textId="741B432F" w:rsidR="006B091B" w:rsidRDefault="007504B7" w:rsidP="00F35545">
            <w:pPr>
              <w:spacing w:after="30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A0A0A"/>
                <w:spacing w:val="-7"/>
                <w:kern w:val="0"/>
                <w:sz w:val="24"/>
                <w:szCs w:val="24"/>
                <w:lang w:eastAsia="en-IN"/>
                <w14:ligatures w14:val="none"/>
              </w:rPr>
            </w:pPr>
            <w:r>
              <w:rPr>
                <w:rFonts w:ascii="Times New Roman" w:eastAsia="Times New Roman" w:hAnsi="Times New Roman" w:cs="Times New Roman"/>
                <w:color w:val="0A0A0A"/>
                <w:spacing w:val="-7"/>
                <w:kern w:val="0"/>
                <w:sz w:val="24"/>
                <w:szCs w:val="24"/>
                <w:lang w:eastAsia="en-IN"/>
                <w14:ligatures w14:val="none"/>
              </w:rPr>
              <w:t>0.40% - 0.70%</w:t>
            </w:r>
          </w:p>
        </w:tc>
      </w:tr>
    </w:tbl>
    <w:p w14:paraId="415C6239" w14:textId="68D781BE" w:rsidR="00F35545" w:rsidRPr="007C5D30" w:rsidRDefault="004D7668">
      <w:pPr>
        <w:rPr>
          <w:rFonts w:ascii="Times New Roman" w:hAnsi="Times New Roman" w:cs="Times New Roman"/>
          <w:b/>
          <w:bCs/>
          <w:sz w:val="36"/>
          <w:szCs w:val="36"/>
          <w:u w:val="single"/>
          <w:lang w:val="en-US"/>
        </w:rPr>
      </w:pPr>
      <w:r w:rsidRPr="007C5D30">
        <w:rPr>
          <w:rFonts w:ascii="Times New Roman" w:hAnsi="Times New Roman" w:cs="Times New Roman"/>
          <w:b/>
          <w:bCs/>
          <w:sz w:val="36"/>
          <w:szCs w:val="36"/>
          <w:u w:val="single"/>
          <w:lang w:val="en-US"/>
        </w:rPr>
        <w:lastRenderedPageBreak/>
        <w:t>INDIVIDUAL RETIREMENT ACCOUNTS (IRAs)</w:t>
      </w:r>
    </w:p>
    <w:p w14:paraId="48FB7E5C" w14:textId="5214E51E" w:rsidR="004D7668" w:rsidRPr="007C5D30" w:rsidRDefault="008250AD" w:rsidP="007C5D30">
      <w:pPr>
        <w:pStyle w:val="ListParagraph"/>
        <w:numPr>
          <w:ilvl w:val="0"/>
          <w:numId w:val="10"/>
        </w:numPr>
        <w:rPr>
          <w:rFonts w:ascii="Times New Roman" w:hAnsi="Times New Roman" w:cs="Times New Roman"/>
          <w:color w:val="333333"/>
          <w:sz w:val="24"/>
          <w:szCs w:val="24"/>
          <w:shd w:val="clear" w:color="auto" w:fill="FFFFFF"/>
        </w:rPr>
      </w:pPr>
      <w:r w:rsidRPr="007C5D30">
        <w:rPr>
          <w:rFonts w:ascii="Times New Roman" w:hAnsi="Times New Roman" w:cs="Times New Roman"/>
          <w:color w:val="333333"/>
          <w:sz w:val="24"/>
          <w:szCs w:val="24"/>
          <w:shd w:val="clear" w:color="auto" w:fill="FFFFFF"/>
        </w:rPr>
        <w:t xml:space="preserve">An IRA is a retirement savings account that provides </w:t>
      </w:r>
      <w:r w:rsidR="00762E40">
        <w:rPr>
          <w:rFonts w:ascii="Times New Roman" w:hAnsi="Times New Roman" w:cs="Times New Roman"/>
          <w:color w:val="333333"/>
          <w:sz w:val="24"/>
          <w:szCs w:val="24"/>
          <w:shd w:val="clear" w:color="auto" w:fill="FFFFFF"/>
        </w:rPr>
        <w:t>We</w:t>
      </w:r>
      <w:r w:rsidRPr="007C5D30">
        <w:rPr>
          <w:rFonts w:ascii="Times New Roman" w:hAnsi="Times New Roman" w:cs="Times New Roman"/>
          <w:color w:val="333333"/>
          <w:sz w:val="24"/>
          <w:szCs w:val="24"/>
          <w:shd w:val="clear" w:color="auto" w:fill="FFFFFF"/>
        </w:rPr>
        <w:t xml:space="preserve"> with tax-free investment growth and a range of other tax advantages. Anyone who earns income—and even certain people who don’t—can contribute money to an IRA.</w:t>
      </w:r>
    </w:p>
    <w:p w14:paraId="37676CAB" w14:textId="58F18D77" w:rsidR="008250AD" w:rsidRPr="007C5D30" w:rsidRDefault="008250AD" w:rsidP="007C5D30">
      <w:pPr>
        <w:pStyle w:val="ListParagraph"/>
        <w:numPr>
          <w:ilvl w:val="0"/>
          <w:numId w:val="10"/>
        </w:numPr>
        <w:rPr>
          <w:rFonts w:ascii="Times New Roman" w:hAnsi="Times New Roman" w:cs="Times New Roman"/>
          <w:color w:val="333333"/>
          <w:sz w:val="24"/>
          <w:szCs w:val="24"/>
          <w:shd w:val="clear" w:color="auto" w:fill="FFFFFF"/>
        </w:rPr>
      </w:pPr>
      <w:r w:rsidRPr="007C5D30">
        <w:rPr>
          <w:rFonts w:ascii="Times New Roman" w:hAnsi="Times New Roman" w:cs="Times New Roman"/>
          <w:color w:val="333333"/>
          <w:sz w:val="24"/>
          <w:szCs w:val="24"/>
          <w:shd w:val="clear" w:color="auto" w:fill="FFFFFF"/>
        </w:rPr>
        <w:t xml:space="preserve">If </w:t>
      </w:r>
      <w:r w:rsidR="00762E40">
        <w:rPr>
          <w:rFonts w:ascii="Times New Roman" w:hAnsi="Times New Roman" w:cs="Times New Roman"/>
          <w:color w:val="333333"/>
          <w:sz w:val="24"/>
          <w:szCs w:val="24"/>
          <w:shd w:val="clear" w:color="auto" w:fill="FFFFFF"/>
        </w:rPr>
        <w:t>We</w:t>
      </w:r>
      <w:r w:rsidRPr="007C5D30">
        <w:rPr>
          <w:rFonts w:ascii="Times New Roman" w:hAnsi="Times New Roman" w:cs="Times New Roman"/>
          <w:color w:val="333333"/>
          <w:sz w:val="24"/>
          <w:szCs w:val="24"/>
          <w:shd w:val="clear" w:color="auto" w:fill="FFFFFF"/>
        </w:rPr>
        <w:t xml:space="preserve"> invested $5,000 a year for 40 years in an IRA with a 7% average annual return, </w:t>
      </w:r>
      <w:r w:rsidR="00762E40">
        <w:rPr>
          <w:rFonts w:ascii="Times New Roman" w:hAnsi="Times New Roman" w:cs="Times New Roman"/>
          <w:color w:val="333333"/>
          <w:sz w:val="24"/>
          <w:szCs w:val="24"/>
          <w:shd w:val="clear" w:color="auto" w:fill="FFFFFF"/>
        </w:rPr>
        <w:t>we’d</w:t>
      </w:r>
      <w:r w:rsidRPr="007C5D30">
        <w:rPr>
          <w:rFonts w:ascii="Times New Roman" w:hAnsi="Times New Roman" w:cs="Times New Roman"/>
          <w:color w:val="333333"/>
          <w:sz w:val="24"/>
          <w:szCs w:val="24"/>
          <w:shd w:val="clear" w:color="auto" w:fill="FFFFFF"/>
        </w:rPr>
        <w:t xml:space="preserve"> end up with just over $1 million by the time </w:t>
      </w:r>
      <w:r w:rsidR="00762E40">
        <w:rPr>
          <w:rFonts w:ascii="Times New Roman" w:hAnsi="Times New Roman" w:cs="Times New Roman"/>
          <w:color w:val="333333"/>
          <w:sz w:val="24"/>
          <w:szCs w:val="24"/>
          <w:shd w:val="clear" w:color="auto" w:fill="FFFFFF"/>
        </w:rPr>
        <w:t>We</w:t>
      </w:r>
      <w:r w:rsidRPr="007C5D30">
        <w:rPr>
          <w:rFonts w:ascii="Times New Roman" w:hAnsi="Times New Roman" w:cs="Times New Roman"/>
          <w:color w:val="333333"/>
          <w:sz w:val="24"/>
          <w:szCs w:val="24"/>
          <w:shd w:val="clear" w:color="auto" w:fill="FFFFFF"/>
        </w:rPr>
        <w:t xml:space="preserve"> hit retirement.</w:t>
      </w:r>
    </w:p>
    <w:p w14:paraId="0BF59421" w14:textId="2F330DEA" w:rsidR="008250AD" w:rsidRPr="007C5D30" w:rsidRDefault="008250AD" w:rsidP="007C5D30">
      <w:pPr>
        <w:pStyle w:val="ListParagraph"/>
        <w:numPr>
          <w:ilvl w:val="0"/>
          <w:numId w:val="10"/>
        </w:numPr>
        <w:rPr>
          <w:rFonts w:ascii="Times New Roman" w:hAnsi="Times New Roman" w:cs="Times New Roman"/>
          <w:color w:val="333333"/>
          <w:sz w:val="24"/>
          <w:szCs w:val="24"/>
          <w:shd w:val="clear" w:color="auto" w:fill="FFFFFF"/>
        </w:rPr>
      </w:pPr>
      <w:r w:rsidRPr="007C5D30">
        <w:rPr>
          <w:rFonts w:ascii="Times New Roman" w:hAnsi="Times New Roman" w:cs="Times New Roman"/>
          <w:color w:val="333333"/>
          <w:sz w:val="24"/>
          <w:szCs w:val="24"/>
          <w:shd w:val="clear" w:color="auto" w:fill="FFFFFF"/>
        </w:rPr>
        <w:t xml:space="preserve">if </w:t>
      </w:r>
      <w:r w:rsidR="00762E40">
        <w:rPr>
          <w:rFonts w:ascii="Times New Roman" w:hAnsi="Times New Roman" w:cs="Times New Roman"/>
          <w:color w:val="333333"/>
          <w:sz w:val="24"/>
          <w:szCs w:val="24"/>
          <w:shd w:val="clear" w:color="auto" w:fill="FFFFFF"/>
        </w:rPr>
        <w:t>We</w:t>
      </w:r>
      <w:r w:rsidRPr="007C5D30">
        <w:rPr>
          <w:rFonts w:ascii="Times New Roman" w:hAnsi="Times New Roman" w:cs="Times New Roman"/>
          <w:color w:val="333333"/>
          <w:sz w:val="24"/>
          <w:szCs w:val="24"/>
          <w:shd w:val="clear" w:color="auto" w:fill="FFFFFF"/>
        </w:rPr>
        <w:t xml:space="preserve"> don’t have a workplace retirement plan, an IRA is one of </w:t>
      </w:r>
      <w:r w:rsidR="00762E40">
        <w:rPr>
          <w:rFonts w:ascii="Times New Roman" w:hAnsi="Times New Roman" w:cs="Times New Roman"/>
          <w:color w:val="333333"/>
          <w:sz w:val="24"/>
          <w:szCs w:val="24"/>
          <w:shd w:val="clear" w:color="auto" w:fill="FFFFFF"/>
        </w:rPr>
        <w:t>the</w:t>
      </w:r>
      <w:r w:rsidRPr="007C5D30">
        <w:rPr>
          <w:rFonts w:ascii="Times New Roman" w:hAnsi="Times New Roman" w:cs="Times New Roman"/>
          <w:color w:val="333333"/>
          <w:sz w:val="24"/>
          <w:szCs w:val="24"/>
          <w:shd w:val="clear" w:color="auto" w:fill="FFFFFF"/>
        </w:rPr>
        <w:t xml:space="preserve"> best options</w:t>
      </w:r>
    </w:p>
    <w:p w14:paraId="36C5C51C" w14:textId="64372672" w:rsidR="006F35AB" w:rsidRDefault="006F35AB" w:rsidP="007C5D30">
      <w:pPr>
        <w:pStyle w:val="ListParagraph"/>
        <w:numPr>
          <w:ilvl w:val="0"/>
          <w:numId w:val="10"/>
        </w:numPr>
        <w:rPr>
          <w:rFonts w:ascii="Times New Roman" w:hAnsi="Times New Roman" w:cs="Times New Roman"/>
          <w:sz w:val="24"/>
          <w:szCs w:val="24"/>
        </w:rPr>
      </w:pPr>
      <w:r w:rsidRPr="007C5D30">
        <w:rPr>
          <w:rFonts w:ascii="Times New Roman" w:hAnsi="Times New Roman" w:cs="Times New Roman"/>
          <w:sz w:val="24"/>
          <w:szCs w:val="24"/>
        </w:rPr>
        <w:t xml:space="preserve">Forty-five percent of IRA assets, or $6.2 trillion, </w:t>
      </w:r>
      <w:r w:rsidR="00762E40">
        <w:rPr>
          <w:rFonts w:ascii="Times New Roman" w:hAnsi="Times New Roman" w:cs="Times New Roman"/>
          <w:sz w:val="24"/>
          <w:szCs w:val="24"/>
        </w:rPr>
        <w:t>your</w:t>
      </w:r>
      <w:r w:rsidRPr="007C5D30">
        <w:rPr>
          <w:rFonts w:ascii="Times New Roman" w:hAnsi="Times New Roman" w:cs="Times New Roman"/>
          <w:sz w:val="24"/>
          <w:szCs w:val="24"/>
        </w:rPr>
        <w:t xml:space="preserve"> invested in mutual funds. The most common type of IRA is the traditional IRA, which was created by the Employee Retirement Income Security Act of 1974 (ERISA)</w:t>
      </w:r>
    </w:p>
    <w:p w14:paraId="4C85F18E" w14:textId="1FB58F4D" w:rsidR="00A7700D" w:rsidRPr="00A7700D" w:rsidRDefault="00A24440" w:rsidP="00A7700D">
      <w:pPr>
        <w:pStyle w:val="ListParagraph"/>
        <w:numPr>
          <w:ilvl w:val="0"/>
          <w:numId w:val="10"/>
        </w:numPr>
        <w:rPr>
          <w:rFonts w:ascii="Times New Roman" w:hAnsi="Times New Roman" w:cs="Times New Roman"/>
          <w:sz w:val="28"/>
          <w:szCs w:val="28"/>
        </w:rPr>
      </w:pPr>
      <w:r w:rsidRPr="00A24440">
        <w:rPr>
          <w:rFonts w:ascii="Times New Roman" w:hAnsi="Times New Roman" w:cs="Times New Roman"/>
          <w:sz w:val="24"/>
          <w:szCs w:val="24"/>
        </w:rPr>
        <w:t>The IRS has increased the annual contribution limits for IRAs starting in 2024. The limit for contributions has risen from $6,500 to $7,000, while individuals aged 50 and older can make catch-up contributions, increasing their total contribution to $8,000 annually. These changes are part of the SECURE Act 2.0 adjustments</w:t>
      </w:r>
      <w:r>
        <w:rPr>
          <w:rFonts w:ascii="Times New Roman" w:hAnsi="Times New Roman" w:cs="Times New Roman"/>
          <w:sz w:val="24"/>
          <w:szCs w:val="24"/>
        </w:rPr>
        <w:t>.</w:t>
      </w:r>
    </w:p>
    <w:p w14:paraId="2D36885B" w14:textId="26EE4521" w:rsidR="006F35AB" w:rsidRPr="007C5D30" w:rsidRDefault="006F35AB" w:rsidP="007C5D30">
      <w:pPr>
        <w:pStyle w:val="ListParagraph"/>
        <w:numPr>
          <w:ilvl w:val="0"/>
          <w:numId w:val="10"/>
        </w:numPr>
        <w:rPr>
          <w:rFonts w:ascii="Times New Roman" w:hAnsi="Times New Roman" w:cs="Times New Roman"/>
          <w:sz w:val="24"/>
          <w:szCs w:val="24"/>
        </w:rPr>
      </w:pPr>
      <w:r w:rsidRPr="007C5D30">
        <w:rPr>
          <w:rFonts w:ascii="Times New Roman" w:hAnsi="Times New Roman" w:cs="Times New Roman"/>
          <w:sz w:val="24"/>
          <w:szCs w:val="24"/>
        </w:rPr>
        <w:t>IRAs Are the Largest Share of US Retirement Assets</w:t>
      </w:r>
      <w:r w:rsidR="007C5D30" w:rsidRPr="007C5D30">
        <w:rPr>
          <w:rFonts w:ascii="Times New Roman" w:hAnsi="Times New Roman" w:cs="Times New Roman"/>
          <w:sz w:val="24"/>
          <w:szCs w:val="24"/>
        </w:rPr>
        <w:t>. The total retirement assets amount to $39.3 trillion.</w:t>
      </w:r>
    </w:p>
    <w:tbl>
      <w:tblPr>
        <w:tblStyle w:val="GridTable4-Accent2"/>
        <w:tblW w:w="0" w:type="auto"/>
        <w:jc w:val="center"/>
        <w:tblLook w:val="04A0" w:firstRow="1" w:lastRow="0" w:firstColumn="1" w:lastColumn="0" w:noHBand="0" w:noVBand="1"/>
      </w:tblPr>
      <w:tblGrid>
        <w:gridCol w:w="2984"/>
        <w:gridCol w:w="2984"/>
      </w:tblGrid>
      <w:tr w:rsidR="00165D4E" w:rsidRPr="007C5D30" w14:paraId="2119ED0D" w14:textId="77777777" w:rsidTr="007C5D3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984" w:type="dxa"/>
          </w:tcPr>
          <w:p w14:paraId="05BE8B13" w14:textId="7FC2CCF4" w:rsidR="00165D4E" w:rsidRPr="007C5D30" w:rsidRDefault="00165D4E" w:rsidP="007C5D30">
            <w:pPr>
              <w:rPr>
                <w:rFonts w:ascii="Times New Roman" w:hAnsi="Times New Roman" w:cs="Times New Roman"/>
                <w:sz w:val="24"/>
                <w:szCs w:val="24"/>
              </w:rPr>
            </w:pPr>
            <w:r w:rsidRPr="007C5D30">
              <w:rPr>
                <w:rFonts w:ascii="Times New Roman" w:hAnsi="Times New Roman" w:cs="Times New Roman"/>
                <w:sz w:val="24"/>
                <w:szCs w:val="24"/>
              </w:rPr>
              <w:t>Category</w:t>
            </w:r>
          </w:p>
        </w:tc>
        <w:tc>
          <w:tcPr>
            <w:tcW w:w="2984" w:type="dxa"/>
          </w:tcPr>
          <w:p w14:paraId="79EA0049" w14:textId="1936D5DA" w:rsidR="00165D4E" w:rsidRPr="007C5D30" w:rsidRDefault="00165D4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5D30">
              <w:rPr>
                <w:rFonts w:ascii="Times New Roman" w:hAnsi="Times New Roman" w:cs="Times New Roman"/>
                <w:sz w:val="24"/>
                <w:szCs w:val="24"/>
              </w:rPr>
              <w:t>Percentage</w:t>
            </w:r>
          </w:p>
        </w:tc>
      </w:tr>
      <w:tr w:rsidR="00165D4E" w:rsidRPr="007C5D30" w14:paraId="0F2BF136" w14:textId="77777777" w:rsidTr="007C5D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984" w:type="dxa"/>
          </w:tcPr>
          <w:p w14:paraId="7AA7E15D" w14:textId="4819DE51" w:rsidR="00165D4E" w:rsidRPr="007C5D30" w:rsidRDefault="00165D4E">
            <w:pPr>
              <w:rPr>
                <w:rFonts w:ascii="Times New Roman" w:hAnsi="Times New Roman" w:cs="Times New Roman"/>
                <w:sz w:val="24"/>
                <w:szCs w:val="24"/>
              </w:rPr>
            </w:pPr>
            <w:r w:rsidRPr="007C5D30">
              <w:rPr>
                <w:rFonts w:ascii="Times New Roman" w:hAnsi="Times New Roman" w:cs="Times New Roman"/>
                <w:sz w:val="24"/>
                <w:szCs w:val="24"/>
              </w:rPr>
              <w:t>IRAs</w:t>
            </w:r>
          </w:p>
        </w:tc>
        <w:tc>
          <w:tcPr>
            <w:tcW w:w="2984" w:type="dxa"/>
          </w:tcPr>
          <w:p w14:paraId="157D9E3B" w14:textId="61DA103B" w:rsidR="00165D4E" w:rsidRPr="007C5D30" w:rsidRDefault="00165D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5D30">
              <w:rPr>
                <w:rFonts w:ascii="Times New Roman" w:hAnsi="Times New Roman" w:cs="Times New Roman"/>
                <w:sz w:val="24"/>
                <w:szCs w:val="24"/>
              </w:rPr>
              <w:t>35%</w:t>
            </w:r>
          </w:p>
        </w:tc>
      </w:tr>
      <w:tr w:rsidR="00165D4E" w:rsidRPr="007C5D30" w14:paraId="7F7B38F5" w14:textId="77777777" w:rsidTr="007C5D30">
        <w:trPr>
          <w:trHeight w:val="290"/>
          <w:jc w:val="center"/>
        </w:trPr>
        <w:tc>
          <w:tcPr>
            <w:cnfStyle w:val="001000000000" w:firstRow="0" w:lastRow="0" w:firstColumn="1" w:lastColumn="0" w:oddVBand="0" w:evenVBand="0" w:oddHBand="0" w:evenHBand="0" w:firstRowFirstColumn="0" w:firstRowLastColumn="0" w:lastRowFirstColumn="0" w:lastRowLastColumn="0"/>
            <w:tcW w:w="2984" w:type="dxa"/>
          </w:tcPr>
          <w:p w14:paraId="23D16BCD" w14:textId="25B967ED" w:rsidR="00165D4E" w:rsidRPr="007C5D30" w:rsidRDefault="00165D4E">
            <w:pPr>
              <w:rPr>
                <w:rFonts w:ascii="Times New Roman" w:hAnsi="Times New Roman" w:cs="Times New Roman"/>
                <w:sz w:val="24"/>
                <w:szCs w:val="24"/>
              </w:rPr>
            </w:pPr>
            <w:r w:rsidRPr="007C5D30">
              <w:rPr>
                <w:rFonts w:ascii="Times New Roman" w:hAnsi="Times New Roman" w:cs="Times New Roman"/>
                <w:sz w:val="24"/>
                <w:szCs w:val="24"/>
              </w:rPr>
              <w:t>Defined contribution plans</w:t>
            </w:r>
          </w:p>
        </w:tc>
        <w:tc>
          <w:tcPr>
            <w:tcW w:w="2984" w:type="dxa"/>
          </w:tcPr>
          <w:p w14:paraId="34216061" w14:textId="1E5D9F2F" w:rsidR="00165D4E" w:rsidRPr="007C5D30" w:rsidRDefault="00165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5D30">
              <w:rPr>
                <w:rFonts w:ascii="Times New Roman" w:hAnsi="Times New Roman" w:cs="Times New Roman"/>
                <w:sz w:val="24"/>
                <w:szCs w:val="24"/>
              </w:rPr>
              <w:t>28%</w:t>
            </w:r>
          </w:p>
        </w:tc>
      </w:tr>
      <w:tr w:rsidR="00165D4E" w:rsidRPr="007C5D30" w14:paraId="1C3DBF7E" w14:textId="77777777" w:rsidTr="007C5D30">
        <w:trPr>
          <w:cnfStyle w:val="000000100000" w:firstRow="0" w:lastRow="0" w:firstColumn="0" w:lastColumn="0" w:oddVBand="0" w:evenVBand="0" w:oddHBand="1" w:evenHBand="0" w:firstRowFirstColumn="0" w:firstRowLastColumn="0" w:lastRowFirstColumn="0" w:lastRowLastColumn="0"/>
          <w:trHeight w:val="609"/>
          <w:jc w:val="center"/>
        </w:trPr>
        <w:tc>
          <w:tcPr>
            <w:cnfStyle w:val="001000000000" w:firstRow="0" w:lastRow="0" w:firstColumn="1" w:lastColumn="0" w:oddVBand="0" w:evenVBand="0" w:oddHBand="0" w:evenHBand="0" w:firstRowFirstColumn="0" w:firstRowLastColumn="0" w:lastRowFirstColumn="0" w:lastRowLastColumn="0"/>
            <w:tcW w:w="2984" w:type="dxa"/>
          </w:tcPr>
          <w:p w14:paraId="35451966" w14:textId="4BF63A38" w:rsidR="00165D4E" w:rsidRPr="007C5D30" w:rsidRDefault="00165D4E">
            <w:pPr>
              <w:rPr>
                <w:rFonts w:ascii="Times New Roman" w:hAnsi="Times New Roman" w:cs="Times New Roman"/>
                <w:sz w:val="24"/>
                <w:szCs w:val="24"/>
              </w:rPr>
            </w:pPr>
            <w:r w:rsidRPr="007C5D30">
              <w:rPr>
                <w:rFonts w:ascii="Times New Roman" w:hAnsi="Times New Roman" w:cs="Times New Roman"/>
                <w:sz w:val="24"/>
                <w:szCs w:val="24"/>
              </w:rPr>
              <w:t>State and Local govt. defined benefit plans</w:t>
            </w:r>
          </w:p>
        </w:tc>
        <w:tc>
          <w:tcPr>
            <w:tcW w:w="2984" w:type="dxa"/>
          </w:tcPr>
          <w:p w14:paraId="36EC246A" w14:textId="5781AF0C" w:rsidR="00165D4E" w:rsidRPr="007C5D30" w:rsidRDefault="00165D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5D30">
              <w:rPr>
                <w:rFonts w:ascii="Times New Roman" w:hAnsi="Times New Roman" w:cs="Times New Roman"/>
                <w:sz w:val="24"/>
                <w:szCs w:val="24"/>
              </w:rPr>
              <w:t>15%</w:t>
            </w:r>
          </w:p>
        </w:tc>
      </w:tr>
      <w:tr w:rsidR="00165D4E" w:rsidRPr="007C5D30" w14:paraId="2D7057B8" w14:textId="77777777" w:rsidTr="007C5D30">
        <w:trPr>
          <w:trHeight w:val="304"/>
          <w:jc w:val="center"/>
        </w:trPr>
        <w:tc>
          <w:tcPr>
            <w:cnfStyle w:val="001000000000" w:firstRow="0" w:lastRow="0" w:firstColumn="1" w:lastColumn="0" w:oddVBand="0" w:evenVBand="0" w:oddHBand="0" w:evenHBand="0" w:firstRowFirstColumn="0" w:firstRowLastColumn="0" w:lastRowFirstColumn="0" w:lastRowLastColumn="0"/>
            <w:tcW w:w="2984" w:type="dxa"/>
          </w:tcPr>
          <w:p w14:paraId="07E7F51B" w14:textId="6CB277A2" w:rsidR="00165D4E" w:rsidRPr="007C5D30" w:rsidRDefault="00165D4E">
            <w:pPr>
              <w:rPr>
                <w:rFonts w:ascii="Times New Roman" w:hAnsi="Times New Roman" w:cs="Times New Roman"/>
                <w:sz w:val="24"/>
                <w:szCs w:val="24"/>
              </w:rPr>
            </w:pPr>
            <w:r w:rsidRPr="007C5D30">
              <w:rPr>
                <w:rFonts w:ascii="Times New Roman" w:hAnsi="Times New Roman" w:cs="Times New Roman"/>
                <w:sz w:val="24"/>
                <w:szCs w:val="24"/>
              </w:rPr>
              <w:t>Federal defined benefit Plans</w:t>
            </w:r>
          </w:p>
        </w:tc>
        <w:tc>
          <w:tcPr>
            <w:tcW w:w="2984" w:type="dxa"/>
          </w:tcPr>
          <w:p w14:paraId="68B2C65A" w14:textId="21469D3C" w:rsidR="00165D4E" w:rsidRPr="007C5D30" w:rsidRDefault="00165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5D30">
              <w:rPr>
                <w:rFonts w:ascii="Times New Roman" w:hAnsi="Times New Roman" w:cs="Times New Roman"/>
                <w:sz w:val="24"/>
                <w:szCs w:val="24"/>
              </w:rPr>
              <w:t>6%</w:t>
            </w:r>
          </w:p>
        </w:tc>
      </w:tr>
      <w:tr w:rsidR="00165D4E" w:rsidRPr="007C5D30" w14:paraId="2424CE30" w14:textId="77777777" w:rsidTr="007C5D30">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984" w:type="dxa"/>
          </w:tcPr>
          <w:p w14:paraId="49E1EC55" w14:textId="714B2560" w:rsidR="00165D4E" w:rsidRPr="007C5D30" w:rsidRDefault="00165D4E">
            <w:pPr>
              <w:rPr>
                <w:rFonts w:ascii="Times New Roman" w:hAnsi="Times New Roman" w:cs="Times New Roman"/>
                <w:sz w:val="24"/>
                <w:szCs w:val="24"/>
              </w:rPr>
            </w:pPr>
            <w:r w:rsidRPr="007C5D30">
              <w:rPr>
                <w:rFonts w:ascii="Times New Roman" w:hAnsi="Times New Roman" w:cs="Times New Roman"/>
                <w:sz w:val="24"/>
                <w:szCs w:val="24"/>
              </w:rPr>
              <w:t>Private Sector defined benefit plans</w:t>
            </w:r>
          </w:p>
        </w:tc>
        <w:tc>
          <w:tcPr>
            <w:tcW w:w="2984" w:type="dxa"/>
          </w:tcPr>
          <w:p w14:paraId="7B346572" w14:textId="41766230" w:rsidR="00165D4E" w:rsidRPr="007C5D30" w:rsidRDefault="00165D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5D30">
              <w:rPr>
                <w:rFonts w:ascii="Times New Roman" w:hAnsi="Times New Roman" w:cs="Times New Roman"/>
                <w:sz w:val="24"/>
                <w:szCs w:val="24"/>
              </w:rPr>
              <w:t>10%</w:t>
            </w:r>
          </w:p>
        </w:tc>
      </w:tr>
      <w:tr w:rsidR="00165D4E" w:rsidRPr="007C5D30" w14:paraId="2F66312B" w14:textId="77777777" w:rsidTr="007C5D30">
        <w:trPr>
          <w:trHeight w:val="304"/>
          <w:jc w:val="center"/>
        </w:trPr>
        <w:tc>
          <w:tcPr>
            <w:cnfStyle w:val="001000000000" w:firstRow="0" w:lastRow="0" w:firstColumn="1" w:lastColumn="0" w:oddVBand="0" w:evenVBand="0" w:oddHBand="0" w:evenHBand="0" w:firstRowFirstColumn="0" w:firstRowLastColumn="0" w:lastRowFirstColumn="0" w:lastRowLastColumn="0"/>
            <w:tcW w:w="2984" w:type="dxa"/>
          </w:tcPr>
          <w:p w14:paraId="3306C002" w14:textId="7D06BED1" w:rsidR="00165D4E" w:rsidRPr="007C5D30" w:rsidRDefault="00165D4E">
            <w:pPr>
              <w:rPr>
                <w:rFonts w:ascii="Times New Roman" w:hAnsi="Times New Roman" w:cs="Times New Roman"/>
                <w:sz w:val="24"/>
                <w:szCs w:val="24"/>
              </w:rPr>
            </w:pPr>
            <w:r w:rsidRPr="007C5D30">
              <w:rPr>
                <w:rFonts w:ascii="Times New Roman" w:hAnsi="Times New Roman" w:cs="Times New Roman"/>
                <w:sz w:val="24"/>
                <w:szCs w:val="24"/>
              </w:rPr>
              <w:t>Annuities</w:t>
            </w:r>
          </w:p>
        </w:tc>
        <w:tc>
          <w:tcPr>
            <w:tcW w:w="2984" w:type="dxa"/>
          </w:tcPr>
          <w:p w14:paraId="2500EBE3" w14:textId="532F1EE8" w:rsidR="00165D4E" w:rsidRPr="007C5D30" w:rsidRDefault="00165D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5D30">
              <w:rPr>
                <w:rFonts w:ascii="Times New Roman" w:hAnsi="Times New Roman" w:cs="Times New Roman"/>
                <w:sz w:val="24"/>
                <w:szCs w:val="24"/>
              </w:rPr>
              <w:t>6%</w:t>
            </w:r>
          </w:p>
        </w:tc>
      </w:tr>
    </w:tbl>
    <w:p w14:paraId="785533A9" w14:textId="77777777" w:rsidR="00165D4E" w:rsidRPr="007C5D30" w:rsidRDefault="00165D4E">
      <w:pPr>
        <w:rPr>
          <w:rFonts w:ascii="Times New Roman" w:hAnsi="Times New Roman" w:cs="Times New Roman"/>
          <w:sz w:val="24"/>
          <w:szCs w:val="24"/>
        </w:rPr>
      </w:pPr>
    </w:p>
    <w:p w14:paraId="0C7BA37B" w14:textId="465B33E7" w:rsidR="00165D4E" w:rsidRPr="007C5D30" w:rsidRDefault="00165D4E">
      <w:pPr>
        <w:rPr>
          <w:rFonts w:ascii="Times New Roman" w:hAnsi="Times New Roman" w:cs="Times New Roman"/>
          <w:sz w:val="24"/>
          <w:szCs w:val="24"/>
        </w:rPr>
      </w:pPr>
      <w:r w:rsidRPr="007C5D30">
        <w:rPr>
          <w:rFonts w:ascii="Times New Roman" w:hAnsi="Times New Roman" w:cs="Times New Roman"/>
          <w:noProof/>
          <w:sz w:val="24"/>
          <w:szCs w:val="24"/>
        </w:rPr>
        <w:drawing>
          <wp:inline distT="0" distB="0" distL="0" distR="0" wp14:anchorId="33E2F59E" wp14:editId="41AC6DA5">
            <wp:extent cx="5372100" cy="3120390"/>
            <wp:effectExtent l="0" t="0" r="0" b="3810"/>
            <wp:docPr id="1805022173" name="Chart 1">
              <a:extLst xmlns:a="http://schemas.openxmlformats.org/drawingml/2006/main">
                <a:ext uri="{FF2B5EF4-FFF2-40B4-BE49-F238E27FC236}">
                  <a16:creationId xmlns:a16="http://schemas.microsoft.com/office/drawing/2014/main" id="{74FF8E0C-E481-48A4-47C6-A7E3E61988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5646EF" w14:textId="36D1C7A3" w:rsidR="00165D4E" w:rsidRDefault="00165D4E" w:rsidP="007C5D30">
      <w:pPr>
        <w:pStyle w:val="ListParagraph"/>
        <w:numPr>
          <w:ilvl w:val="0"/>
          <w:numId w:val="11"/>
        </w:numPr>
        <w:rPr>
          <w:rFonts w:ascii="Times New Roman" w:hAnsi="Times New Roman" w:cs="Times New Roman"/>
          <w:sz w:val="24"/>
          <w:szCs w:val="24"/>
        </w:rPr>
      </w:pPr>
      <w:r w:rsidRPr="007C5D30">
        <w:rPr>
          <w:rFonts w:ascii="Times New Roman" w:hAnsi="Times New Roman" w:cs="Times New Roman"/>
          <w:sz w:val="24"/>
          <w:szCs w:val="24"/>
        </w:rPr>
        <w:lastRenderedPageBreak/>
        <w:t>IRAs are owned by individuals of all ages, but ownership is greatest among older groups of working-age individuals.</w:t>
      </w:r>
    </w:p>
    <w:p w14:paraId="7EBA95AB" w14:textId="77777777" w:rsidR="007C5D30" w:rsidRPr="007C5D30" w:rsidRDefault="007C5D30" w:rsidP="007C5D30">
      <w:pPr>
        <w:pStyle w:val="ListParagraph"/>
        <w:rPr>
          <w:rFonts w:ascii="Times New Roman" w:hAnsi="Times New Roman" w:cs="Times New Roman"/>
          <w:sz w:val="24"/>
          <w:szCs w:val="24"/>
        </w:rPr>
      </w:pPr>
    </w:p>
    <w:tbl>
      <w:tblPr>
        <w:tblStyle w:val="GridTable4-Accent2"/>
        <w:tblW w:w="0" w:type="auto"/>
        <w:jc w:val="center"/>
        <w:tblLook w:val="04A0" w:firstRow="1" w:lastRow="0" w:firstColumn="1" w:lastColumn="0" w:noHBand="0" w:noVBand="1"/>
      </w:tblPr>
      <w:tblGrid>
        <w:gridCol w:w="2690"/>
        <w:gridCol w:w="2690"/>
      </w:tblGrid>
      <w:tr w:rsidR="007C5D30" w:rsidRPr="007C5D30" w14:paraId="403AB6DE" w14:textId="77777777" w:rsidTr="007C5D30">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690" w:type="dxa"/>
          </w:tcPr>
          <w:p w14:paraId="67CB33C1" w14:textId="6304EED7" w:rsidR="007C5D30" w:rsidRPr="007C5D30" w:rsidRDefault="007C5D30">
            <w:pPr>
              <w:rPr>
                <w:rFonts w:ascii="Times New Roman" w:hAnsi="Times New Roman" w:cs="Times New Roman"/>
                <w:sz w:val="24"/>
                <w:szCs w:val="24"/>
              </w:rPr>
            </w:pPr>
            <w:r w:rsidRPr="007C5D30">
              <w:rPr>
                <w:rFonts w:ascii="Times New Roman" w:hAnsi="Times New Roman" w:cs="Times New Roman"/>
                <w:sz w:val="24"/>
                <w:szCs w:val="24"/>
              </w:rPr>
              <w:t>Age Group</w:t>
            </w:r>
          </w:p>
        </w:tc>
        <w:tc>
          <w:tcPr>
            <w:tcW w:w="2690" w:type="dxa"/>
          </w:tcPr>
          <w:p w14:paraId="798D63CD" w14:textId="64AE032B" w:rsidR="007C5D30" w:rsidRPr="007C5D30" w:rsidRDefault="007C5D3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5D30">
              <w:rPr>
                <w:rFonts w:ascii="Times New Roman" w:hAnsi="Times New Roman" w:cs="Times New Roman"/>
                <w:sz w:val="24"/>
                <w:szCs w:val="24"/>
              </w:rPr>
              <w:t>% of US Households Owning IRAs</w:t>
            </w:r>
          </w:p>
        </w:tc>
      </w:tr>
      <w:tr w:rsidR="007C5D30" w:rsidRPr="007C5D30" w14:paraId="628858FF" w14:textId="77777777" w:rsidTr="007C5D30">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690" w:type="dxa"/>
          </w:tcPr>
          <w:p w14:paraId="0A5BD02B" w14:textId="4D2FAF9D" w:rsidR="007C5D30" w:rsidRPr="007C5D30" w:rsidRDefault="00762E40">
            <w:pPr>
              <w:rPr>
                <w:rFonts w:ascii="Times New Roman" w:hAnsi="Times New Roman" w:cs="Times New Roman"/>
                <w:sz w:val="24"/>
                <w:szCs w:val="24"/>
              </w:rPr>
            </w:pPr>
            <w:r>
              <w:rPr>
                <w:rFonts w:ascii="Times New Roman" w:hAnsi="Times New Roman" w:cs="Times New Roman"/>
                <w:sz w:val="24"/>
                <w:szCs w:val="24"/>
              </w:rPr>
              <w:t>We</w:t>
            </w:r>
            <w:r w:rsidR="007C5D30" w:rsidRPr="007C5D30">
              <w:rPr>
                <w:rFonts w:ascii="Times New Roman" w:hAnsi="Times New Roman" w:cs="Times New Roman"/>
                <w:sz w:val="24"/>
                <w:szCs w:val="24"/>
              </w:rPr>
              <w:t>nger than 35</w:t>
            </w:r>
          </w:p>
        </w:tc>
        <w:tc>
          <w:tcPr>
            <w:tcW w:w="2690" w:type="dxa"/>
          </w:tcPr>
          <w:p w14:paraId="7F4DB0E6" w14:textId="4610E118" w:rsidR="007C5D30" w:rsidRPr="007C5D30" w:rsidRDefault="007C5D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5D30">
              <w:rPr>
                <w:rFonts w:ascii="Times New Roman" w:hAnsi="Times New Roman" w:cs="Times New Roman"/>
                <w:sz w:val="24"/>
                <w:szCs w:val="24"/>
              </w:rPr>
              <w:t>31</w:t>
            </w:r>
          </w:p>
        </w:tc>
      </w:tr>
      <w:tr w:rsidR="007C5D30" w:rsidRPr="007C5D30" w14:paraId="6042ADC6" w14:textId="77777777" w:rsidTr="007C5D30">
        <w:trPr>
          <w:trHeight w:val="330"/>
          <w:jc w:val="center"/>
        </w:trPr>
        <w:tc>
          <w:tcPr>
            <w:cnfStyle w:val="001000000000" w:firstRow="0" w:lastRow="0" w:firstColumn="1" w:lastColumn="0" w:oddVBand="0" w:evenVBand="0" w:oddHBand="0" w:evenHBand="0" w:firstRowFirstColumn="0" w:firstRowLastColumn="0" w:lastRowFirstColumn="0" w:lastRowLastColumn="0"/>
            <w:tcW w:w="2690" w:type="dxa"/>
          </w:tcPr>
          <w:p w14:paraId="439FEE3A" w14:textId="5C5FA60C" w:rsidR="007C5D30" w:rsidRPr="007C5D30" w:rsidRDefault="007C5D30">
            <w:pPr>
              <w:rPr>
                <w:rFonts w:ascii="Times New Roman" w:hAnsi="Times New Roman" w:cs="Times New Roman"/>
                <w:sz w:val="24"/>
                <w:szCs w:val="24"/>
              </w:rPr>
            </w:pPr>
            <w:r w:rsidRPr="007C5D30">
              <w:rPr>
                <w:rFonts w:ascii="Times New Roman" w:hAnsi="Times New Roman" w:cs="Times New Roman"/>
                <w:sz w:val="24"/>
                <w:szCs w:val="24"/>
              </w:rPr>
              <w:t>35 to 44</w:t>
            </w:r>
          </w:p>
        </w:tc>
        <w:tc>
          <w:tcPr>
            <w:tcW w:w="2690" w:type="dxa"/>
          </w:tcPr>
          <w:p w14:paraId="6982F6CB" w14:textId="373A8B95" w:rsidR="007C5D30" w:rsidRPr="007C5D30" w:rsidRDefault="007C5D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5D30">
              <w:rPr>
                <w:rFonts w:ascii="Times New Roman" w:hAnsi="Times New Roman" w:cs="Times New Roman"/>
                <w:sz w:val="24"/>
                <w:szCs w:val="24"/>
              </w:rPr>
              <w:t>36</w:t>
            </w:r>
          </w:p>
        </w:tc>
      </w:tr>
      <w:tr w:rsidR="007C5D30" w:rsidRPr="007C5D30" w14:paraId="15BD840B" w14:textId="77777777" w:rsidTr="007C5D30">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690" w:type="dxa"/>
          </w:tcPr>
          <w:p w14:paraId="6474392E" w14:textId="41932B36" w:rsidR="007C5D30" w:rsidRPr="007C5D30" w:rsidRDefault="007C5D30">
            <w:pPr>
              <w:rPr>
                <w:rFonts w:ascii="Times New Roman" w:hAnsi="Times New Roman" w:cs="Times New Roman"/>
                <w:sz w:val="24"/>
                <w:szCs w:val="24"/>
              </w:rPr>
            </w:pPr>
            <w:r w:rsidRPr="007C5D30">
              <w:rPr>
                <w:rFonts w:ascii="Times New Roman" w:hAnsi="Times New Roman" w:cs="Times New Roman"/>
                <w:sz w:val="24"/>
                <w:szCs w:val="24"/>
              </w:rPr>
              <w:t>45 to 54</w:t>
            </w:r>
          </w:p>
        </w:tc>
        <w:tc>
          <w:tcPr>
            <w:tcW w:w="2690" w:type="dxa"/>
          </w:tcPr>
          <w:p w14:paraId="59C28036" w14:textId="78A26A42" w:rsidR="007C5D30" w:rsidRPr="007C5D30" w:rsidRDefault="007C5D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5D30">
              <w:rPr>
                <w:rFonts w:ascii="Times New Roman" w:hAnsi="Times New Roman" w:cs="Times New Roman"/>
                <w:sz w:val="24"/>
                <w:szCs w:val="24"/>
              </w:rPr>
              <w:t>39</w:t>
            </w:r>
          </w:p>
        </w:tc>
      </w:tr>
      <w:tr w:rsidR="007C5D30" w:rsidRPr="007C5D30" w14:paraId="12A6BB32" w14:textId="77777777" w:rsidTr="007C5D30">
        <w:trPr>
          <w:trHeight w:val="345"/>
          <w:jc w:val="center"/>
        </w:trPr>
        <w:tc>
          <w:tcPr>
            <w:cnfStyle w:val="001000000000" w:firstRow="0" w:lastRow="0" w:firstColumn="1" w:lastColumn="0" w:oddVBand="0" w:evenVBand="0" w:oddHBand="0" w:evenHBand="0" w:firstRowFirstColumn="0" w:firstRowLastColumn="0" w:lastRowFirstColumn="0" w:lastRowLastColumn="0"/>
            <w:tcW w:w="2690" w:type="dxa"/>
          </w:tcPr>
          <w:p w14:paraId="74E08D2B" w14:textId="4DAB10C6" w:rsidR="007C5D30" w:rsidRPr="007C5D30" w:rsidRDefault="007C5D30">
            <w:pPr>
              <w:rPr>
                <w:rFonts w:ascii="Times New Roman" w:hAnsi="Times New Roman" w:cs="Times New Roman"/>
                <w:sz w:val="24"/>
                <w:szCs w:val="24"/>
              </w:rPr>
            </w:pPr>
            <w:r w:rsidRPr="007C5D30">
              <w:rPr>
                <w:rFonts w:ascii="Times New Roman" w:hAnsi="Times New Roman" w:cs="Times New Roman"/>
                <w:sz w:val="24"/>
                <w:szCs w:val="24"/>
              </w:rPr>
              <w:t>55 to 64</w:t>
            </w:r>
          </w:p>
        </w:tc>
        <w:tc>
          <w:tcPr>
            <w:tcW w:w="2690" w:type="dxa"/>
          </w:tcPr>
          <w:p w14:paraId="6594A5BA" w14:textId="0A468F9A" w:rsidR="007C5D30" w:rsidRPr="007C5D30" w:rsidRDefault="007C5D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5D30">
              <w:rPr>
                <w:rFonts w:ascii="Times New Roman" w:hAnsi="Times New Roman" w:cs="Times New Roman"/>
                <w:sz w:val="24"/>
                <w:szCs w:val="24"/>
              </w:rPr>
              <w:t>43</w:t>
            </w:r>
          </w:p>
        </w:tc>
      </w:tr>
      <w:tr w:rsidR="007C5D30" w:rsidRPr="007C5D30" w14:paraId="5CA55F41" w14:textId="77777777" w:rsidTr="007C5D30">
        <w:trPr>
          <w:cnfStyle w:val="000000100000" w:firstRow="0" w:lastRow="0" w:firstColumn="0" w:lastColumn="0" w:oddVBand="0" w:evenVBand="0" w:oddHBand="1"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690" w:type="dxa"/>
          </w:tcPr>
          <w:p w14:paraId="2BE1C512" w14:textId="21106EEB" w:rsidR="007C5D30" w:rsidRPr="007C5D30" w:rsidRDefault="007C5D30">
            <w:pPr>
              <w:rPr>
                <w:rFonts w:ascii="Times New Roman" w:hAnsi="Times New Roman" w:cs="Times New Roman"/>
                <w:sz w:val="24"/>
                <w:szCs w:val="24"/>
              </w:rPr>
            </w:pPr>
            <w:r w:rsidRPr="007C5D30">
              <w:rPr>
                <w:rFonts w:ascii="Times New Roman" w:hAnsi="Times New Roman" w:cs="Times New Roman"/>
                <w:sz w:val="24"/>
                <w:szCs w:val="24"/>
              </w:rPr>
              <w:t>65 or older</w:t>
            </w:r>
          </w:p>
        </w:tc>
        <w:tc>
          <w:tcPr>
            <w:tcW w:w="2690" w:type="dxa"/>
          </w:tcPr>
          <w:p w14:paraId="0F522014" w14:textId="2154AAC3" w:rsidR="007C5D30" w:rsidRPr="007C5D30" w:rsidRDefault="007C5D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5D30">
              <w:rPr>
                <w:rFonts w:ascii="Times New Roman" w:hAnsi="Times New Roman" w:cs="Times New Roman"/>
                <w:sz w:val="24"/>
                <w:szCs w:val="24"/>
              </w:rPr>
              <w:t>36</w:t>
            </w:r>
          </w:p>
        </w:tc>
      </w:tr>
    </w:tbl>
    <w:p w14:paraId="4C2A220D" w14:textId="77777777" w:rsidR="00165D4E" w:rsidRPr="007C5D30" w:rsidRDefault="00165D4E">
      <w:pPr>
        <w:rPr>
          <w:rFonts w:ascii="Times New Roman" w:hAnsi="Times New Roman" w:cs="Times New Roman"/>
          <w:sz w:val="24"/>
          <w:szCs w:val="24"/>
        </w:rPr>
      </w:pPr>
    </w:p>
    <w:p w14:paraId="30A26857" w14:textId="4DFF759A" w:rsidR="00165D4E" w:rsidRPr="007C5D30" w:rsidRDefault="007C5D30" w:rsidP="007C5D30">
      <w:pPr>
        <w:jc w:val="center"/>
        <w:rPr>
          <w:rFonts w:ascii="Times New Roman" w:hAnsi="Times New Roman" w:cs="Times New Roman"/>
          <w:sz w:val="24"/>
          <w:szCs w:val="24"/>
          <w:lang w:val="en-US"/>
        </w:rPr>
      </w:pPr>
      <w:r w:rsidRPr="007C5D30">
        <w:rPr>
          <w:rFonts w:ascii="Times New Roman" w:hAnsi="Times New Roman" w:cs="Times New Roman"/>
          <w:noProof/>
          <w:sz w:val="24"/>
          <w:szCs w:val="24"/>
        </w:rPr>
        <w:drawing>
          <wp:inline distT="0" distB="0" distL="0" distR="0" wp14:anchorId="5C4F60D9" wp14:editId="6C433EBE">
            <wp:extent cx="4572000" cy="2743200"/>
            <wp:effectExtent l="0" t="0" r="0" b="0"/>
            <wp:docPr id="2117656767" name="Chart 1">
              <a:extLst xmlns:a="http://schemas.openxmlformats.org/drawingml/2006/main">
                <a:ext uri="{FF2B5EF4-FFF2-40B4-BE49-F238E27FC236}">
                  <a16:creationId xmlns:a16="http://schemas.microsoft.com/office/drawing/2014/main" id="{DA04B3AD-6D6F-6140-1810-2667B2BD8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165D4E" w:rsidRPr="007C5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04180"/>
    <w:multiLevelType w:val="multilevel"/>
    <w:tmpl w:val="2B6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018E7"/>
    <w:multiLevelType w:val="hybridMultilevel"/>
    <w:tmpl w:val="01545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516AF0"/>
    <w:multiLevelType w:val="hybridMultilevel"/>
    <w:tmpl w:val="611838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B01A3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C214C01"/>
    <w:multiLevelType w:val="hybridMultilevel"/>
    <w:tmpl w:val="D0CE2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8134A"/>
    <w:multiLevelType w:val="multilevel"/>
    <w:tmpl w:val="9138BD7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DB12604"/>
    <w:multiLevelType w:val="multilevel"/>
    <w:tmpl w:val="9138BD7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5785D31"/>
    <w:multiLevelType w:val="multilevel"/>
    <w:tmpl w:val="9138BD7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6D23B2A"/>
    <w:multiLevelType w:val="multilevel"/>
    <w:tmpl w:val="D5F2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86582"/>
    <w:multiLevelType w:val="hybridMultilevel"/>
    <w:tmpl w:val="E21CDFDC"/>
    <w:lvl w:ilvl="0" w:tplc="9934087C">
      <w:numFmt w:val="decimal"/>
      <w:lvlText w:val="%1."/>
      <w:lvlJc w:val="left"/>
      <w:pPr>
        <w:ind w:left="924" w:hanging="56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A7E00"/>
    <w:multiLevelType w:val="hybridMultilevel"/>
    <w:tmpl w:val="035C2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9888466">
    <w:abstractNumId w:val="0"/>
  </w:num>
  <w:num w:numId="2" w16cid:durableId="992639721">
    <w:abstractNumId w:val="2"/>
  </w:num>
  <w:num w:numId="3" w16cid:durableId="1356082800">
    <w:abstractNumId w:val="3"/>
  </w:num>
  <w:num w:numId="4" w16cid:durableId="524488419">
    <w:abstractNumId w:val="4"/>
  </w:num>
  <w:num w:numId="5" w16cid:durableId="332998016">
    <w:abstractNumId w:val="6"/>
  </w:num>
  <w:num w:numId="6" w16cid:durableId="1392998005">
    <w:abstractNumId w:val="8"/>
  </w:num>
  <w:num w:numId="7" w16cid:durableId="1388916324">
    <w:abstractNumId w:val="7"/>
  </w:num>
  <w:num w:numId="8" w16cid:durableId="154732162">
    <w:abstractNumId w:val="5"/>
  </w:num>
  <w:num w:numId="9" w16cid:durableId="1845048078">
    <w:abstractNumId w:val="9"/>
  </w:num>
  <w:num w:numId="10" w16cid:durableId="1990134450">
    <w:abstractNumId w:val="10"/>
  </w:num>
  <w:num w:numId="11" w16cid:durableId="131212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BD"/>
    <w:rsid w:val="00001581"/>
    <w:rsid w:val="00031829"/>
    <w:rsid w:val="00154E9D"/>
    <w:rsid w:val="00165D4E"/>
    <w:rsid w:val="002C7A10"/>
    <w:rsid w:val="003950BD"/>
    <w:rsid w:val="004D7668"/>
    <w:rsid w:val="006365D1"/>
    <w:rsid w:val="006B091B"/>
    <w:rsid w:val="006F35AB"/>
    <w:rsid w:val="007504B7"/>
    <w:rsid w:val="00762E40"/>
    <w:rsid w:val="007C5D30"/>
    <w:rsid w:val="008250AD"/>
    <w:rsid w:val="00970428"/>
    <w:rsid w:val="00A24440"/>
    <w:rsid w:val="00A7700D"/>
    <w:rsid w:val="00BC0B7F"/>
    <w:rsid w:val="00C141E5"/>
    <w:rsid w:val="00D32D75"/>
    <w:rsid w:val="00F35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C8C2"/>
  <w15:chartTrackingRefBased/>
  <w15:docId w15:val="{654F381D-2E4D-474B-A805-CB2B6223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0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950BD"/>
    <w:rPr>
      <w:b/>
      <w:bCs/>
    </w:rPr>
  </w:style>
  <w:style w:type="table" w:styleId="TableGrid">
    <w:name w:val="Table Grid"/>
    <w:basedOn w:val="TableNormal"/>
    <w:uiPriority w:val="39"/>
    <w:rsid w:val="00970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A10"/>
    <w:pPr>
      <w:ind w:left="720"/>
      <w:contextualSpacing/>
    </w:pPr>
  </w:style>
  <w:style w:type="character" w:styleId="Hyperlink">
    <w:name w:val="Hyperlink"/>
    <w:basedOn w:val="DefaultParagraphFont"/>
    <w:uiPriority w:val="99"/>
    <w:semiHidden/>
    <w:unhideWhenUsed/>
    <w:rsid w:val="00154E9D"/>
    <w:rPr>
      <w:color w:val="0000FF"/>
      <w:u w:val="single"/>
    </w:rPr>
  </w:style>
  <w:style w:type="table" w:styleId="PlainTable1">
    <w:name w:val="Plain Table 1"/>
    <w:basedOn w:val="TableNormal"/>
    <w:uiPriority w:val="41"/>
    <w:rsid w:val="007504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7C5D3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5385">
      <w:bodyDiv w:val="1"/>
      <w:marLeft w:val="0"/>
      <w:marRight w:val="0"/>
      <w:marTop w:val="0"/>
      <w:marBottom w:val="0"/>
      <w:divBdr>
        <w:top w:val="none" w:sz="0" w:space="0" w:color="auto"/>
        <w:left w:val="none" w:sz="0" w:space="0" w:color="auto"/>
        <w:bottom w:val="none" w:sz="0" w:space="0" w:color="auto"/>
        <w:right w:val="none" w:sz="0" w:space="0" w:color="auto"/>
      </w:divBdr>
    </w:div>
    <w:div w:id="126244551">
      <w:bodyDiv w:val="1"/>
      <w:marLeft w:val="0"/>
      <w:marRight w:val="0"/>
      <w:marTop w:val="0"/>
      <w:marBottom w:val="0"/>
      <w:divBdr>
        <w:top w:val="none" w:sz="0" w:space="0" w:color="auto"/>
        <w:left w:val="none" w:sz="0" w:space="0" w:color="auto"/>
        <w:bottom w:val="none" w:sz="0" w:space="0" w:color="auto"/>
        <w:right w:val="none" w:sz="0" w:space="0" w:color="auto"/>
      </w:divBdr>
    </w:div>
    <w:div w:id="908267110">
      <w:bodyDiv w:val="1"/>
      <w:marLeft w:val="0"/>
      <w:marRight w:val="0"/>
      <w:marTop w:val="0"/>
      <w:marBottom w:val="0"/>
      <w:divBdr>
        <w:top w:val="none" w:sz="0" w:space="0" w:color="auto"/>
        <w:left w:val="none" w:sz="0" w:space="0" w:color="auto"/>
        <w:bottom w:val="none" w:sz="0" w:space="0" w:color="auto"/>
        <w:right w:val="none" w:sz="0" w:space="0" w:color="auto"/>
      </w:divBdr>
    </w:div>
    <w:div w:id="119323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ic.gov/resources/bankers/national-rates/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atimes.com/compare-deals/banking/money-market/best-money-market-accounts" TargetMode="Externa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atimes.com/compare-deals/banking/money-market/us-bank-money-market-accounts"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ln>
                  <a:noFill/>
                </a:ln>
                <a:solidFill>
                  <a:schemeClr val="tx1">
                    <a:lumMod val="65000"/>
                    <a:lumOff val="35000"/>
                  </a:schemeClr>
                </a:solidFill>
                <a:latin typeface="+mn-lt"/>
                <a:ea typeface="+mn-ea"/>
                <a:cs typeface="+mn-cs"/>
              </a:defRPr>
            </a:pPr>
            <a:r>
              <a:rPr lang="en-IN" sz="1200" b="1"/>
              <a:t>Term funding cocentration for the US Banking Industry (2016-2023)</a:t>
            </a:r>
          </a:p>
        </c:rich>
      </c:tx>
      <c:layout>
        <c:manualLayout>
          <c:xMode val="edge"/>
          <c:yMode val="edge"/>
          <c:x val="0.13307998410868616"/>
          <c:y val="3.2020493115593979E-3"/>
        </c:manualLayout>
      </c:layout>
      <c:overlay val="0"/>
      <c:spPr>
        <a:noFill/>
        <a:ln>
          <a:noFill/>
        </a:ln>
        <a:effectLst/>
      </c:spPr>
      <c:txPr>
        <a:bodyPr rot="0" spcFirstLastPara="1" vertOverflow="ellipsis" vert="horz" wrap="square" anchor="ctr" anchorCtr="1"/>
        <a:lstStyle/>
        <a:p>
          <a:pPr>
            <a:defRPr sz="1200" b="1"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563965794598257E-2"/>
          <c:y val="0.11479418136799753"/>
          <c:w val="0.92768996307223384"/>
          <c:h val="0.72674630852201971"/>
        </c:manualLayout>
      </c:layout>
      <c:lineChart>
        <c:grouping val="standard"/>
        <c:varyColors val="0"/>
        <c:ser>
          <c:idx val="0"/>
          <c:order val="0"/>
          <c:tx>
            <c:strRef>
              <c:f>Sheet1!$F$27</c:f>
              <c:strCache>
                <c:ptCount val="1"/>
                <c:pt idx="0">
                  <c:v>CDs/ total deposits (%)</c:v>
                </c:pt>
              </c:strCache>
            </c:strRef>
          </c:tx>
          <c:spPr>
            <a:ln w="28575" cap="rnd">
              <a:solidFill>
                <a:schemeClr val="accent1"/>
              </a:solidFill>
              <a:round/>
            </a:ln>
            <a:effectLst/>
          </c:spPr>
          <c:marker>
            <c:symbol val="none"/>
          </c:marker>
          <c:dLbls>
            <c:spPr>
              <a:noFill/>
              <a:ln>
                <a:noFill/>
              </a:ln>
              <a:effectLst/>
            </c:spPr>
            <c:txPr>
              <a:bodyPr rot="0" spcFirstLastPara="1" vertOverflow="ellipsis" horzOverflow="clip" vert="horz" wrap="square" lIns="36576" tIns="18288" rIns="36576" bIns="18288"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numRef>
              <c:f>Sheet1!$E$28:$E$35</c:f>
              <c:numCache>
                <c:formatCode>General</c:formatCode>
                <c:ptCount val="8"/>
                <c:pt idx="0">
                  <c:v>2016</c:v>
                </c:pt>
                <c:pt idx="1">
                  <c:v>2017</c:v>
                </c:pt>
                <c:pt idx="2">
                  <c:v>2018</c:v>
                </c:pt>
                <c:pt idx="3">
                  <c:v>2019</c:v>
                </c:pt>
                <c:pt idx="4">
                  <c:v>2020</c:v>
                </c:pt>
                <c:pt idx="5">
                  <c:v>2021</c:v>
                </c:pt>
                <c:pt idx="6">
                  <c:v>2022</c:v>
                </c:pt>
                <c:pt idx="7">
                  <c:v>2023</c:v>
                </c:pt>
              </c:numCache>
            </c:numRef>
          </c:cat>
          <c:val>
            <c:numRef>
              <c:f>Sheet1!$F$28:$F$35</c:f>
              <c:numCache>
                <c:formatCode>General</c:formatCode>
                <c:ptCount val="8"/>
                <c:pt idx="0">
                  <c:v>12</c:v>
                </c:pt>
                <c:pt idx="1">
                  <c:v>12.5</c:v>
                </c:pt>
                <c:pt idx="2">
                  <c:v>13</c:v>
                </c:pt>
                <c:pt idx="3">
                  <c:v>12.5</c:v>
                </c:pt>
                <c:pt idx="4">
                  <c:v>9</c:v>
                </c:pt>
                <c:pt idx="5">
                  <c:v>8</c:v>
                </c:pt>
                <c:pt idx="6">
                  <c:v>10</c:v>
                </c:pt>
                <c:pt idx="7">
                  <c:v>15</c:v>
                </c:pt>
              </c:numCache>
            </c:numRef>
          </c:val>
          <c:smooth val="0"/>
          <c:extLst>
            <c:ext xmlns:c16="http://schemas.microsoft.com/office/drawing/2014/chart" uri="{C3380CC4-5D6E-409C-BE32-E72D297353CC}">
              <c16:uniqueId val="{00000000-FD5C-4713-8FC4-E47D795AE062}"/>
            </c:ext>
          </c:extLst>
        </c:ser>
        <c:ser>
          <c:idx val="1"/>
          <c:order val="1"/>
          <c:tx>
            <c:strRef>
              <c:f>Sheet1!$G$27</c:f>
              <c:strCache>
                <c:ptCount val="1"/>
                <c:pt idx="0">
                  <c:v>Brokered deposits/ total deposits (%)</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Sheet1!$E$28:$E$35</c:f>
              <c:numCache>
                <c:formatCode>General</c:formatCode>
                <c:ptCount val="8"/>
                <c:pt idx="0">
                  <c:v>2016</c:v>
                </c:pt>
                <c:pt idx="1">
                  <c:v>2017</c:v>
                </c:pt>
                <c:pt idx="2">
                  <c:v>2018</c:v>
                </c:pt>
                <c:pt idx="3">
                  <c:v>2019</c:v>
                </c:pt>
                <c:pt idx="4">
                  <c:v>2020</c:v>
                </c:pt>
                <c:pt idx="5">
                  <c:v>2021</c:v>
                </c:pt>
                <c:pt idx="6">
                  <c:v>2022</c:v>
                </c:pt>
                <c:pt idx="7">
                  <c:v>2023</c:v>
                </c:pt>
              </c:numCache>
            </c:numRef>
          </c:cat>
          <c:val>
            <c:numRef>
              <c:f>Sheet1!$G$28:$G$35</c:f>
              <c:numCache>
                <c:formatCode>General</c:formatCode>
                <c:ptCount val="8"/>
                <c:pt idx="0">
                  <c:v>6</c:v>
                </c:pt>
                <c:pt idx="1">
                  <c:v>6.72</c:v>
                </c:pt>
                <c:pt idx="2">
                  <c:v>7.25</c:v>
                </c:pt>
                <c:pt idx="3">
                  <c:v>7.5</c:v>
                </c:pt>
                <c:pt idx="4">
                  <c:v>6.5</c:v>
                </c:pt>
                <c:pt idx="5">
                  <c:v>6.25</c:v>
                </c:pt>
                <c:pt idx="6">
                  <c:v>7.33</c:v>
                </c:pt>
                <c:pt idx="7">
                  <c:v>8.36</c:v>
                </c:pt>
              </c:numCache>
            </c:numRef>
          </c:val>
          <c:smooth val="0"/>
          <c:extLst>
            <c:ext xmlns:c16="http://schemas.microsoft.com/office/drawing/2014/chart" uri="{C3380CC4-5D6E-409C-BE32-E72D297353CC}">
              <c16:uniqueId val="{00000001-FD5C-4713-8FC4-E47D795AE062}"/>
            </c:ext>
          </c:extLst>
        </c:ser>
        <c:ser>
          <c:idx val="2"/>
          <c:order val="2"/>
          <c:tx>
            <c:strRef>
              <c:f>Sheet1!$H$27</c:f>
              <c:strCache>
                <c:ptCount val="1"/>
                <c:pt idx="0">
                  <c:v>FHLB advances / total liabilities (%)</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Sheet1!$E$28:$E$35</c:f>
              <c:numCache>
                <c:formatCode>General</c:formatCode>
                <c:ptCount val="8"/>
                <c:pt idx="0">
                  <c:v>2016</c:v>
                </c:pt>
                <c:pt idx="1">
                  <c:v>2017</c:v>
                </c:pt>
                <c:pt idx="2">
                  <c:v>2018</c:v>
                </c:pt>
                <c:pt idx="3">
                  <c:v>2019</c:v>
                </c:pt>
                <c:pt idx="4">
                  <c:v>2020</c:v>
                </c:pt>
                <c:pt idx="5">
                  <c:v>2021</c:v>
                </c:pt>
                <c:pt idx="6">
                  <c:v>2022</c:v>
                </c:pt>
                <c:pt idx="7">
                  <c:v>2023</c:v>
                </c:pt>
              </c:numCache>
            </c:numRef>
          </c:cat>
          <c:val>
            <c:numRef>
              <c:f>Sheet1!$H$28:$H$35</c:f>
              <c:numCache>
                <c:formatCode>General</c:formatCode>
                <c:ptCount val="8"/>
                <c:pt idx="0">
                  <c:v>4</c:v>
                </c:pt>
                <c:pt idx="1">
                  <c:v>4</c:v>
                </c:pt>
                <c:pt idx="2">
                  <c:v>3.46</c:v>
                </c:pt>
                <c:pt idx="3">
                  <c:v>3</c:v>
                </c:pt>
                <c:pt idx="4">
                  <c:v>2.36</c:v>
                </c:pt>
                <c:pt idx="5">
                  <c:v>2.5</c:v>
                </c:pt>
                <c:pt idx="6">
                  <c:v>2.5</c:v>
                </c:pt>
                <c:pt idx="7">
                  <c:v>3</c:v>
                </c:pt>
              </c:numCache>
            </c:numRef>
          </c:val>
          <c:smooth val="0"/>
          <c:extLst>
            <c:ext xmlns:c16="http://schemas.microsoft.com/office/drawing/2014/chart" uri="{C3380CC4-5D6E-409C-BE32-E72D297353CC}">
              <c16:uniqueId val="{00000002-FD5C-4713-8FC4-E47D795AE062}"/>
            </c:ext>
          </c:extLst>
        </c:ser>
        <c:ser>
          <c:idx val="3"/>
          <c:order val="3"/>
          <c:tx>
            <c:strRef>
              <c:f>Sheet1!$I$27</c:f>
              <c:strCache>
                <c:ptCount val="1"/>
                <c:pt idx="0">
                  <c:v>Total loans and leases/ total deposits (%)</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Sheet1!$E$28:$E$35</c:f>
              <c:numCache>
                <c:formatCode>General</c:formatCode>
                <c:ptCount val="8"/>
                <c:pt idx="0">
                  <c:v>2016</c:v>
                </c:pt>
                <c:pt idx="1">
                  <c:v>2017</c:v>
                </c:pt>
                <c:pt idx="2">
                  <c:v>2018</c:v>
                </c:pt>
                <c:pt idx="3">
                  <c:v>2019</c:v>
                </c:pt>
                <c:pt idx="4">
                  <c:v>2020</c:v>
                </c:pt>
                <c:pt idx="5">
                  <c:v>2021</c:v>
                </c:pt>
                <c:pt idx="6">
                  <c:v>2022</c:v>
                </c:pt>
                <c:pt idx="7">
                  <c:v>2023</c:v>
                </c:pt>
              </c:numCache>
            </c:numRef>
          </c:cat>
          <c:val>
            <c:numRef>
              <c:f>Sheet1!$I$28:$I$35</c:f>
              <c:numCache>
                <c:formatCode>General</c:formatCode>
                <c:ptCount val="8"/>
                <c:pt idx="0">
                  <c:v>72</c:v>
                </c:pt>
                <c:pt idx="1">
                  <c:v>72.5</c:v>
                </c:pt>
                <c:pt idx="2">
                  <c:v>73</c:v>
                </c:pt>
                <c:pt idx="3">
                  <c:v>70</c:v>
                </c:pt>
                <c:pt idx="4">
                  <c:v>58</c:v>
                </c:pt>
                <c:pt idx="5">
                  <c:v>60</c:v>
                </c:pt>
                <c:pt idx="6">
                  <c:v>63</c:v>
                </c:pt>
                <c:pt idx="7">
                  <c:v>65</c:v>
                </c:pt>
              </c:numCache>
            </c:numRef>
          </c:val>
          <c:smooth val="0"/>
          <c:extLst>
            <c:ext xmlns:c16="http://schemas.microsoft.com/office/drawing/2014/chart" uri="{C3380CC4-5D6E-409C-BE32-E72D297353CC}">
              <c16:uniqueId val="{00000003-FD5C-4713-8FC4-E47D795AE062}"/>
            </c:ext>
          </c:extLst>
        </c:ser>
        <c:dLbls>
          <c:dLblPos val="t"/>
          <c:showLegendKey val="0"/>
          <c:showVal val="1"/>
          <c:showCatName val="0"/>
          <c:showSerName val="0"/>
          <c:showPercent val="0"/>
          <c:showBubbleSize val="0"/>
        </c:dLbls>
        <c:smooth val="0"/>
        <c:axId val="1190100095"/>
        <c:axId val="1190099135"/>
      </c:lineChart>
      <c:catAx>
        <c:axId val="1190100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190099135"/>
        <c:crosses val="autoZero"/>
        <c:auto val="1"/>
        <c:lblAlgn val="ctr"/>
        <c:lblOffset val="100"/>
        <c:noMultiLvlLbl val="0"/>
      </c:catAx>
      <c:valAx>
        <c:axId val="1190099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190100095"/>
        <c:crosses val="autoZero"/>
        <c:crossBetween val="between"/>
      </c:valAx>
      <c:spPr>
        <a:noFill/>
        <a:ln>
          <a:noFill/>
        </a:ln>
        <a:effectLst/>
      </c:spPr>
    </c:plotArea>
    <c:legend>
      <c:legendPos val="tr"/>
      <c:layout>
        <c:manualLayout>
          <c:xMode val="edge"/>
          <c:yMode val="edge"/>
          <c:x val="0.60526562591586719"/>
          <c:y val="6.7722082290146021E-2"/>
          <c:w val="0.39222432803839968"/>
          <c:h val="0.13758550354116397"/>
        </c:manualLayout>
      </c:layou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208-4167-BE2A-087B8A18402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208-4167-BE2A-087B8A18402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208-4167-BE2A-087B8A18402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208-4167-BE2A-087B8A18402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208-4167-BE2A-087B8A18402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208-4167-BE2A-087B8A18402B}"/>
              </c:ext>
            </c:extLst>
          </c:dPt>
          <c:dLbls>
            <c:dLbl>
              <c:idx val="0"/>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A8692155-177E-4556-8197-F0CC4E817745}" type="CATEGORYNAME">
                      <a:rPr lang="en-US"/>
                      <a:pPr>
                        <a:defRPr/>
                      </a:pPr>
                      <a:t>[CATEGORY NAME]</a:t>
                    </a:fld>
                    <a:r>
                      <a:rPr lang="en-US" baseline="0"/>
                      <a:t>, </a:t>
                    </a:r>
                    <a:fld id="{F9CD7EF2-DB92-45A4-A4FC-74F3B46992DA}" type="VALUE">
                      <a:rPr lang="en-US" baseline="0"/>
                      <a:pPr>
                        <a:defRPr/>
                      </a:pPr>
                      <a:t>[VALUE]</a:t>
                    </a:fld>
                    <a:endParaRPr lang="en-US" baseline="0"/>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1"/>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8713035870516184"/>
                      <c:h val="0.13073494018375909"/>
                    </c:manualLayout>
                  </c15:layout>
                  <c15:dlblFieldTable/>
                  <c15:showDataLabelsRange val="0"/>
                </c:ext>
                <c:ext xmlns:c16="http://schemas.microsoft.com/office/drawing/2014/chart" uri="{C3380CC4-5D6E-409C-BE32-E72D297353CC}">
                  <c16:uniqueId val="{00000001-3208-4167-BE2A-087B8A18402B}"/>
                </c:ext>
              </c:extLst>
            </c:dLbl>
            <c:dLbl>
              <c:idx val="1"/>
              <c:layout>
                <c:manualLayout>
                  <c:x val="0.17257683215130015"/>
                  <c:y val="-2.0350020350020499E-2"/>
                </c:manualLayout>
              </c:layout>
              <c:dLblPos val="bestFit"/>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208-4167-BE2A-087B8A18402B}"/>
                </c:ext>
              </c:extLst>
            </c:dLbl>
            <c:dLbl>
              <c:idx val="2"/>
              <c:layout>
                <c:manualLayout>
                  <c:x val="4.728132387706834E-3"/>
                  <c:y val="4.0700040700040699E-2"/>
                </c:manualLayout>
              </c:layout>
              <c:dLblPos val="bestFit"/>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208-4167-BE2A-087B8A18402B}"/>
                </c:ext>
              </c:extLst>
            </c:dLbl>
            <c:dLbl>
              <c:idx val="5"/>
              <c:layout>
                <c:manualLayout>
                  <c:x val="7.8014184397163039E-2"/>
                  <c:y val="-1.8653969828600723E-17"/>
                </c:manualLayout>
              </c:layout>
              <c:dLblPos val="bestFit"/>
              <c:showLegendKey val="1"/>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3208-4167-BE2A-087B8A18402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1"/>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Sheet1!$A$2:$A$7</c:f>
              <c:strCache>
                <c:ptCount val="6"/>
                <c:pt idx="0">
                  <c:v>IRAs</c:v>
                </c:pt>
                <c:pt idx="1">
                  <c:v>Defined contribution plans</c:v>
                </c:pt>
                <c:pt idx="2">
                  <c:v>State and Local govt. defined benefit plans</c:v>
                </c:pt>
                <c:pt idx="3">
                  <c:v>Federal defined benefit Plans</c:v>
                </c:pt>
                <c:pt idx="4">
                  <c:v>Private Sector defined benefit plans</c:v>
                </c:pt>
                <c:pt idx="5">
                  <c:v>Annuities</c:v>
                </c:pt>
              </c:strCache>
            </c:strRef>
          </c:cat>
          <c:val>
            <c:numRef>
              <c:f>Sheet1!$B$2:$B$7</c:f>
              <c:numCache>
                <c:formatCode>0%</c:formatCode>
                <c:ptCount val="6"/>
                <c:pt idx="0">
                  <c:v>0.35</c:v>
                </c:pt>
                <c:pt idx="1">
                  <c:v>0.28000000000000003</c:v>
                </c:pt>
                <c:pt idx="2">
                  <c:v>0.15</c:v>
                </c:pt>
                <c:pt idx="3">
                  <c:v>0.06</c:v>
                </c:pt>
                <c:pt idx="4">
                  <c:v>0.1</c:v>
                </c:pt>
                <c:pt idx="5">
                  <c:v>0.06</c:v>
                </c:pt>
              </c:numCache>
            </c:numRef>
          </c:val>
          <c:extLst>
            <c:ext xmlns:c16="http://schemas.microsoft.com/office/drawing/2014/chart" uri="{C3380CC4-5D6E-409C-BE32-E72D297353CC}">
              <c16:uniqueId val="{0000000C-3208-4167-BE2A-087B8A18402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Sheet1!$G$14</c:f>
              <c:strCache>
                <c:ptCount val="1"/>
                <c:pt idx="0">
                  <c:v>% of US Households Owning IRAs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Sheet1!$F$15:$F$19</c:f>
              <c:strCache>
                <c:ptCount val="5"/>
                <c:pt idx="0">
                  <c:v>Younger than 35</c:v>
                </c:pt>
                <c:pt idx="1">
                  <c:v>35 to 44</c:v>
                </c:pt>
                <c:pt idx="2">
                  <c:v>45 to 54</c:v>
                </c:pt>
                <c:pt idx="3">
                  <c:v>55 to 64</c:v>
                </c:pt>
                <c:pt idx="4">
                  <c:v>65 or older</c:v>
                </c:pt>
              </c:strCache>
            </c:strRef>
          </c:cat>
          <c:val>
            <c:numRef>
              <c:f>Sheet1!$G$15:$G$19</c:f>
              <c:numCache>
                <c:formatCode>General</c:formatCode>
                <c:ptCount val="5"/>
                <c:pt idx="0">
                  <c:v>31</c:v>
                </c:pt>
                <c:pt idx="1">
                  <c:v>36</c:v>
                </c:pt>
                <c:pt idx="2">
                  <c:v>39</c:v>
                </c:pt>
                <c:pt idx="3">
                  <c:v>43</c:v>
                </c:pt>
                <c:pt idx="4">
                  <c:v>36</c:v>
                </c:pt>
              </c:numCache>
            </c:numRef>
          </c:val>
          <c:extLst>
            <c:ext xmlns:c16="http://schemas.microsoft.com/office/drawing/2014/chart" uri="{C3380CC4-5D6E-409C-BE32-E72D297353CC}">
              <c16:uniqueId val="{00000000-CE7C-4583-AAD3-1020E6332A03}"/>
            </c:ext>
          </c:extLst>
        </c:ser>
        <c:dLbls>
          <c:dLblPos val="outEnd"/>
          <c:showLegendKey val="0"/>
          <c:showVal val="1"/>
          <c:showCatName val="0"/>
          <c:showSerName val="0"/>
          <c:showPercent val="0"/>
          <c:showBubbleSize val="0"/>
        </c:dLbls>
        <c:gapWidth val="100"/>
        <c:overlap val="-24"/>
        <c:axId val="1018180191"/>
        <c:axId val="1018187391"/>
      </c:barChart>
      <c:catAx>
        <c:axId val="1018180191"/>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187391"/>
        <c:crosses val="autoZero"/>
        <c:auto val="1"/>
        <c:lblAlgn val="ctr"/>
        <c:lblOffset val="100"/>
        <c:noMultiLvlLbl val="0"/>
      </c:catAx>
      <c:valAx>
        <c:axId val="101818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8180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331A0-2EB9-4E82-95B6-0D9CE1DF2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4</cp:revision>
  <dcterms:created xsi:type="dcterms:W3CDTF">2024-06-25T05:33:00Z</dcterms:created>
  <dcterms:modified xsi:type="dcterms:W3CDTF">2024-06-25T05:35:00Z</dcterms:modified>
</cp:coreProperties>
</file>