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75DCF" w14:textId="77777777" w:rsidR="00444189" w:rsidRPr="00444189" w:rsidRDefault="00444189" w:rsidP="00444189">
      <w:pPr>
        <w:rPr>
          <w:rFonts w:ascii="Times New Roman" w:hAnsi="Times New Roman" w:cs="Times New Roman"/>
          <w:b/>
          <w:bCs/>
          <w:sz w:val="36"/>
          <w:szCs w:val="36"/>
          <w:u w:val="thick"/>
        </w:rPr>
      </w:pPr>
      <w:r w:rsidRPr="00444189">
        <w:rPr>
          <w:rFonts w:ascii="Times New Roman" w:hAnsi="Times New Roman" w:cs="Times New Roman"/>
          <w:b/>
          <w:bCs/>
          <w:sz w:val="36"/>
          <w:szCs w:val="36"/>
          <w:u w:val="thick"/>
        </w:rPr>
        <w:t>VOLCKER RULE</w:t>
      </w:r>
    </w:p>
    <w:p w14:paraId="303B000A" w14:textId="3CA2738B" w:rsidR="00001581" w:rsidRPr="00444189" w:rsidRDefault="00444189">
      <w:pPr>
        <w:rPr>
          <w:rFonts w:ascii="Times New Roman" w:hAnsi="Times New Roman" w:cs="Times New Roman"/>
          <w:sz w:val="24"/>
          <w:szCs w:val="24"/>
        </w:rPr>
      </w:pPr>
      <w:r w:rsidRPr="00444189">
        <w:rPr>
          <w:rFonts w:ascii="Times New Roman" w:hAnsi="Times New Roman" w:cs="Times New Roman"/>
          <w:sz w:val="24"/>
          <w:szCs w:val="24"/>
        </w:rPr>
        <w:t>The Volcker Rule is a financial regulation that was part of the Dodd-Frank Wall Street Reform and Consumer Protection Act, enacted in response to the financial crisis of 2007-2008. Named after former Federal Reserve Chairman Paul Volcker, the rule aims to prevent excessive risk-taking by banks.</w:t>
      </w:r>
    </w:p>
    <w:p w14:paraId="090FADB3" w14:textId="77777777" w:rsidR="00444189" w:rsidRPr="00444189" w:rsidRDefault="00444189" w:rsidP="00444189">
      <w:pPr>
        <w:shd w:val="clear" w:color="auto" w:fill="FFFFFF"/>
        <w:spacing w:after="0" w:line="240" w:lineRule="auto"/>
        <w:outlineLvl w:val="2"/>
        <w:rPr>
          <w:rFonts w:ascii="Times New Roman" w:eastAsia="Times New Roman" w:hAnsi="Times New Roman" w:cs="Times New Roman"/>
          <w:caps/>
          <w:color w:val="111111"/>
          <w:kern w:val="0"/>
          <w:sz w:val="24"/>
          <w:szCs w:val="24"/>
          <w:lang w:eastAsia="en-IN"/>
          <w14:ligatures w14:val="none"/>
        </w:rPr>
      </w:pPr>
      <w:r w:rsidRPr="00444189">
        <w:rPr>
          <w:rFonts w:ascii="Times New Roman" w:eastAsia="Times New Roman" w:hAnsi="Times New Roman" w:cs="Times New Roman"/>
          <w:caps/>
          <w:color w:val="111111"/>
          <w:kern w:val="0"/>
          <w:sz w:val="24"/>
          <w:szCs w:val="24"/>
          <w:lang w:eastAsia="en-IN"/>
          <w14:ligatures w14:val="none"/>
        </w:rPr>
        <w:t>KEY TAKEAWAYS</w:t>
      </w:r>
    </w:p>
    <w:p w14:paraId="39875012" w14:textId="77777777" w:rsidR="00444189" w:rsidRPr="00444189" w:rsidRDefault="00444189" w:rsidP="0044418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11111"/>
          <w:spacing w:val="1"/>
          <w:kern w:val="0"/>
          <w:sz w:val="24"/>
          <w:szCs w:val="24"/>
          <w:lang w:eastAsia="en-IN"/>
          <w14:ligatures w14:val="none"/>
        </w:rPr>
      </w:pPr>
      <w:r w:rsidRPr="00444189">
        <w:rPr>
          <w:rFonts w:ascii="Times New Roman" w:eastAsia="Times New Roman" w:hAnsi="Times New Roman" w:cs="Times New Roman"/>
          <w:color w:val="111111"/>
          <w:spacing w:val="1"/>
          <w:kern w:val="0"/>
          <w:sz w:val="24"/>
          <w:szCs w:val="24"/>
          <w:lang w:eastAsia="en-IN"/>
          <w14:ligatures w14:val="none"/>
        </w:rPr>
        <w:t>The Volcker Rule prohibits banks from using their own accounts for short-term proprietary trading of securities, derivatives, and commodity futures, as well as options on any of these instruments. </w:t>
      </w:r>
    </w:p>
    <w:p w14:paraId="1717842E" w14:textId="69345640" w:rsidR="00444189" w:rsidRPr="00444189" w:rsidRDefault="00444189" w:rsidP="00444189">
      <w:pPr>
        <w:numPr>
          <w:ilvl w:val="0"/>
          <w:numId w:val="1"/>
        </w:numPr>
        <w:shd w:val="clear" w:color="auto" w:fill="FFFFFF"/>
        <w:spacing w:before="100" w:beforeAutospacing="1" w:after="0" w:afterAutospacing="1" w:line="240" w:lineRule="auto"/>
        <w:rPr>
          <w:rFonts w:ascii="Times New Roman" w:eastAsia="Times New Roman" w:hAnsi="Times New Roman" w:cs="Times New Roman"/>
          <w:color w:val="111111"/>
          <w:spacing w:val="1"/>
          <w:kern w:val="0"/>
          <w:sz w:val="24"/>
          <w:szCs w:val="24"/>
          <w:lang w:eastAsia="en-IN"/>
          <w14:ligatures w14:val="none"/>
        </w:rPr>
      </w:pPr>
      <w:r w:rsidRPr="00444189">
        <w:rPr>
          <w:rFonts w:ascii="Times New Roman" w:eastAsia="Times New Roman" w:hAnsi="Times New Roman" w:cs="Times New Roman"/>
          <w:color w:val="111111"/>
          <w:spacing w:val="1"/>
          <w:kern w:val="0"/>
          <w:sz w:val="24"/>
          <w:szCs w:val="24"/>
          <w:lang w:eastAsia="en-IN"/>
          <w14:ligatures w14:val="none"/>
        </w:rPr>
        <w:t>On June 25, 2020, Federal Deposit Insurance Corp. (FDIC) officials said the agency will loosen the restrictions of the Volcker Rule, allowing banks to more easily make large investments into venture capital and similar funds.</w:t>
      </w:r>
    </w:p>
    <w:p w14:paraId="7C3690AE" w14:textId="77777777" w:rsidR="00444189" w:rsidRPr="00444189" w:rsidRDefault="00444189" w:rsidP="00444189">
      <w:pPr>
        <w:numPr>
          <w:ilvl w:val="0"/>
          <w:numId w:val="1"/>
        </w:numPr>
        <w:shd w:val="clear" w:color="auto" w:fill="FFFFFF"/>
        <w:spacing w:before="100" w:beforeAutospacing="1" w:after="0" w:line="240" w:lineRule="auto"/>
        <w:rPr>
          <w:rFonts w:ascii="Times New Roman" w:eastAsia="Times New Roman" w:hAnsi="Times New Roman" w:cs="Times New Roman"/>
          <w:color w:val="111111"/>
          <w:spacing w:val="1"/>
          <w:kern w:val="0"/>
          <w:sz w:val="24"/>
          <w:szCs w:val="24"/>
          <w:lang w:eastAsia="en-IN"/>
          <w14:ligatures w14:val="none"/>
        </w:rPr>
      </w:pPr>
      <w:r w:rsidRPr="00444189">
        <w:rPr>
          <w:rFonts w:ascii="Times New Roman" w:eastAsia="Times New Roman" w:hAnsi="Times New Roman" w:cs="Times New Roman"/>
          <w:color w:val="111111"/>
          <w:spacing w:val="1"/>
          <w:kern w:val="0"/>
          <w:sz w:val="24"/>
          <w:szCs w:val="24"/>
          <w:lang w:eastAsia="en-IN"/>
          <w14:ligatures w14:val="none"/>
        </w:rPr>
        <w:t>The main criticism of the Volcker Rule is that it will reduce liquidity due to a reduction in banks’ market-making activities.</w:t>
      </w:r>
    </w:p>
    <w:p w14:paraId="3667EE5E" w14:textId="77777777" w:rsidR="00444189" w:rsidRPr="00444189" w:rsidRDefault="00444189" w:rsidP="004441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b/>
          <w:bCs/>
          <w:kern w:val="0"/>
          <w:sz w:val="24"/>
          <w:szCs w:val="24"/>
          <w:lang w:eastAsia="en-IN"/>
          <w14:ligatures w14:val="none"/>
        </w:rPr>
        <w:t>Proprietary Trading Ban</w:t>
      </w:r>
      <w:r w:rsidRPr="00444189">
        <w:rPr>
          <w:rFonts w:ascii="Times New Roman" w:eastAsia="Times New Roman" w:hAnsi="Times New Roman" w:cs="Times New Roman"/>
          <w:kern w:val="0"/>
          <w:sz w:val="24"/>
          <w:szCs w:val="24"/>
          <w:lang w:eastAsia="en-IN"/>
          <w14:ligatures w14:val="none"/>
        </w:rPr>
        <w:t>:</w:t>
      </w:r>
    </w:p>
    <w:p w14:paraId="4C306F81" w14:textId="77777777" w:rsidR="00444189" w:rsidRPr="00444189" w:rsidRDefault="00444189" w:rsidP="0044418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kern w:val="0"/>
          <w:sz w:val="24"/>
          <w:szCs w:val="24"/>
          <w:lang w:eastAsia="en-IN"/>
          <w14:ligatures w14:val="none"/>
        </w:rPr>
        <w:t>The rule prohibits banks from engaging in proprietary trading, which involves trading stocks, bonds, derivatives, and other financial instruments for the bank's own profit, rather than on behalf of customers.</w:t>
      </w:r>
    </w:p>
    <w:p w14:paraId="79327C28" w14:textId="77777777" w:rsidR="00444189" w:rsidRPr="00444189" w:rsidRDefault="00444189" w:rsidP="0044418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kern w:val="0"/>
          <w:sz w:val="24"/>
          <w:szCs w:val="24"/>
          <w:lang w:eastAsia="en-IN"/>
          <w14:ligatures w14:val="none"/>
        </w:rPr>
        <w:t>This measure is intended to reduce the risk of significant losses that could jeopardize the financial stability of the bank and, by extension, the financial system.</w:t>
      </w:r>
    </w:p>
    <w:p w14:paraId="20D1F1A3" w14:textId="77777777" w:rsidR="00444189" w:rsidRPr="00444189" w:rsidRDefault="00444189" w:rsidP="004441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b/>
          <w:bCs/>
          <w:kern w:val="0"/>
          <w:sz w:val="24"/>
          <w:szCs w:val="24"/>
          <w:lang w:eastAsia="en-IN"/>
          <w14:ligatures w14:val="none"/>
        </w:rPr>
        <w:t>Restrictions on Ownership Interests in Hedge Funds and Private Equity Funds</w:t>
      </w:r>
      <w:r w:rsidRPr="00444189">
        <w:rPr>
          <w:rFonts w:ascii="Times New Roman" w:eastAsia="Times New Roman" w:hAnsi="Times New Roman" w:cs="Times New Roman"/>
          <w:kern w:val="0"/>
          <w:sz w:val="24"/>
          <w:szCs w:val="24"/>
          <w:lang w:eastAsia="en-IN"/>
          <w14:ligatures w14:val="none"/>
        </w:rPr>
        <w:t>:</w:t>
      </w:r>
    </w:p>
    <w:p w14:paraId="312FAB4B" w14:textId="77777777" w:rsidR="00444189" w:rsidRPr="00444189" w:rsidRDefault="00444189" w:rsidP="0044418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kern w:val="0"/>
          <w:sz w:val="24"/>
          <w:szCs w:val="24"/>
          <w:lang w:eastAsia="en-IN"/>
          <w14:ligatures w14:val="none"/>
        </w:rPr>
        <w:t>Banks are restricted from owning, sponsoring, or having certain relationships with hedge funds and private equity funds. This is to prevent conflicts of interest and limit the exposure of bank capital to high-risk investment strategies.</w:t>
      </w:r>
    </w:p>
    <w:p w14:paraId="0CCB351D" w14:textId="77777777" w:rsidR="00444189" w:rsidRPr="00444189" w:rsidRDefault="00444189" w:rsidP="004441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b/>
          <w:bCs/>
          <w:kern w:val="0"/>
          <w:sz w:val="24"/>
          <w:szCs w:val="24"/>
          <w:lang w:eastAsia="en-IN"/>
          <w14:ligatures w14:val="none"/>
        </w:rPr>
        <w:t>Permitted Activities</w:t>
      </w:r>
      <w:r w:rsidRPr="00444189">
        <w:rPr>
          <w:rFonts w:ascii="Times New Roman" w:eastAsia="Times New Roman" w:hAnsi="Times New Roman" w:cs="Times New Roman"/>
          <w:kern w:val="0"/>
          <w:sz w:val="24"/>
          <w:szCs w:val="24"/>
          <w:lang w:eastAsia="en-IN"/>
          <w14:ligatures w14:val="none"/>
        </w:rPr>
        <w:t>:</w:t>
      </w:r>
    </w:p>
    <w:p w14:paraId="6AC15D58" w14:textId="77777777" w:rsidR="00444189" w:rsidRPr="00444189" w:rsidRDefault="00444189" w:rsidP="0044418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kern w:val="0"/>
          <w:sz w:val="24"/>
          <w:szCs w:val="24"/>
          <w:lang w:eastAsia="en-IN"/>
          <w14:ligatures w14:val="none"/>
        </w:rPr>
        <w:t>The rule allows certain types of trading and investment activities that are considered less risky and essential for the functioning of the financial system. These include:</w:t>
      </w:r>
    </w:p>
    <w:p w14:paraId="1726E192" w14:textId="77777777" w:rsidR="00444189" w:rsidRPr="00444189" w:rsidRDefault="00444189" w:rsidP="0044418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kern w:val="0"/>
          <w:sz w:val="24"/>
          <w:szCs w:val="24"/>
          <w:lang w:eastAsia="en-IN"/>
          <w14:ligatures w14:val="none"/>
        </w:rPr>
        <w:t>Market making</w:t>
      </w:r>
    </w:p>
    <w:p w14:paraId="49A86765" w14:textId="77777777" w:rsidR="00444189" w:rsidRPr="00444189" w:rsidRDefault="00444189" w:rsidP="0044418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kern w:val="0"/>
          <w:sz w:val="24"/>
          <w:szCs w:val="24"/>
          <w:lang w:eastAsia="en-IN"/>
          <w14:ligatures w14:val="none"/>
        </w:rPr>
        <w:t>Underwriting</w:t>
      </w:r>
    </w:p>
    <w:p w14:paraId="5C9360DC" w14:textId="77777777" w:rsidR="00444189" w:rsidRPr="00444189" w:rsidRDefault="00444189" w:rsidP="0044418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kern w:val="0"/>
          <w:sz w:val="24"/>
          <w:szCs w:val="24"/>
          <w:lang w:eastAsia="en-IN"/>
          <w14:ligatures w14:val="none"/>
        </w:rPr>
        <w:t>Hedging</w:t>
      </w:r>
    </w:p>
    <w:p w14:paraId="1CF7C997" w14:textId="77777777" w:rsidR="00444189" w:rsidRPr="00444189" w:rsidRDefault="00444189" w:rsidP="0044418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kern w:val="0"/>
          <w:sz w:val="24"/>
          <w:szCs w:val="24"/>
          <w:lang w:eastAsia="en-IN"/>
          <w14:ligatures w14:val="none"/>
        </w:rPr>
        <w:t>Transactions on behalf of customers</w:t>
      </w:r>
    </w:p>
    <w:p w14:paraId="68FD6E62" w14:textId="77777777" w:rsidR="00444189" w:rsidRPr="00444189" w:rsidRDefault="00444189" w:rsidP="0044418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kern w:val="0"/>
          <w:sz w:val="24"/>
          <w:szCs w:val="24"/>
          <w:lang w:eastAsia="en-IN"/>
          <w14:ligatures w14:val="none"/>
        </w:rPr>
        <w:t>Trading in U.S. government, state, and municipal obligations</w:t>
      </w:r>
    </w:p>
    <w:p w14:paraId="5D809F35" w14:textId="77777777" w:rsidR="00444189" w:rsidRPr="00444189" w:rsidRDefault="00444189" w:rsidP="004441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b/>
          <w:bCs/>
          <w:kern w:val="0"/>
          <w:sz w:val="24"/>
          <w:szCs w:val="24"/>
          <w:lang w:eastAsia="en-IN"/>
          <w14:ligatures w14:val="none"/>
        </w:rPr>
        <w:t>Compliance and Reporting Requirements</w:t>
      </w:r>
      <w:r w:rsidRPr="00444189">
        <w:rPr>
          <w:rFonts w:ascii="Times New Roman" w:eastAsia="Times New Roman" w:hAnsi="Times New Roman" w:cs="Times New Roman"/>
          <w:kern w:val="0"/>
          <w:sz w:val="24"/>
          <w:szCs w:val="24"/>
          <w:lang w:eastAsia="en-IN"/>
          <w14:ligatures w14:val="none"/>
        </w:rPr>
        <w:t>:</w:t>
      </w:r>
    </w:p>
    <w:p w14:paraId="2A68ACE4" w14:textId="77777777" w:rsidR="00444189" w:rsidRPr="00444189" w:rsidRDefault="00444189" w:rsidP="0044418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kern w:val="0"/>
          <w:sz w:val="24"/>
          <w:szCs w:val="24"/>
          <w:lang w:eastAsia="en-IN"/>
          <w14:ligatures w14:val="none"/>
        </w:rPr>
        <w:t>Banks are required to establish and maintain an internal compliance program to ensure adherence to the Volcker Rule.</w:t>
      </w:r>
    </w:p>
    <w:p w14:paraId="0CBD6B3E" w14:textId="77777777" w:rsidR="00444189" w:rsidRDefault="00444189" w:rsidP="0044418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kern w:val="0"/>
          <w:sz w:val="24"/>
          <w:szCs w:val="24"/>
          <w:lang w:eastAsia="en-IN"/>
          <w14:ligatures w14:val="none"/>
        </w:rPr>
        <w:t>Large banking entities are subject to more stringent reporting and recordkeeping requirements to demonstrate compliance.</w:t>
      </w:r>
    </w:p>
    <w:p w14:paraId="51D5FC02" w14:textId="77777777" w:rsidR="00444189" w:rsidRDefault="00444189" w:rsidP="004441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1C1C02E" w14:textId="77777777" w:rsidR="00444189" w:rsidRDefault="00444189" w:rsidP="004441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6823106" w14:textId="77777777" w:rsidR="00444189" w:rsidRPr="00444189" w:rsidRDefault="00444189" w:rsidP="004441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9C7D6C7" w14:textId="77777777" w:rsidR="00444189" w:rsidRPr="00444189" w:rsidRDefault="00444189" w:rsidP="004441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44189">
        <w:rPr>
          <w:rFonts w:ascii="Times New Roman" w:eastAsia="Times New Roman" w:hAnsi="Times New Roman" w:cs="Times New Roman"/>
          <w:b/>
          <w:bCs/>
          <w:kern w:val="0"/>
          <w:sz w:val="27"/>
          <w:szCs w:val="27"/>
          <w:lang w:eastAsia="en-IN"/>
          <w14:ligatures w14:val="none"/>
        </w:rPr>
        <w:lastRenderedPageBreak/>
        <w:t>Impact and Criticisms</w:t>
      </w:r>
    </w:p>
    <w:p w14:paraId="62878567" w14:textId="77777777" w:rsidR="00444189" w:rsidRPr="00444189" w:rsidRDefault="00444189" w:rsidP="004441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b/>
          <w:bCs/>
          <w:kern w:val="0"/>
          <w:sz w:val="24"/>
          <w:szCs w:val="24"/>
          <w:lang w:eastAsia="en-IN"/>
          <w14:ligatures w14:val="none"/>
        </w:rPr>
        <w:t>Impact on Banks</w:t>
      </w:r>
      <w:r w:rsidRPr="00444189">
        <w:rPr>
          <w:rFonts w:ascii="Times New Roman" w:eastAsia="Times New Roman" w:hAnsi="Times New Roman" w:cs="Times New Roman"/>
          <w:kern w:val="0"/>
          <w:sz w:val="24"/>
          <w:szCs w:val="24"/>
          <w:lang w:eastAsia="en-IN"/>
          <w14:ligatures w14:val="none"/>
        </w:rPr>
        <w:t>:</w:t>
      </w:r>
    </w:p>
    <w:p w14:paraId="0415BCF4" w14:textId="77777777" w:rsidR="00444189" w:rsidRPr="00444189" w:rsidRDefault="00444189" w:rsidP="0044418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kern w:val="0"/>
          <w:sz w:val="24"/>
          <w:szCs w:val="24"/>
          <w:lang w:eastAsia="en-IN"/>
          <w14:ligatures w14:val="none"/>
        </w:rPr>
        <w:t>The Volcker Rule has led to significant changes in the operations of major banks, particularly those involved in investment banking. Many banks have scaled back or eliminated their proprietary trading desks.</w:t>
      </w:r>
    </w:p>
    <w:p w14:paraId="50FE8BC5" w14:textId="77777777" w:rsidR="00444189" w:rsidRPr="00444189" w:rsidRDefault="00444189" w:rsidP="0044418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kern w:val="0"/>
          <w:sz w:val="24"/>
          <w:szCs w:val="24"/>
          <w:lang w:eastAsia="en-IN"/>
          <w14:ligatures w14:val="none"/>
        </w:rPr>
        <w:t>Some banks have also divested their ownership stakes in hedge funds and private equity funds.</w:t>
      </w:r>
    </w:p>
    <w:p w14:paraId="5044E812" w14:textId="77777777" w:rsidR="00444189" w:rsidRPr="00444189" w:rsidRDefault="00444189" w:rsidP="004441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b/>
          <w:bCs/>
          <w:kern w:val="0"/>
          <w:sz w:val="24"/>
          <w:szCs w:val="24"/>
          <w:lang w:eastAsia="en-IN"/>
          <w14:ligatures w14:val="none"/>
        </w:rPr>
        <w:t>Criticisms</w:t>
      </w:r>
      <w:r w:rsidRPr="00444189">
        <w:rPr>
          <w:rFonts w:ascii="Times New Roman" w:eastAsia="Times New Roman" w:hAnsi="Times New Roman" w:cs="Times New Roman"/>
          <w:kern w:val="0"/>
          <w:sz w:val="24"/>
          <w:szCs w:val="24"/>
          <w:lang w:eastAsia="en-IN"/>
          <w14:ligatures w14:val="none"/>
        </w:rPr>
        <w:t>:</w:t>
      </w:r>
    </w:p>
    <w:p w14:paraId="7E87DCC4" w14:textId="77777777" w:rsidR="00444189" w:rsidRPr="00444189" w:rsidRDefault="00444189" w:rsidP="0044418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kern w:val="0"/>
          <w:sz w:val="24"/>
          <w:szCs w:val="24"/>
          <w:lang w:eastAsia="en-IN"/>
          <w14:ligatures w14:val="none"/>
        </w:rPr>
        <w:t>Critics argue that the Volcker Rule is overly complex and has led to increased compliance costs for banks.</w:t>
      </w:r>
    </w:p>
    <w:p w14:paraId="3D2D506D" w14:textId="77777777" w:rsidR="00444189" w:rsidRPr="00444189" w:rsidRDefault="00444189" w:rsidP="0044418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kern w:val="0"/>
          <w:sz w:val="24"/>
          <w:szCs w:val="24"/>
          <w:lang w:eastAsia="en-IN"/>
          <w14:ligatures w14:val="none"/>
        </w:rPr>
        <w:t>Some believe that the restrictions on proprietary trading have reduced market liquidity, particularly in the bond markets.</w:t>
      </w:r>
    </w:p>
    <w:p w14:paraId="60B2E45A" w14:textId="3D445F68" w:rsidR="00444189" w:rsidRPr="00444189" w:rsidRDefault="00444189" w:rsidP="0044418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kern w:val="0"/>
          <w:sz w:val="24"/>
          <w:szCs w:val="24"/>
          <w:lang w:eastAsia="en-IN"/>
          <w14:ligatures w14:val="none"/>
        </w:rPr>
        <w:t>Others contend that the rule does not go far enough in preventing risky behaviour by financial institutions.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2"/>
        <w:gridCol w:w="8414"/>
      </w:tblGrid>
      <w:tr w:rsidR="00444189" w:rsidRPr="00444189" w14:paraId="584EE1CD" w14:textId="77777777" w:rsidTr="00444189">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E3C2ACA" w14:textId="77777777" w:rsidR="00444189" w:rsidRPr="00444189" w:rsidRDefault="00444189" w:rsidP="00444189">
            <w:pPr>
              <w:spacing w:after="0" w:line="240" w:lineRule="auto"/>
              <w:jc w:val="center"/>
              <w:rPr>
                <w:rFonts w:ascii="Times New Roman" w:eastAsia="Times New Roman" w:hAnsi="Times New Roman" w:cs="Times New Roman"/>
                <w:b/>
                <w:bCs/>
                <w:kern w:val="0"/>
                <w:sz w:val="24"/>
                <w:szCs w:val="24"/>
                <w:lang w:eastAsia="en-IN"/>
                <w14:ligatures w14:val="none"/>
              </w:rPr>
            </w:pPr>
            <w:r w:rsidRPr="00444189">
              <w:rPr>
                <w:rFonts w:ascii="Times New Roman" w:eastAsia="Times New Roman" w:hAnsi="Times New Roman" w:cs="Times New Roman"/>
                <w:b/>
                <w:bCs/>
                <w:kern w:val="0"/>
                <w:sz w:val="24"/>
                <w:szCs w:val="24"/>
                <w:lang w:eastAsia="en-IN"/>
                <w14:ligatures w14:val="none"/>
              </w:rPr>
              <w:t>Year</w:t>
            </w:r>
          </w:p>
        </w:tc>
        <w:tc>
          <w:tcPr>
            <w:tcW w:w="0" w:type="auto"/>
            <w:tcBorders>
              <w:top w:val="single" w:sz="4" w:space="0" w:color="auto"/>
              <w:left w:val="single" w:sz="4" w:space="0" w:color="auto"/>
              <w:bottom w:val="single" w:sz="4" w:space="0" w:color="auto"/>
              <w:right w:val="single" w:sz="4" w:space="0" w:color="auto"/>
            </w:tcBorders>
            <w:vAlign w:val="center"/>
            <w:hideMark/>
          </w:tcPr>
          <w:p w14:paraId="05423744" w14:textId="77777777" w:rsidR="00444189" w:rsidRPr="00444189" w:rsidRDefault="00444189" w:rsidP="00444189">
            <w:pPr>
              <w:spacing w:after="0" w:line="240" w:lineRule="auto"/>
              <w:jc w:val="center"/>
              <w:rPr>
                <w:rFonts w:ascii="Times New Roman" w:eastAsia="Times New Roman" w:hAnsi="Times New Roman" w:cs="Times New Roman"/>
                <w:b/>
                <w:bCs/>
                <w:kern w:val="0"/>
                <w:sz w:val="24"/>
                <w:szCs w:val="24"/>
                <w:lang w:eastAsia="en-IN"/>
                <w14:ligatures w14:val="none"/>
              </w:rPr>
            </w:pPr>
            <w:r w:rsidRPr="00444189">
              <w:rPr>
                <w:rFonts w:ascii="Times New Roman" w:eastAsia="Times New Roman" w:hAnsi="Times New Roman" w:cs="Times New Roman"/>
                <w:b/>
                <w:bCs/>
                <w:kern w:val="0"/>
                <w:sz w:val="24"/>
                <w:szCs w:val="24"/>
                <w:lang w:eastAsia="en-IN"/>
                <w14:ligatures w14:val="none"/>
              </w:rPr>
              <w:t>Key Developments and Statistics</w:t>
            </w:r>
          </w:p>
        </w:tc>
      </w:tr>
      <w:tr w:rsidR="00444189" w:rsidRPr="00444189" w14:paraId="3C6C7E99" w14:textId="77777777" w:rsidTr="0044418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53954DB" w14:textId="77777777" w:rsidR="00444189" w:rsidRPr="00444189" w:rsidRDefault="00444189" w:rsidP="00444189">
            <w:pPr>
              <w:spacing w:after="0"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kern w:val="0"/>
                <w:sz w:val="24"/>
                <w:szCs w:val="24"/>
                <w:lang w:eastAsia="en-IN"/>
                <w14:ligatures w14:val="none"/>
              </w:rPr>
              <w:t>2018</w:t>
            </w:r>
          </w:p>
        </w:tc>
        <w:tc>
          <w:tcPr>
            <w:tcW w:w="0" w:type="auto"/>
            <w:tcBorders>
              <w:top w:val="single" w:sz="4" w:space="0" w:color="auto"/>
              <w:left w:val="single" w:sz="4" w:space="0" w:color="auto"/>
              <w:bottom w:val="single" w:sz="4" w:space="0" w:color="auto"/>
              <w:right w:val="single" w:sz="4" w:space="0" w:color="auto"/>
            </w:tcBorders>
            <w:vAlign w:val="center"/>
            <w:hideMark/>
          </w:tcPr>
          <w:p w14:paraId="6BCC45A7" w14:textId="77777777" w:rsidR="00444189" w:rsidRDefault="00444189" w:rsidP="00444189">
            <w:pPr>
              <w:spacing w:after="0"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b/>
                <w:bCs/>
                <w:kern w:val="0"/>
                <w:sz w:val="24"/>
                <w:szCs w:val="24"/>
                <w:lang w:eastAsia="en-IN"/>
                <w14:ligatures w14:val="none"/>
              </w:rPr>
              <w:t>Regulatory Changes</w:t>
            </w:r>
            <w:r w:rsidRPr="00444189">
              <w:rPr>
                <w:rFonts w:ascii="Times New Roman" w:eastAsia="Times New Roman" w:hAnsi="Times New Roman" w:cs="Times New Roman"/>
                <w:kern w:val="0"/>
                <w:sz w:val="24"/>
                <w:szCs w:val="24"/>
                <w:lang w:eastAsia="en-IN"/>
                <w14:ligatures w14:val="none"/>
              </w:rPr>
              <w:t xml:space="preserve">: Congress passed legislation easing Volcker Rule restrictions for smaller banks with less than $10 billion in assets. </w:t>
            </w:r>
          </w:p>
          <w:p w14:paraId="6379382A" w14:textId="1699145A" w:rsidR="00444189" w:rsidRPr="00444189" w:rsidRDefault="00444189" w:rsidP="00444189">
            <w:pPr>
              <w:spacing w:after="0"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b/>
                <w:bCs/>
                <w:kern w:val="0"/>
                <w:sz w:val="24"/>
                <w:szCs w:val="24"/>
                <w:lang w:eastAsia="en-IN"/>
                <w14:ligatures w14:val="none"/>
              </w:rPr>
              <w:t>Impact</w:t>
            </w:r>
            <w:r w:rsidRPr="00444189">
              <w:rPr>
                <w:rFonts w:ascii="Times New Roman" w:eastAsia="Times New Roman" w:hAnsi="Times New Roman" w:cs="Times New Roman"/>
                <w:kern w:val="0"/>
                <w:sz w:val="24"/>
                <w:szCs w:val="24"/>
                <w:lang w:eastAsia="en-IN"/>
                <w14:ligatures w14:val="none"/>
              </w:rPr>
              <w:t>: Increased flexibility for smaller banks, but ongoing debate about the implications for financial stability.</w:t>
            </w:r>
          </w:p>
        </w:tc>
      </w:tr>
      <w:tr w:rsidR="00444189" w:rsidRPr="00444189" w14:paraId="4F987925" w14:textId="77777777" w:rsidTr="0044418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941772B" w14:textId="77777777" w:rsidR="00444189" w:rsidRPr="00444189" w:rsidRDefault="00444189" w:rsidP="00444189">
            <w:pPr>
              <w:spacing w:after="0"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kern w:val="0"/>
                <w:sz w:val="24"/>
                <w:szCs w:val="24"/>
                <w:lang w:eastAsia="en-IN"/>
                <w14:ligatures w14:val="none"/>
              </w:rPr>
              <w:t>2019</w:t>
            </w:r>
          </w:p>
        </w:tc>
        <w:tc>
          <w:tcPr>
            <w:tcW w:w="0" w:type="auto"/>
            <w:tcBorders>
              <w:top w:val="single" w:sz="4" w:space="0" w:color="auto"/>
              <w:left w:val="single" w:sz="4" w:space="0" w:color="auto"/>
              <w:bottom w:val="single" w:sz="4" w:space="0" w:color="auto"/>
              <w:right w:val="single" w:sz="4" w:space="0" w:color="auto"/>
            </w:tcBorders>
            <w:vAlign w:val="center"/>
            <w:hideMark/>
          </w:tcPr>
          <w:p w14:paraId="24EFBF2D" w14:textId="77777777" w:rsidR="00444189" w:rsidRDefault="00444189" w:rsidP="00444189">
            <w:pPr>
              <w:spacing w:after="0"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b/>
                <w:bCs/>
                <w:kern w:val="0"/>
                <w:sz w:val="24"/>
                <w:szCs w:val="24"/>
                <w:lang w:eastAsia="en-IN"/>
                <w14:ligatures w14:val="none"/>
              </w:rPr>
              <w:t>Implementation of Changes</w:t>
            </w:r>
            <w:r w:rsidRPr="00444189">
              <w:rPr>
                <w:rFonts w:ascii="Times New Roman" w:eastAsia="Times New Roman" w:hAnsi="Times New Roman" w:cs="Times New Roman"/>
                <w:kern w:val="0"/>
                <w:sz w:val="24"/>
                <w:szCs w:val="24"/>
                <w:lang w:eastAsia="en-IN"/>
                <w14:ligatures w14:val="none"/>
              </w:rPr>
              <w:t>: Federal agencies finalized rule changes exempting community banks from the Volcker Rule, effective January 1, 2020.</w:t>
            </w:r>
          </w:p>
          <w:p w14:paraId="4F858051" w14:textId="517C3450" w:rsidR="00444189" w:rsidRPr="00444189" w:rsidRDefault="00444189" w:rsidP="00444189">
            <w:pPr>
              <w:spacing w:after="0"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b/>
                <w:bCs/>
                <w:kern w:val="0"/>
                <w:sz w:val="24"/>
                <w:szCs w:val="24"/>
                <w:lang w:eastAsia="en-IN"/>
                <w14:ligatures w14:val="none"/>
              </w:rPr>
              <w:t>Market Reaction</w:t>
            </w:r>
            <w:r w:rsidRPr="00444189">
              <w:rPr>
                <w:rFonts w:ascii="Times New Roman" w:eastAsia="Times New Roman" w:hAnsi="Times New Roman" w:cs="Times New Roman"/>
                <w:kern w:val="0"/>
                <w:sz w:val="24"/>
                <w:szCs w:val="24"/>
                <w:lang w:eastAsia="en-IN"/>
                <w14:ligatures w14:val="none"/>
              </w:rPr>
              <w:t>: Mixed reactions; some banks welcomed the reduced regulatory burden, while others expressed concerns about potential risks.</w:t>
            </w:r>
          </w:p>
        </w:tc>
      </w:tr>
      <w:tr w:rsidR="00444189" w:rsidRPr="00444189" w14:paraId="3FAB92C7" w14:textId="77777777" w:rsidTr="0044418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76C527D" w14:textId="77777777" w:rsidR="00444189" w:rsidRPr="00444189" w:rsidRDefault="00444189" w:rsidP="00444189">
            <w:pPr>
              <w:spacing w:after="0"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kern w:val="0"/>
                <w:sz w:val="24"/>
                <w:szCs w:val="24"/>
                <w:lang w:eastAsia="en-IN"/>
                <w14:ligatures w14:val="none"/>
              </w:rPr>
              <w:t>2020</w:t>
            </w:r>
          </w:p>
        </w:tc>
        <w:tc>
          <w:tcPr>
            <w:tcW w:w="0" w:type="auto"/>
            <w:tcBorders>
              <w:top w:val="single" w:sz="4" w:space="0" w:color="auto"/>
              <w:left w:val="single" w:sz="4" w:space="0" w:color="auto"/>
              <w:bottom w:val="single" w:sz="4" w:space="0" w:color="auto"/>
              <w:right w:val="single" w:sz="4" w:space="0" w:color="auto"/>
            </w:tcBorders>
            <w:vAlign w:val="center"/>
            <w:hideMark/>
          </w:tcPr>
          <w:p w14:paraId="4E8621EB" w14:textId="77777777" w:rsidR="00444189" w:rsidRDefault="00444189" w:rsidP="00444189">
            <w:pPr>
              <w:spacing w:after="0"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b/>
                <w:bCs/>
                <w:kern w:val="0"/>
                <w:sz w:val="24"/>
                <w:szCs w:val="24"/>
                <w:lang w:eastAsia="en-IN"/>
                <w14:ligatures w14:val="none"/>
              </w:rPr>
              <w:t>Further Revisions</w:t>
            </w:r>
            <w:r w:rsidRPr="00444189">
              <w:rPr>
                <w:rFonts w:ascii="Times New Roman" w:eastAsia="Times New Roman" w:hAnsi="Times New Roman" w:cs="Times New Roman"/>
                <w:kern w:val="0"/>
                <w:sz w:val="24"/>
                <w:szCs w:val="24"/>
                <w:lang w:eastAsia="en-IN"/>
                <w14:ligatures w14:val="none"/>
              </w:rPr>
              <w:t>: Regulators allowed banks to invest in venture capital funds, loosening some restrictions.</w:t>
            </w:r>
          </w:p>
          <w:p w14:paraId="01A55B48" w14:textId="05454C20" w:rsidR="00444189" w:rsidRPr="00444189" w:rsidRDefault="00444189" w:rsidP="00444189">
            <w:pPr>
              <w:spacing w:after="0"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b/>
                <w:bCs/>
                <w:kern w:val="0"/>
                <w:sz w:val="24"/>
                <w:szCs w:val="24"/>
                <w:lang w:eastAsia="en-IN"/>
                <w14:ligatures w14:val="none"/>
              </w:rPr>
              <w:t>Market Impact</w:t>
            </w:r>
            <w:r w:rsidRPr="00444189">
              <w:rPr>
                <w:rFonts w:ascii="Times New Roman" w:eastAsia="Times New Roman" w:hAnsi="Times New Roman" w:cs="Times New Roman"/>
                <w:kern w:val="0"/>
                <w:sz w:val="24"/>
                <w:szCs w:val="24"/>
                <w:lang w:eastAsia="en-IN"/>
                <w14:ligatures w14:val="none"/>
              </w:rPr>
              <w:t>: Increase in venture capital investments by banks; debate about the balance between economic growth and financial risk.</w:t>
            </w:r>
          </w:p>
        </w:tc>
      </w:tr>
      <w:tr w:rsidR="00444189" w:rsidRPr="00444189" w14:paraId="2C15079B" w14:textId="77777777" w:rsidTr="0044418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42AA9EC" w14:textId="77777777" w:rsidR="00444189" w:rsidRPr="00444189" w:rsidRDefault="00444189" w:rsidP="00444189">
            <w:pPr>
              <w:spacing w:after="0"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kern w:val="0"/>
                <w:sz w:val="24"/>
                <w:szCs w:val="24"/>
                <w:lang w:eastAsia="en-IN"/>
                <w14:ligatures w14:val="none"/>
              </w:rPr>
              <w:t>2021</w:t>
            </w:r>
          </w:p>
        </w:tc>
        <w:tc>
          <w:tcPr>
            <w:tcW w:w="0" w:type="auto"/>
            <w:tcBorders>
              <w:top w:val="single" w:sz="4" w:space="0" w:color="auto"/>
              <w:left w:val="single" w:sz="4" w:space="0" w:color="auto"/>
              <w:bottom w:val="single" w:sz="4" w:space="0" w:color="auto"/>
              <w:right w:val="single" w:sz="4" w:space="0" w:color="auto"/>
            </w:tcBorders>
            <w:vAlign w:val="center"/>
            <w:hideMark/>
          </w:tcPr>
          <w:p w14:paraId="157D1A88" w14:textId="330207DA" w:rsidR="00444189" w:rsidRDefault="00444189" w:rsidP="00444189">
            <w:pPr>
              <w:spacing w:after="0"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b/>
                <w:bCs/>
                <w:kern w:val="0"/>
                <w:sz w:val="24"/>
                <w:szCs w:val="24"/>
                <w:lang w:eastAsia="en-IN"/>
                <w14:ligatures w14:val="none"/>
              </w:rPr>
              <w:t>Biden Administration</w:t>
            </w:r>
            <w:r w:rsidRPr="00444189">
              <w:rPr>
                <w:rFonts w:ascii="Times New Roman" w:eastAsia="Times New Roman" w:hAnsi="Times New Roman" w:cs="Times New Roman"/>
                <w:kern w:val="0"/>
                <w:sz w:val="24"/>
                <w:szCs w:val="24"/>
                <w:lang w:eastAsia="en-IN"/>
                <w14:ligatures w14:val="none"/>
              </w:rPr>
              <w:t>: Signalled intentions to review and potentially tighten Volcker Rule regulations that were loosened during the previous administration.</w:t>
            </w:r>
          </w:p>
          <w:p w14:paraId="63C58891" w14:textId="1631F47D" w:rsidR="00444189" w:rsidRPr="00444189" w:rsidRDefault="00444189" w:rsidP="00444189">
            <w:pPr>
              <w:spacing w:after="0"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b/>
                <w:bCs/>
                <w:kern w:val="0"/>
                <w:sz w:val="24"/>
                <w:szCs w:val="24"/>
                <w:lang w:eastAsia="en-IN"/>
                <w14:ligatures w14:val="none"/>
              </w:rPr>
              <w:t>Compliance Costs</w:t>
            </w:r>
            <w:r w:rsidRPr="00444189">
              <w:rPr>
                <w:rFonts w:ascii="Times New Roman" w:eastAsia="Times New Roman" w:hAnsi="Times New Roman" w:cs="Times New Roman"/>
                <w:kern w:val="0"/>
                <w:sz w:val="24"/>
                <w:szCs w:val="24"/>
                <w:lang w:eastAsia="en-IN"/>
                <w14:ligatures w14:val="none"/>
              </w:rPr>
              <w:t>: Banks reported ongoing compliance costs related to maintaining adherence to the Volcker Rule despite regulatory changes.</w:t>
            </w:r>
          </w:p>
        </w:tc>
      </w:tr>
      <w:tr w:rsidR="00444189" w:rsidRPr="00444189" w14:paraId="50C7A830" w14:textId="77777777" w:rsidTr="00444189">
        <w:trPr>
          <w:tblCellSpacing w:w="15" w:type="dxa"/>
        </w:trPr>
        <w:tc>
          <w:tcPr>
            <w:tcW w:w="0" w:type="auto"/>
            <w:tcBorders>
              <w:left w:val="single" w:sz="4" w:space="0" w:color="auto"/>
              <w:bottom w:val="single" w:sz="4" w:space="0" w:color="auto"/>
              <w:right w:val="single" w:sz="4" w:space="0" w:color="auto"/>
            </w:tcBorders>
            <w:vAlign w:val="center"/>
            <w:hideMark/>
          </w:tcPr>
          <w:p w14:paraId="3DD1927C" w14:textId="77777777" w:rsidR="00444189" w:rsidRPr="00444189" w:rsidRDefault="00444189" w:rsidP="00444189">
            <w:pPr>
              <w:spacing w:after="0"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kern w:val="0"/>
                <w:sz w:val="24"/>
                <w:szCs w:val="24"/>
                <w:lang w:eastAsia="en-IN"/>
                <w14:ligatures w14:val="none"/>
              </w:rPr>
              <w:t>2022</w:t>
            </w:r>
          </w:p>
        </w:tc>
        <w:tc>
          <w:tcPr>
            <w:tcW w:w="0" w:type="auto"/>
            <w:tcBorders>
              <w:top w:val="single" w:sz="4" w:space="0" w:color="auto"/>
              <w:left w:val="single" w:sz="4" w:space="0" w:color="auto"/>
              <w:bottom w:val="single" w:sz="4" w:space="0" w:color="auto"/>
              <w:right w:val="single" w:sz="4" w:space="0" w:color="auto"/>
            </w:tcBorders>
            <w:vAlign w:val="center"/>
            <w:hideMark/>
          </w:tcPr>
          <w:p w14:paraId="7CC87DEB" w14:textId="77777777" w:rsidR="00444189" w:rsidRDefault="00444189" w:rsidP="00444189">
            <w:pPr>
              <w:spacing w:after="0"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b/>
                <w:bCs/>
                <w:kern w:val="0"/>
                <w:sz w:val="24"/>
                <w:szCs w:val="24"/>
                <w:lang w:eastAsia="en-IN"/>
                <w14:ligatures w14:val="none"/>
              </w:rPr>
              <w:t>Market Liquidity</w:t>
            </w:r>
            <w:r w:rsidRPr="00444189">
              <w:rPr>
                <w:rFonts w:ascii="Times New Roman" w:eastAsia="Times New Roman" w:hAnsi="Times New Roman" w:cs="Times New Roman"/>
                <w:kern w:val="0"/>
                <w:sz w:val="24"/>
                <w:szCs w:val="24"/>
                <w:lang w:eastAsia="en-IN"/>
                <w14:ligatures w14:val="none"/>
              </w:rPr>
              <w:t>: Studies indicated that the Volcker Rule might have contributed to reduced liquidity in certain markets, such as corporate bonds, due to decreased market-making activities by banks.</w:t>
            </w:r>
          </w:p>
          <w:p w14:paraId="2BED7C56" w14:textId="1E1DEAE1" w:rsidR="00444189" w:rsidRPr="00444189" w:rsidRDefault="00444189" w:rsidP="00444189">
            <w:pPr>
              <w:spacing w:after="0"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b/>
                <w:bCs/>
                <w:kern w:val="0"/>
                <w:sz w:val="24"/>
                <w:szCs w:val="24"/>
                <w:lang w:eastAsia="en-IN"/>
                <w14:ligatures w14:val="none"/>
              </w:rPr>
              <w:t>Policy Discussions</w:t>
            </w:r>
            <w:r w:rsidRPr="00444189">
              <w:rPr>
                <w:rFonts w:ascii="Times New Roman" w:eastAsia="Times New Roman" w:hAnsi="Times New Roman" w:cs="Times New Roman"/>
                <w:kern w:val="0"/>
                <w:sz w:val="24"/>
                <w:szCs w:val="24"/>
                <w:lang w:eastAsia="en-IN"/>
                <w14:ligatures w14:val="none"/>
              </w:rPr>
              <w:t>: Ongoing discussions about finding a balance between regulation and market efficiency.</w:t>
            </w:r>
          </w:p>
        </w:tc>
      </w:tr>
      <w:tr w:rsidR="00444189" w:rsidRPr="00444189" w14:paraId="0F9E0800" w14:textId="77777777" w:rsidTr="0044418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68C1514" w14:textId="77777777" w:rsidR="00444189" w:rsidRPr="00444189" w:rsidRDefault="00444189" w:rsidP="00444189">
            <w:pPr>
              <w:spacing w:after="0"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kern w:val="0"/>
                <w:sz w:val="24"/>
                <w:szCs w:val="24"/>
                <w:lang w:eastAsia="en-IN"/>
                <w14:ligatures w14:val="none"/>
              </w:rPr>
              <w:t>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595DC915" w14:textId="44D5A39A" w:rsidR="00444189" w:rsidRDefault="00444189" w:rsidP="00444189">
            <w:pPr>
              <w:spacing w:after="0"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b/>
                <w:bCs/>
                <w:kern w:val="0"/>
                <w:sz w:val="24"/>
                <w:szCs w:val="24"/>
                <w:lang w:eastAsia="en-IN"/>
                <w14:ligatures w14:val="none"/>
              </w:rPr>
              <w:t>Future of Regulation</w:t>
            </w:r>
            <w:r w:rsidRPr="00444189">
              <w:rPr>
                <w:rFonts w:ascii="Times New Roman" w:eastAsia="Times New Roman" w:hAnsi="Times New Roman" w:cs="Times New Roman"/>
                <w:kern w:val="0"/>
                <w:sz w:val="24"/>
                <w:szCs w:val="24"/>
                <w:lang w:eastAsia="en-IN"/>
                <w14:ligatures w14:val="none"/>
              </w:rPr>
              <w:t>: Continued analysis of the Volcker Rule's impact on market stability and bank behaviour.</w:t>
            </w:r>
          </w:p>
          <w:p w14:paraId="1711595D" w14:textId="05A300AE" w:rsidR="00444189" w:rsidRPr="00444189" w:rsidRDefault="00444189" w:rsidP="00444189">
            <w:pPr>
              <w:spacing w:after="0" w:line="240" w:lineRule="auto"/>
              <w:rPr>
                <w:rFonts w:ascii="Times New Roman" w:eastAsia="Times New Roman" w:hAnsi="Times New Roman" w:cs="Times New Roman"/>
                <w:kern w:val="0"/>
                <w:sz w:val="24"/>
                <w:szCs w:val="24"/>
                <w:lang w:eastAsia="en-IN"/>
                <w14:ligatures w14:val="none"/>
              </w:rPr>
            </w:pPr>
            <w:r w:rsidRPr="00444189">
              <w:rPr>
                <w:rFonts w:ascii="Times New Roman" w:eastAsia="Times New Roman" w:hAnsi="Times New Roman" w:cs="Times New Roman"/>
                <w:b/>
                <w:bCs/>
                <w:kern w:val="0"/>
                <w:sz w:val="24"/>
                <w:szCs w:val="24"/>
                <w:lang w:eastAsia="en-IN"/>
                <w14:ligatures w14:val="none"/>
              </w:rPr>
              <w:t>Policy Proposals</w:t>
            </w:r>
            <w:r w:rsidRPr="00444189">
              <w:rPr>
                <w:rFonts w:ascii="Times New Roman" w:eastAsia="Times New Roman" w:hAnsi="Times New Roman" w:cs="Times New Roman"/>
                <w:kern w:val="0"/>
                <w:sz w:val="24"/>
                <w:szCs w:val="24"/>
                <w:lang w:eastAsia="en-IN"/>
                <w14:ligatures w14:val="none"/>
              </w:rPr>
              <w:t>: Suggestions for further modifications to enhance regulatory clarity and effectiveness while minimizing negative market impacts.</w:t>
            </w:r>
          </w:p>
        </w:tc>
      </w:tr>
    </w:tbl>
    <w:p w14:paraId="2F36AFA8" w14:textId="77777777" w:rsidR="00444189" w:rsidRDefault="00444189" w:rsidP="00444189">
      <w:pPr>
        <w:shd w:val="clear" w:color="auto" w:fill="FFFFFF"/>
        <w:spacing w:before="100" w:beforeAutospacing="1" w:after="0" w:line="240" w:lineRule="auto"/>
        <w:ind w:left="720"/>
        <w:rPr>
          <w:rFonts w:ascii="Arial" w:eastAsia="Times New Roman" w:hAnsi="Arial" w:cs="Arial"/>
          <w:color w:val="111111"/>
          <w:spacing w:val="1"/>
          <w:kern w:val="0"/>
          <w:sz w:val="27"/>
          <w:szCs w:val="27"/>
          <w:lang w:eastAsia="en-IN"/>
          <w14:ligatures w14:val="none"/>
        </w:rPr>
      </w:pPr>
    </w:p>
    <w:p w14:paraId="1A5D612D" w14:textId="77777777" w:rsidR="00AD67BF" w:rsidRDefault="00AD67BF" w:rsidP="00444189">
      <w:pPr>
        <w:shd w:val="clear" w:color="auto" w:fill="FFFFFF"/>
        <w:spacing w:before="100" w:beforeAutospacing="1" w:after="0" w:line="240" w:lineRule="auto"/>
        <w:ind w:left="720"/>
        <w:rPr>
          <w:rFonts w:ascii="Arial" w:eastAsia="Times New Roman" w:hAnsi="Arial" w:cs="Arial"/>
          <w:color w:val="111111"/>
          <w:spacing w:val="1"/>
          <w:kern w:val="0"/>
          <w:sz w:val="27"/>
          <w:szCs w:val="27"/>
          <w:lang w:eastAsia="en-IN"/>
          <w14:ligatures w14:val="none"/>
        </w:rPr>
      </w:pPr>
    </w:p>
    <w:p w14:paraId="6F60E0DE" w14:textId="76B444D6" w:rsidR="00AD67BF" w:rsidRDefault="004F4960" w:rsidP="004F4960">
      <w:pPr>
        <w:shd w:val="clear" w:color="auto" w:fill="FFFFFF"/>
        <w:spacing w:before="100" w:beforeAutospacing="1" w:after="0" w:line="240" w:lineRule="auto"/>
        <w:rPr>
          <w:rFonts w:ascii="Times New Roman" w:hAnsi="Times New Roman" w:cs="Times New Roman"/>
          <w:sz w:val="24"/>
          <w:szCs w:val="24"/>
        </w:rPr>
      </w:pPr>
      <w:r w:rsidRPr="004F4960">
        <w:rPr>
          <w:rFonts w:ascii="Times New Roman" w:hAnsi="Times New Roman" w:cs="Times New Roman"/>
          <w:sz w:val="24"/>
          <w:szCs w:val="24"/>
        </w:rPr>
        <w:lastRenderedPageBreak/>
        <w:t>This table shows the number of violations related to different types of prohibited trading activities under the Volcker Rule for the years 2020, 2021, and 2022.</w:t>
      </w:r>
    </w:p>
    <w:p w14:paraId="635E48A3" w14:textId="77777777" w:rsidR="004F4960" w:rsidRPr="004F4960" w:rsidRDefault="004F4960" w:rsidP="004F4960">
      <w:pPr>
        <w:shd w:val="clear" w:color="auto" w:fill="FFFFFF"/>
        <w:spacing w:before="100" w:beforeAutospacing="1" w:after="0" w:line="240" w:lineRule="auto"/>
        <w:rPr>
          <w:rFonts w:ascii="Times New Roman" w:eastAsia="Times New Roman" w:hAnsi="Times New Roman" w:cs="Times New Roman"/>
          <w:color w:val="111111"/>
          <w:spacing w:val="1"/>
          <w:kern w:val="0"/>
          <w:sz w:val="28"/>
          <w:szCs w:val="28"/>
          <w:lang w:eastAsia="en-IN"/>
          <w14:ligatures w14:val="none"/>
        </w:rPr>
      </w:pPr>
    </w:p>
    <w:tbl>
      <w:tblPr>
        <w:tblStyle w:val="TableGrid"/>
        <w:tblW w:w="0" w:type="auto"/>
        <w:tblInd w:w="720" w:type="dxa"/>
        <w:tblLook w:val="04A0" w:firstRow="1" w:lastRow="0" w:firstColumn="1" w:lastColumn="0" w:noHBand="0" w:noVBand="1"/>
      </w:tblPr>
      <w:tblGrid>
        <w:gridCol w:w="2164"/>
        <w:gridCol w:w="2140"/>
        <w:gridCol w:w="1996"/>
        <w:gridCol w:w="1996"/>
      </w:tblGrid>
      <w:tr w:rsidR="004F4960" w14:paraId="19F629A4" w14:textId="77777777" w:rsidTr="004F4960">
        <w:tc>
          <w:tcPr>
            <w:tcW w:w="2164" w:type="dxa"/>
          </w:tcPr>
          <w:p w14:paraId="49EDAB13" w14:textId="43084431" w:rsidR="004F4960" w:rsidRPr="004F4960" w:rsidRDefault="004F4960" w:rsidP="004F4960">
            <w:pPr>
              <w:spacing w:before="100" w:beforeAutospacing="1"/>
              <w:rPr>
                <w:rFonts w:ascii="Times New Roman" w:eastAsia="Times New Roman" w:hAnsi="Times New Roman" w:cs="Times New Roman"/>
                <w:color w:val="111111"/>
                <w:spacing w:val="1"/>
                <w:kern w:val="0"/>
                <w:sz w:val="27"/>
                <w:szCs w:val="27"/>
                <w:lang w:eastAsia="en-IN"/>
                <w14:ligatures w14:val="none"/>
              </w:rPr>
            </w:pPr>
            <w:r w:rsidRPr="004F4960">
              <w:rPr>
                <w:rFonts w:ascii="Times New Roman" w:eastAsia="Times New Roman" w:hAnsi="Times New Roman" w:cs="Times New Roman"/>
                <w:color w:val="111111"/>
                <w:spacing w:val="1"/>
                <w:kern w:val="0"/>
                <w:sz w:val="27"/>
                <w:szCs w:val="27"/>
                <w:lang w:eastAsia="en-IN"/>
                <w14:ligatures w14:val="none"/>
              </w:rPr>
              <w:t>Types of prohibited trading activity</w:t>
            </w:r>
          </w:p>
        </w:tc>
        <w:tc>
          <w:tcPr>
            <w:tcW w:w="2140" w:type="dxa"/>
          </w:tcPr>
          <w:p w14:paraId="3DC8E573" w14:textId="475E5DF9" w:rsidR="004F4960" w:rsidRPr="004F4960" w:rsidRDefault="004F4960" w:rsidP="004F4960">
            <w:pPr>
              <w:spacing w:before="100" w:beforeAutospacing="1"/>
              <w:rPr>
                <w:rFonts w:ascii="Times New Roman" w:eastAsia="Times New Roman" w:hAnsi="Times New Roman" w:cs="Times New Roman"/>
                <w:color w:val="111111"/>
                <w:spacing w:val="1"/>
                <w:kern w:val="0"/>
                <w:sz w:val="27"/>
                <w:szCs w:val="27"/>
                <w:lang w:eastAsia="en-IN"/>
                <w14:ligatures w14:val="none"/>
              </w:rPr>
            </w:pPr>
            <w:r w:rsidRPr="004F4960">
              <w:rPr>
                <w:rFonts w:ascii="Times New Roman" w:eastAsia="Times New Roman" w:hAnsi="Times New Roman" w:cs="Times New Roman"/>
                <w:color w:val="111111"/>
                <w:spacing w:val="1"/>
                <w:kern w:val="0"/>
                <w:sz w:val="27"/>
                <w:szCs w:val="27"/>
                <w:lang w:eastAsia="en-IN"/>
                <w14:ligatures w14:val="none"/>
              </w:rPr>
              <w:t>Number of violations in 2020</w:t>
            </w:r>
          </w:p>
        </w:tc>
        <w:tc>
          <w:tcPr>
            <w:tcW w:w="1996" w:type="dxa"/>
          </w:tcPr>
          <w:p w14:paraId="5F1735AE" w14:textId="22106A0A" w:rsidR="004F4960" w:rsidRPr="004F4960" w:rsidRDefault="004F4960" w:rsidP="004F4960">
            <w:pPr>
              <w:spacing w:before="100" w:beforeAutospacing="1"/>
              <w:rPr>
                <w:rFonts w:ascii="Times New Roman" w:eastAsia="Times New Roman" w:hAnsi="Times New Roman" w:cs="Times New Roman"/>
                <w:color w:val="111111"/>
                <w:spacing w:val="1"/>
                <w:kern w:val="0"/>
                <w:sz w:val="27"/>
                <w:szCs w:val="27"/>
                <w:lang w:eastAsia="en-IN"/>
                <w14:ligatures w14:val="none"/>
              </w:rPr>
            </w:pPr>
            <w:r w:rsidRPr="004F4960">
              <w:rPr>
                <w:rFonts w:ascii="Times New Roman" w:eastAsia="Times New Roman" w:hAnsi="Times New Roman" w:cs="Times New Roman"/>
                <w:color w:val="111111"/>
                <w:spacing w:val="1"/>
                <w:kern w:val="0"/>
                <w:sz w:val="27"/>
                <w:szCs w:val="27"/>
                <w:lang w:eastAsia="en-IN"/>
                <w14:ligatures w14:val="none"/>
              </w:rPr>
              <w:t>Number of violations in 2021</w:t>
            </w:r>
          </w:p>
        </w:tc>
        <w:tc>
          <w:tcPr>
            <w:tcW w:w="1996" w:type="dxa"/>
          </w:tcPr>
          <w:p w14:paraId="18734A4D" w14:textId="024652EE" w:rsidR="004F4960" w:rsidRPr="004F4960" w:rsidRDefault="004F4960" w:rsidP="004F4960">
            <w:pPr>
              <w:spacing w:before="100" w:beforeAutospacing="1"/>
              <w:rPr>
                <w:rFonts w:ascii="Times New Roman" w:eastAsia="Times New Roman" w:hAnsi="Times New Roman" w:cs="Times New Roman"/>
                <w:color w:val="111111"/>
                <w:spacing w:val="1"/>
                <w:kern w:val="0"/>
                <w:sz w:val="27"/>
                <w:szCs w:val="27"/>
                <w:lang w:eastAsia="en-IN"/>
                <w14:ligatures w14:val="none"/>
              </w:rPr>
            </w:pPr>
            <w:r w:rsidRPr="004F4960">
              <w:rPr>
                <w:rFonts w:ascii="Times New Roman" w:eastAsia="Times New Roman" w:hAnsi="Times New Roman" w:cs="Times New Roman"/>
                <w:color w:val="111111"/>
                <w:spacing w:val="1"/>
                <w:kern w:val="0"/>
                <w:sz w:val="27"/>
                <w:szCs w:val="27"/>
                <w:lang w:eastAsia="en-IN"/>
                <w14:ligatures w14:val="none"/>
              </w:rPr>
              <w:t>Number of violations in 2022</w:t>
            </w:r>
          </w:p>
        </w:tc>
      </w:tr>
      <w:tr w:rsidR="004F4960" w14:paraId="2ECD11BF" w14:textId="77777777" w:rsidTr="004F4960">
        <w:tc>
          <w:tcPr>
            <w:tcW w:w="2164" w:type="dxa"/>
          </w:tcPr>
          <w:p w14:paraId="13A83EDD" w14:textId="4123C9F1" w:rsidR="004F4960" w:rsidRPr="004F4960" w:rsidRDefault="004F4960" w:rsidP="004F4960">
            <w:pPr>
              <w:spacing w:before="100" w:beforeAutospacing="1"/>
              <w:rPr>
                <w:rFonts w:ascii="Times New Roman" w:eastAsia="Times New Roman" w:hAnsi="Times New Roman" w:cs="Times New Roman"/>
                <w:color w:val="111111"/>
                <w:spacing w:val="1"/>
                <w:kern w:val="0"/>
                <w:sz w:val="27"/>
                <w:szCs w:val="27"/>
                <w:lang w:eastAsia="en-IN"/>
                <w14:ligatures w14:val="none"/>
              </w:rPr>
            </w:pPr>
            <w:r w:rsidRPr="004F4960">
              <w:rPr>
                <w:rFonts w:ascii="Times New Roman" w:eastAsia="Times New Roman" w:hAnsi="Times New Roman" w:cs="Times New Roman"/>
                <w:color w:val="111111"/>
                <w:spacing w:val="1"/>
                <w:kern w:val="0"/>
                <w:sz w:val="27"/>
                <w:szCs w:val="27"/>
                <w:lang w:eastAsia="en-IN"/>
                <w14:ligatures w14:val="none"/>
              </w:rPr>
              <w:t>Proprietary Trading</w:t>
            </w:r>
          </w:p>
        </w:tc>
        <w:tc>
          <w:tcPr>
            <w:tcW w:w="2140" w:type="dxa"/>
          </w:tcPr>
          <w:p w14:paraId="3880664C" w14:textId="0893936C" w:rsidR="004F4960" w:rsidRPr="004F4960" w:rsidRDefault="004F4960" w:rsidP="004F4960">
            <w:pPr>
              <w:spacing w:before="100" w:beforeAutospacing="1"/>
              <w:rPr>
                <w:rFonts w:ascii="Times New Roman" w:eastAsia="Times New Roman" w:hAnsi="Times New Roman" w:cs="Times New Roman"/>
                <w:color w:val="111111"/>
                <w:spacing w:val="1"/>
                <w:kern w:val="0"/>
                <w:sz w:val="27"/>
                <w:szCs w:val="27"/>
                <w:lang w:eastAsia="en-IN"/>
                <w14:ligatures w14:val="none"/>
              </w:rPr>
            </w:pPr>
            <w:r w:rsidRPr="004F4960">
              <w:rPr>
                <w:rFonts w:ascii="Times New Roman" w:eastAsia="Times New Roman" w:hAnsi="Times New Roman" w:cs="Times New Roman"/>
                <w:color w:val="111111"/>
                <w:spacing w:val="1"/>
                <w:kern w:val="0"/>
                <w:sz w:val="27"/>
                <w:szCs w:val="27"/>
                <w:lang w:eastAsia="en-IN"/>
                <w14:ligatures w14:val="none"/>
              </w:rPr>
              <w:t>15</w:t>
            </w:r>
          </w:p>
        </w:tc>
        <w:tc>
          <w:tcPr>
            <w:tcW w:w="1996" w:type="dxa"/>
          </w:tcPr>
          <w:p w14:paraId="30E14C6C" w14:textId="48C0FA73" w:rsidR="004F4960" w:rsidRPr="004F4960" w:rsidRDefault="004F4960" w:rsidP="004F4960">
            <w:pPr>
              <w:spacing w:before="100" w:beforeAutospacing="1"/>
              <w:rPr>
                <w:rFonts w:ascii="Times New Roman" w:eastAsia="Times New Roman" w:hAnsi="Times New Roman" w:cs="Times New Roman"/>
                <w:color w:val="111111"/>
                <w:spacing w:val="1"/>
                <w:kern w:val="0"/>
                <w:sz w:val="27"/>
                <w:szCs w:val="27"/>
                <w:lang w:eastAsia="en-IN"/>
                <w14:ligatures w14:val="none"/>
              </w:rPr>
            </w:pPr>
            <w:r w:rsidRPr="004F4960">
              <w:rPr>
                <w:rFonts w:ascii="Times New Roman" w:eastAsia="Times New Roman" w:hAnsi="Times New Roman" w:cs="Times New Roman"/>
                <w:color w:val="111111"/>
                <w:spacing w:val="1"/>
                <w:kern w:val="0"/>
                <w:sz w:val="27"/>
                <w:szCs w:val="27"/>
                <w:lang w:eastAsia="en-IN"/>
                <w14:ligatures w14:val="none"/>
              </w:rPr>
              <w:t>10</w:t>
            </w:r>
          </w:p>
        </w:tc>
        <w:tc>
          <w:tcPr>
            <w:tcW w:w="1996" w:type="dxa"/>
          </w:tcPr>
          <w:p w14:paraId="4E3DAAC4" w14:textId="0D4356AA" w:rsidR="004F4960" w:rsidRPr="004F4960" w:rsidRDefault="004F4960" w:rsidP="004F4960">
            <w:pPr>
              <w:spacing w:before="100" w:beforeAutospacing="1"/>
              <w:rPr>
                <w:rFonts w:ascii="Times New Roman" w:eastAsia="Times New Roman" w:hAnsi="Times New Roman" w:cs="Times New Roman"/>
                <w:color w:val="111111"/>
                <w:spacing w:val="1"/>
                <w:kern w:val="0"/>
                <w:sz w:val="27"/>
                <w:szCs w:val="27"/>
                <w:lang w:eastAsia="en-IN"/>
                <w14:ligatures w14:val="none"/>
              </w:rPr>
            </w:pPr>
            <w:r w:rsidRPr="004F4960">
              <w:rPr>
                <w:rFonts w:ascii="Times New Roman" w:eastAsia="Times New Roman" w:hAnsi="Times New Roman" w:cs="Times New Roman"/>
                <w:color w:val="111111"/>
                <w:spacing w:val="1"/>
                <w:kern w:val="0"/>
                <w:sz w:val="27"/>
                <w:szCs w:val="27"/>
                <w:lang w:eastAsia="en-IN"/>
                <w14:ligatures w14:val="none"/>
              </w:rPr>
              <w:t>5</w:t>
            </w:r>
          </w:p>
        </w:tc>
      </w:tr>
      <w:tr w:rsidR="004F4960" w14:paraId="570282B6" w14:textId="77777777" w:rsidTr="004F4960">
        <w:tc>
          <w:tcPr>
            <w:tcW w:w="2164" w:type="dxa"/>
          </w:tcPr>
          <w:p w14:paraId="0C2E9F7C" w14:textId="62533AE5" w:rsidR="004F4960" w:rsidRPr="004F4960" w:rsidRDefault="004F4960" w:rsidP="004F4960">
            <w:pPr>
              <w:spacing w:before="100" w:beforeAutospacing="1"/>
              <w:rPr>
                <w:rFonts w:ascii="Times New Roman" w:eastAsia="Times New Roman" w:hAnsi="Times New Roman" w:cs="Times New Roman"/>
                <w:color w:val="111111"/>
                <w:spacing w:val="1"/>
                <w:kern w:val="0"/>
                <w:sz w:val="27"/>
                <w:szCs w:val="27"/>
                <w:lang w:eastAsia="en-IN"/>
                <w14:ligatures w14:val="none"/>
              </w:rPr>
            </w:pPr>
            <w:r w:rsidRPr="004F4960">
              <w:rPr>
                <w:rFonts w:ascii="Times New Roman" w:eastAsia="Times New Roman" w:hAnsi="Times New Roman" w:cs="Times New Roman"/>
                <w:color w:val="111111"/>
                <w:spacing w:val="1"/>
                <w:kern w:val="0"/>
                <w:sz w:val="27"/>
                <w:szCs w:val="27"/>
                <w:lang w:eastAsia="en-IN"/>
                <w14:ligatures w14:val="none"/>
              </w:rPr>
              <w:t>Investing in Covered Funds</w:t>
            </w:r>
          </w:p>
        </w:tc>
        <w:tc>
          <w:tcPr>
            <w:tcW w:w="2140" w:type="dxa"/>
          </w:tcPr>
          <w:p w14:paraId="73A91C61" w14:textId="196F8A1D" w:rsidR="004F4960" w:rsidRPr="004F4960" w:rsidRDefault="004F4960" w:rsidP="004F4960">
            <w:pPr>
              <w:spacing w:before="100" w:beforeAutospacing="1"/>
              <w:rPr>
                <w:rFonts w:ascii="Times New Roman" w:eastAsia="Times New Roman" w:hAnsi="Times New Roman" w:cs="Times New Roman"/>
                <w:color w:val="111111"/>
                <w:spacing w:val="1"/>
                <w:kern w:val="0"/>
                <w:sz w:val="27"/>
                <w:szCs w:val="27"/>
                <w:lang w:eastAsia="en-IN"/>
                <w14:ligatures w14:val="none"/>
              </w:rPr>
            </w:pPr>
            <w:r w:rsidRPr="004F4960">
              <w:rPr>
                <w:rFonts w:ascii="Times New Roman" w:eastAsia="Times New Roman" w:hAnsi="Times New Roman" w:cs="Times New Roman"/>
                <w:color w:val="111111"/>
                <w:spacing w:val="1"/>
                <w:kern w:val="0"/>
                <w:sz w:val="27"/>
                <w:szCs w:val="27"/>
                <w:lang w:eastAsia="en-IN"/>
                <w14:ligatures w14:val="none"/>
              </w:rPr>
              <w:t>20</w:t>
            </w:r>
          </w:p>
        </w:tc>
        <w:tc>
          <w:tcPr>
            <w:tcW w:w="1996" w:type="dxa"/>
          </w:tcPr>
          <w:p w14:paraId="39B2A841" w14:textId="0BBC1943" w:rsidR="004F4960" w:rsidRPr="004F4960" w:rsidRDefault="004F4960" w:rsidP="004F4960">
            <w:pPr>
              <w:spacing w:before="100" w:beforeAutospacing="1"/>
              <w:rPr>
                <w:rFonts w:ascii="Times New Roman" w:eastAsia="Times New Roman" w:hAnsi="Times New Roman" w:cs="Times New Roman"/>
                <w:color w:val="111111"/>
                <w:spacing w:val="1"/>
                <w:kern w:val="0"/>
                <w:sz w:val="27"/>
                <w:szCs w:val="27"/>
                <w:lang w:eastAsia="en-IN"/>
                <w14:ligatures w14:val="none"/>
              </w:rPr>
            </w:pPr>
            <w:r w:rsidRPr="004F4960">
              <w:rPr>
                <w:rFonts w:ascii="Times New Roman" w:eastAsia="Times New Roman" w:hAnsi="Times New Roman" w:cs="Times New Roman"/>
                <w:color w:val="111111"/>
                <w:spacing w:val="1"/>
                <w:kern w:val="0"/>
                <w:sz w:val="27"/>
                <w:szCs w:val="27"/>
                <w:lang w:eastAsia="en-IN"/>
                <w14:ligatures w14:val="none"/>
              </w:rPr>
              <w:t>18</w:t>
            </w:r>
          </w:p>
        </w:tc>
        <w:tc>
          <w:tcPr>
            <w:tcW w:w="1996" w:type="dxa"/>
          </w:tcPr>
          <w:p w14:paraId="15ED9890" w14:textId="6BED9AC1" w:rsidR="004F4960" w:rsidRPr="004F4960" w:rsidRDefault="004F4960" w:rsidP="004F4960">
            <w:pPr>
              <w:spacing w:before="100" w:beforeAutospacing="1"/>
              <w:rPr>
                <w:rFonts w:ascii="Times New Roman" w:eastAsia="Times New Roman" w:hAnsi="Times New Roman" w:cs="Times New Roman"/>
                <w:color w:val="111111"/>
                <w:spacing w:val="1"/>
                <w:kern w:val="0"/>
                <w:sz w:val="27"/>
                <w:szCs w:val="27"/>
                <w:lang w:eastAsia="en-IN"/>
                <w14:ligatures w14:val="none"/>
              </w:rPr>
            </w:pPr>
            <w:r w:rsidRPr="004F4960">
              <w:rPr>
                <w:rFonts w:ascii="Times New Roman" w:eastAsia="Times New Roman" w:hAnsi="Times New Roman" w:cs="Times New Roman"/>
                <w:color w:val="111111"/>
                <w:spacing w:val="1"/>
                <w:kern w:val="0"/>
                <w:sz w:val="27"/>
                <w:szCs w:val="27"/>
                <w:lang w:eastAsia="en-IN"/>
                <w14:ligatures w14:val="none"/>
              </w:rPr>
              <w:t>15</w:t>
            </w:r>
          </w:p>
        </w:tc>
      </w:tr>
      <w:tr w:rsidR="004F4960" w14:paraId="6D64CC5C" w14:textId="77777777" w:rsidTr="004F4960">
        <w:tc>
          <w:tcPr>
            <w:tcW w:w="2164" w:type="dxa"/>
          </w:tcPr>
          <w:p w14:paraId="165D5504" w14:textId="5196F0D1" w:rsidR="004F4960" w:rsidRPr="004F4960" w:rsidRDefault="004F4960" w:rsidP="004F4960">
            <w:pPr>
              <w:spacing w:before="100" w:beforeAutospacing="1"/>
              <w:rPr>
                <w:rFonts w:ascii="Times New Roman" w:eastAsia="Times New Roman" w:hAnsi="Times New Roman" w:cs="Times New Roman"/>
                <w:color w:val="111111"/>
                <w:spacing w:val="1"/>
                <w:kern w:val="0"/>
                <w:sz w:val="27"/>
                <w:szCs w:val="27"/>
                <w:lang w:eastAsia="en-IN"/>
                <w14:ligatures w14:val="none"/>
              </w:rPr>
            </w:pPr>
            <w:r w:rsidRPr="004F4960">
              <w:rPr>
                <w:rFonts w:ascii="Times New Roman" w:eastAsia="Times New Roman" w:hAnsi="Times New Roman" w:cs="Times New Roman"/>
                <w:color w:val="111111"/>
                <w:spacing w:val="1"/>
                <w:kern w:val="0"/>
                <w:sz w:val="27"/>
                <w:szCs w:val="27"/>
                <w:lang w:eastAsia="en-IN"/>
                <w14:ligatures w14:val="none"/>
              </w:rPr>
              <w:t>Providing Material Assistance</w:t>
            </w:r>
          </w:p>
        </w:tc>
        <w:tc>
          <w:tcPr>
            <w:tcW w:w="2140" w:type="dxa"/>
          </w:tcPr>
          <w:p w14:paraId="15932637" w14:textId="67123008" w:rsidR="004F4960" w:rsidRPr="004F4960" w:rsidRDefault="004F4960" w:rsidP="004F4960">
            <w:pPr>
              <w:spacing w:before="100" w:beforeAutospacing="1"/>
              <w:rPr>
                <w:rFonts w:ascii="Times New Roman" w:eastAsia="Times New Roman" w:hAnsi="Times New Roman" w:cs="Times New Roman"/>
                <w:color w:val="111111"/>
                <w:spacing w:val="1"/>
                <w:kern w:val="0"/>
                <w:sz w:val="27"/>
                <w:szCs w:val="27"/>
                <w:lang w:eastAsia="en-IN"/>
                <w14:ligatures w14:val="none"/>
              </w:rPr>
            </w:pPr>
            <w:r w:rsidRPr="004F4960">
              <w:rPr>
                <w:rFonts w:ascii="Times New Roman" w:eastAsia="Times New Roman" w:hAnsi="Times New Roman" w:cs="Times New Roman"/>
                <w:color w:val="111111"/>
                <w:spacing w:val="1"/>
                <w:kern w:val="0"/>
                <w:sz w:val="27"/>
                <w:szCs w:val="27"/>
                <w:lang w:eastAsia="en-IN"/>
                <w14:ligatures w14:val="none"/>
              </w:rPr>
              <w:t>8</w:t>
            </w:r>
          </w:p>
        </w:tc>
        <w:tc>
          <w:tcPr>
            <w:tcW w:w="1996" w:type="dxa"/>
          </w:tcPr>
          <w:p w14:paraId="492DC274" w14:textId="4A21D3B7" w:rsidR="004F4960" w:rsidRPr="004F4960" w:rsidRDefault="004F4960" w:rsidP="004F4960">
            <w:pPr>
              <w:spacing w:before="100" w:beforeAutospacing="1"/>
              <w:rPr>
                <w:rFonts w:ascii="Times New Roman" w:eastAsia="Times New Roman" w:hAnsi="Times New Roman" w:cs="Times New Roman"/>
                <w:color w:val="111111"/>
                <w:spacing w:val="1"/>
                <w:kern w:val="0"/>
                <w:sz w:val="27"/>
                <w:szCs w:val="27"/>
                <w:lang w:eastAsia="en-IN"/>
                <w14:ligatures w14:val="none"/>
              </w:rPr>
            </w:pPr>
            <w:r w:rsidRPr="004F4960">
              <w:rPr>
                <w:rFonts w:ascii="Times New Roman" w:eastAsia="Times New Roman" w:hAnsi="Times New Roman" w:cs="Times New Roman"/>
                <w:color w:val="111111"/>
                <w:spacing w:val="1"/>
                <w:kern w:val="0"/>
                <w:sz w:val="27"/>
                <w:szCs w:val="27"/>
                <w:lang w:eastAsia="en-IN"/>
                <w14:ligatures w14:val="none"/>
              </w:rPr>
              <w:t>6</w:t>
            </w:r>
          </w:p>
        </w:tc>
        <w:tc>
          <w:tcPr>
            <w:tcW w:w="1996" w:type="dxa"/>
          </w:tcPr>
          <w:p w14:paraId="7B89B800" w14:textId="1556BF73" w:rsidR="004F4960" w:rsidRPr="004F4960" w:rsidRDefault="004F4960" w:rsidP="004F4960">
            <w:pPr>
              <w:spacing w:before="100" w:beforeAutospacing="1"/>
              <w:rPr>
                <w:rFonts w:ascii="Times New Roman" w:eastAsia="Times New Roman" w:hAnsi="Times New Roman" w:cs="Times New Roman"/>
                <w:color w:val="111111"/>
                <w:spacing w:val="1"/>
                <w:kern w:val="0"/>
                <w:sz w:val="27"/>
                <w:szCs w:val="27"/>
                <w:lang w:eastAsia="en-IN"/>
                <w14:ligatures w14:val="none"/>
              </w:rPr>
            </w:pPr>
            <w:r w:rsidRPr="004F4960">
              <w:rPr>
                <w:rFonts w:ascii="Times New Roman" w:eastAsia="Times New Roman" w:hAnsi="Times New Roman" w:cs="Times New Roman"/>
                <w:color w:val="111111"/>
                <w:spacing w:val="1"/>
                <w:kern w:val="0"/>
                <w:sz w:val="27"/>
                <w:szCs w:val="27"/>
                <w:lang w:eastAsia="en-IN"/>
                <w14:ligatures w14:val="none"/>
              </w:rPr>
              <w:t>4</w:t>
            </w:r>
          </w:p>
        </w:tc>
      </w:tr>
      <w:tr w:rsidR="004F4960" w14:paraId="34A62980" w14:textId="77777777" w:rsidTr="004F4960">
        <w:tc>
          <w:tcPr>
            <w:tcW w:w="2164" w:type="dxa"/>
          </w:tcPr>
          <w:p w14:paraId="4F00E912" w14:textId="146C58D8" w:rsidR="004F4960" w:rsidRPr="004F4960" w:rsidRDefault="004F4960" w:rsidP="004F4960">
            <w:pPr>
              <w:spacing w:before="100" w:beforeAutospacing="1"/>
              <w:rPr>
                <w:rFonts w:ascii="Times New Roman" w:eastAsia="Times New Roman" w:hAnsi="Times New Roman" w:cs="Times New Roman"/>
                <w:color w:val="111111"/>
                <w:spacing w:val="1"/>
                <w:kern w:val="0"/>
                <w:sz w:val="27"/>
                <w:szCs w:val="27"/>
                <w:lang w:eastAsia="en-IN"/>
                <w14:ligatures w14:val="none"/>
              </w:rPr>
            </w:pPr>
            <w:r w:rsidRPr="004F4960">
              <w:rPr>
                <w:rFonts w:ascii="Times New Roman" w:eastAsia="Times New Roman" w:hAnsi="Times New Roman" w:cs="Times New Roman"/>
                <w:color w:val="111111"/>
                <w:spacing w:val="1"/>
                <w:kern w:val="0"/>
                <w:sz w:val="27"/>
                <w:szCs w:val="27"/>
                <w:lang w:eastAsia="en-IN"/>
                <w14:ligatures w14:val="none"/>
              </w:rPr>
              <w:t>Other Violations</w:t>
            </w:r>
          </w:p>
        </w:tc>
        <w:tc>
          <w:tcPr>
            <w:tcW w:w="2140" w:type="dxa"/>
          </w:tcPr>
          <w:p w14:paraId="70FA36EC" w14:textId="3FC99745" w:rsidR="004F4960" w:rsidRPr="004F4960" w:rsidRDefault="004F4960" w:rsidP="004F4960">
            <w:pPr>
              <w:spacing w:before="100" w:beforeAutospacing="1"/>
              <w:rPr>
                <w:rFonts w:ascii="Times New Roman" w:eastAsia="Times New Roman" w:hAnsi="Times New Roman" w:cs="Times New Roman"/>
                <w:color w:val="111111"/>
                <w:spacing w:val="1"/>
                <w:kern w:val="0"/>
                <w:sz w:val="27"/>
                <w:szCs w:val="27"/>
                <w:lang w:eastAsia="en-IN"/>
                <w14:ligatures w14:val="none"/>
              </w:rPr>
            </w:pPr>
            <w:r w:rsidRPr="004F4960">
              <w:rPr>
                <w:rFonts w:ascii="Times New Roman" w:eastAsia="Times New Roman" w:hAnsi="Times New Roman" w:cs="Times New Roman"/>
                <w:color w:val="111111"/>
                <w:spacing w:val="1"/>
                <w:kern w:val="0"/>
                <w:sz w:val="27"/>
                <w:szCs w:val="27"/>
                <w:lang w:eastAsia="en-IN"/>
                <w14:ligatures w14:val="none"/>
              </w:rPr>
              <w:t>5</w:t>
            </w:r>
          </w:p>
        </w:tc>
        <w:tc>
          <w:tcPr>
            <w:tcW w:w="1996" w:type="dxa"/>
          </w:tcPr>
          <w:p w14:paraId="4A19DE57" w14:textId="0EC3EC0D" w:rsidR="004F4960" w:rsidRPr="004F4960" w:rsidRDefault="004F4960" w:rsidP="004F4960">
            <w:pPr>
              <w:spacing w:before="100" w:beforeAutospacing="1"/>
              <w:rPr>
                <w:rFonts w:ascii="Times New Roman" w:eastAsia="Times New Roman" w:hAnsi="Times New Roman" w:cs="Times New Roman"/>
                <w:color w:val="111111"/>
                <w:spacing w:val="1"/>
                <w:kern w:val="0"/>
                <w:sz w:val="27"/>
                <w:szCs w:val="27"/>
                <w:lang w:eastAsia="en-IN"/>
                <w14:ligatures w14:val="none"/>
              </w:rPr>
            </w:pPr>
            <w:r w:rsidRPr="004F4960">
              <w:rPr>
                <w:rFonts w:ascii="Times New Roman" w:eastAsia="Times New Roman" w:hAnsi="Times New Roman" w:cs="Times New Roman"/>
                <w:color w:val="111111"/>
                <w:spacing w:val="1"/>
                <w:kern w:val="0"/>
                <w:sz w:val="27"/>
                <w:szCs w:val="27"/>
                <w:lang w:eastAsia="en-IN"/>
                <w14:ligatures w14:val="none"/>
              </w:rPr>
              <w:t>3</w:t>
            </w:r>
          </w:p>
        </w:tc>
        <w:tc>
          <w:tcPr>
            <w:tcW w:w="1996" w:type="dxa"/>
          </w:tcPr>
          <w:p w14:paraId="5D738AF1" w14:textId="3BFB5075" w:rsidR="004F4960" w:rsidRPr="004F4960" w:rsidRDefault="004F4960" w:rsidP="004F4960">
            <w:pPr>
              <w:spacing w:before="100" w:beforeAutospacing="1"/>
              <w:rPr>
                <w:rFonts w:ascii="Times New Roman" w:eastAsia="Times New Roman" w:hAnsi="Times New Roman" w:cs="Times New Roman"/>
                <w:color w:val="111111"/>
                <w:spacing w:val="1"/>
                <w:kern w:val="0"/>
                <w:sz w:val="27"/>
                <w:szCs w:val="27"/>
                <w:lang w:eastAsia="en-IN"/>
                <w14:ligatures w14:val="none"/>
              </w:rPr>
            </w:pPr>
            <w:r w:rsidRPr="004F4960">
              <w:rPr>
                <w:rFonts w:ascii="Times New Roman" w:eastAsia="Times New Roman" w:hAnsi="Times New Roman" w:cs="Times New Roman"/>
                <w:color w:val="111111"/>
                <w:spacing w:val="1"/>
                <w:kern w:val="0"/>
                <w:sz w:val="27"/>
                <w:szCs w:val="27"/>
                <w:lang w:eastAsia="en-IN"/>
                <w14:ligatures w14:val="none"/>
              </w:rPr>
              <w:t>2</w:t>
            </w:r>
          </w:p>
        </w:tc>
      </w:tr>
    </w:tbl>
    <w:p w14:paraId="6F5C29C5" w14:textId="77777777" w:rsidR="00AD67BF" w:rsidRPr="00444189" w:rsidRDefault="00AD67BF" w:rsidP="00444189">
      <w:pPr>
        <w:shd w:val="clear" w:color="auto" w:fill="FFFFFF"/>
        <w:spacing w:before="100" w:beforeAutospacing="1" w:after="0" w:line="240" w:lineRule="auto"/>
        <w:ind w:left="720"/>
        <w:rPr>
          <w:rFonts w:ascii="Arial" w:eastAsia="Times New Roman" w:hAnsi="Arial" w:cs="Arial"/>
          <w:color w:val="111111"/>
          <w:spacing w:val="1"/>
          <w:kern w:val="0"/>
          <w:sz w:val="27"/>
          <w:szCs w:val="27"/>
          <w:lang w:eastAsia="en-IN"/>
          <w14:ligatures w14:val="none"/>
        </w:rPr>
      </w:pPr>
    </w:p>
    <w:p w14:paraId="56726551" w14:textId="732AE3A9" w:rsidR="00444189" w:rsidRPr="00CD2F74" w:rsidRDefault="00961A08">
      <w:pPr>
        <w:rPr>
          <w:rFonts w:ascii="Times New Roman" w:hAnsi="Times New Roman" w:cs="Times New Roman"/>
          <w:b/>
          <w:bCs/>
          <w:sz w:val="36"/>
          <w:szCs w:val="36"/>
          <w:u w:val="thick"/>
        </w:rPr>
      </w:pPr>
      <w:r w:rsidRPr="00CD2F74">
        <w:rPr>
          <w:rFonts w:ascii="Times New Roman" w:hAnsi="Times New Roman" w:cs="Times New Roman"/>
          <w:b/>
          <w:bCs/>
          <w:sz w:val="36"/>
          <w:szCs w:val="36"/>
          <w:u w:val="thick"/>
        </w:rPr>
        <w:t>RETAIL BANKING OPERATIONS</w:t>
      </w:r>
    </w:p>
    <w:p w14:paraId="58137A29" w14:textId="6F52AC62" w:rsidR="00961A08" w:rsidRPr="00961A08" w:rsidRDefault="003F722B" w:rsidP="00961A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722B">
        <w:rPr>
          <w:rFonts w:ascii="Times New Roman" w:hAnsi="Times New Roman" w:cs="Times New Roman"/>
          <w:color w:val="111111"/>
          <w:spacing w:val="1"/>
          <w:sz w:val="24"/>
          <w:szCs w:val="24"/>
          <w:shd w:val="clear" w:color="auto" w:fill="FFFFFF"/>
        </w:rPr>
        <w:t>Retail banking, also known as consumer banking or personal banking, is banking that provides financial services to individual consumers rather than businesses. Retail banking is a way for individual consumers to manage their money, have access to credit, and deposit their funds in a secure manner</w:t>
      </w:r>
      <w:r>
        <w:rPr>
          <w:rFonts w:ascii="Times New Roman" w:eastAsia="Times New Roman" w:hAnsi="Times New Roman" w:cs="Times New Roman"/>
          <w:kern w:val="0"/>
          <w:sz w:val="24"/>
          <w:szCs w:val="24"/>
          <w:lang w:eastAsia="en-IN"/>
          <w14:ligatures w14:val="none"/>
        </w:rPr>
        <w:t>.</w:t>
      </w:r>
    </w:p>
    <w:p w14:paraId="7E424AF7" w14:textId="77777777" w:rsidR="00961A08" w:rsidRPr="00961A08" w:rsidRDefault="00961A08" w:rsidP="00961A0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A08">
        <w:rPr>
          <w:rFonts w:ascii="Times New Roman" w:eastAsia="Times New Roman" w:hAnsi="Times New Roman" w:cs="Times New Roman"/>
          <w:b/>
          <w:bCs/>
          <w:kern w:val="0"/>
          <w:sz w:val="24"/>
          <w:szCs w:val="24"/>
          <w:lang w:eastAsia="en-IN"/>
          <w14:ligatures w14:val="none"/>
        </w:rPr>
        <w:t>Account Management</w:t>
      </w:r>
      <w:r w:rsidRPr="00961A08">
        <w:rPr>
          <w:rFonts w:ascii="Times New Roman" w:eastAsia="Times New Roman" w:hAnsi="Times New Roman" w:cs="Times New Roman"/>
          <w:kern w:val="0"/>
          <w:sz w:val="24"/>
          <w:szCs w:val="24"/>
          <w:lang w:eastAsia="en-IN"/>
          <w14:ligatures w14:val="none"/>
        </w:rPr>
        <w:t>:</w:t>
      </w:r>
    </w:p>
    <w:p w14:paraId="5042CEEE" w14:textId="77777777" w:rsidR="00961A08" w:rsidRPr="00961A08" w:rsidRDefault="00961A08" w:rsidP="00961A0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A08">
        <w:rPr>
          <w:rFonts w:ascii="Times New Roman" w:eastAsia="Times New Roman" w:hAnsi="Times New Roman" w:cs="Times New Roman"/>
          <w:kern w:val="0"/>
          <w:sz w:val="24"/>
          <w:szCs w:val="24"/>
          <w:lang w:eastAsia="en-IN"/>
          <w14:ligatures w14:val="none"/>
        </w:rPr>
        <w:t>Opening and maintaining checking and savings accounts.</w:t>
      </w:r>
    </w:p>
    <w:p w14:paraId="2E095B33" w14:textId="77777777" w:rsidR="00961A08" w:rsidRPr="00961A08" w:rsidRDefault="00961A08" w:rsidP="00961A0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A08">
        <w:rPr>
          <w:rFonts w:ascii="Times New Roman" w:eastAsia="Times New Roman" w:hAnsi="Times New Roman" w:cs="Times New Roman"/>
          <w:kern w:val="0"/>
          <w:sz w:val="24"/>
          <w:szCs w:val="24"/>
          <w:lang w:eastAsia="en-IN"/>
          <w14:ligatures w14:val="none"/>
        </w:rPr>
        <w:t>Providing statements and managing transactions.</w:t>
      </w:r>
    </w:p>
    <w:p w14:paraId="37FC8C18" w14:textId="77777777" w:rsidR="00961A08" w:rsidRPr="00961A08" w:rsidRDefault="00961A08" w:rsidP="00961A0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A08">
        <w:rPr>
          <w:rFonts w:ascii="Times New Roman" w:eastAsia="Times New Roman" w:hAnsi="Times New Roman" w:cs="Times New Roman"/>
          <w:b/>
          <w:bCs/>
          <w:kern w:val="0"/>
          <w:sz w:val="24"/>
          <w:szCs w:val="24"/>
          <w:lang w:eastAsia="en-IN"/>
          <w14:ligatures w14:val="none"/>
        </w:rPr>
        <w:t>Deposits and Withdrawals</w:t>
      </w:r>
      <w:r w:rsidRPr="00961A08">
        <w:rPr>
          <w:rFonts w:ascii="Times New Roman" w:eastAsia="Times New Roman" w:hAnsi="Times New Roman" w:cs="Times New Roman"/>
          <w:kern w:val="0"/>
          <w:sz w:val="24"/>
          <w:szCs w:val="24"/>
          <w:lang w:eastAsia="en-IN"/>
          <w14:ligatures w14:val="none"/>
        </w:rPr>
        <w:t>:</w:t>
      </w:r>
    </w:p>
    <w:p w14:paraId="6E974304" w14:textId="77777777" w:rsidR="00961A08" w:rsidRPr="00961A08" w:rsidRDefault="00961A08" w:rsidP="00961A0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A08">
        <w:rPr>
          <w:rFonts w:ascii="Times New Roman" w:eastAsia="Times New Roman" w:hAnsi="Times New Roman" w:cs="Times New Roman"/>
          <w:kern w:val="0"/>
          <w:sz w:val="24"/>
          <w:szCs w:val="24"/>
          <w:lang w:eastAsia="en-IN"/>
          <w14:ligatures w14:val="none"/>
        </w:rPr>
        <w:t>Handling cash deposits and withdrawals.</w:t>
      </w:r>
    </w:p>
    <w:p w14:paraId="3BF2E98A" w14:textId="77777777" w:rsidR="00961A08" w:rsidRPr="00961A08" w:rsidRDefault="00961A08" w:rsidP="00961A0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A08">
        <w:rPr>
          <w:rFonts w:ascii="Times New Roman" w:eastAsia="Times New Roman" w:hAnsi="Times New Roman" w:cs="Times New Roman"/>
          <w:kern w:val="0"/>
          <w:sz w:val="24"/>
          <w:szCs w:val="24"/>
          <w:lang w:eastAsia="en-IN"/>
          <w14:ligatures w14:val="none"/>
        </w:rPr>
        <w:t>Offering automated teller machines (ATMs) for easy access to cash.</w:t>
      </w:r>
    </w:p>
    <w:p w14:paraId="70F61AFD" w14:textId="77777777" w:rsidR="00961A08" w:rsidRPr="00961A08" w:rsidRDefault="00961A08" w:rsidP="00961A0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A08">
        <w:rPr>
          <w:rFonts w:ascii="Times New Roman" w:eastAsia="Times New Roman" w:hAnsi="Times New Roman" w:cs="Times New Roman"/>
          <w:b/>
          <w:bCs/>
          <w:kern w:val="0"/>
          <w:sz w:val="24"/>
          <w:szCs w:val="24"/>
          <w:lang w:eastAsia="en-IN"/>
          <w14:ligatures w14:val="none"/>
        </w:rPr>
        <w:t>Loans and Credit</w:t>
      </w:r>
      <w:r w:rsidRPr="00961A08">
        <w:rPr>
          <w:rFonts w:ascii="Times New Roman" w:eastAsia="Times New Roman" w:hAnsi="Times New Roman" w:cs="Times New Roman"/>
          <w:kern w:val="0"/>
          <w:sz w:val="24"/>
          <w:szCs w:val="24"/>
          <w:lang w:eastAsia="en-IN"/>
          <w14:ligatures w14:val="none"/>
        </w:rPr>
        <w:t>:</w:t>
      </w:r>
    </w:p>
    <w:p w14:paraId="2C763D2B" w14:textId="77777777" w:rsidR="00961A08" w:rsidRPr="00961A08" w:rsidRDefault="00961A08" w:rsidP="00961A0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A08">
        <w:rPr>
          <w:rFonts w:ascii="Times New Roman" w:eastAsia="Times New Roman" w:hAnsi="Times New Roman" w:cs="Times New Roman"/>
          <w:kern w:val="0"/>
          <w:sz w:val="24"/>
          <w:szCs w:val="24"/>
          <w:lang w:eastAsia="en-IN"/>
          <w14:ligatures w14:val="none"/>
        </w:rPr>
        <w:t>Offering personal loans, mortgages, auto loans, and credit cards.</w:t>
      </w:r>
    </w:p>
    <w:p w14:paraId="4F156BC5" w14:textId="77777777" w:rsidR="00961A08" w:rsidRPr="00961A08" w:rsidRDefault="00961A08" w:rsidP="00961A0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A08">
        <w:rPr>
          <w:rFonts w:ascii="Times New Roman" w:eastAsia="Times New Roman" w:hAnsi="Times New Roman" w:cs="Times New Roman"/>
          <w:kern w:val="0"/>
          <w:sz w:val="24"/>
          <w:szCs w:val="24"/>
          <w:lang w:eastAsia="en-IN"/>
          <w14:ligatures w14:val="none"/>
        </w:rPr>
        <w:t>Assessing creditworthiness and managing loan approvals and repayments.</w:t>
      </w:r>
    </w:p>
    <w:p w14:paraId="03D4338B" w14:textId="77777777" w:rsidR="00961A08" w:rsidRPr="00961A08" w:rsidRDefault="00961A08" w:rsidP="00961A0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A08">
        <w:rPr>
          <w:rFonts w:ascii="Times New Roman" w:eastAsia="Times New Roman" w:hAnsi="Times New Roman" w:cs="Times New Roman"/>
          <w:b/>
          <w:bCs/>
          <w:kern w:val="0"/>
          <w:sz w:val="24"/>
          <w:szCs w:val="24"/>
          <w:lang w:eastAsia="en-IN"/>
          <w14:ligatures w14:val="none"/>
        </w:rPr>
        <w:t>Customer Service</w:t>
      </w:r>
      <w:r w:rsidRPr="00961A08">
        <w:rPr>
          <w:rFonts w:ascii="Times New Roman" w:eastAsia="Times New Roman" w:hAnsi="Times New Roman" w:cs="Times New Roman"/>
          <w:kern w:val="0"/>
          <w:sz w:val="24"/>
          <w:szCs w:val="24"/>
          <w:lang w:eastAsia="en-IN"/>
          <w14:ligatures w14:val="none"/>
        </w:rPr>
        <w:t>:</w:t>
      </w:r>
    </w:p>
    <w:p w14:paraId="7ECA2034" w14:textId="77777777" w:rsidR="00961A08" w:rsidRPr="00961A08" w:rsidRDefault="00961A08" w:rsidP="00961A0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A08">
        <w:rPr>
          <w:rFonts w:ascii="Times New Roman" w:eastAsia="Times New Roman" w:hAnsi="Times New Roman" w:cs="Times New Roman"/>
          <w:kern w:val="0"/>
          <w:sz w:val="24"/>
          <w:szCs w:val="24"/>
          <w:lang w:eastAsia="en-IN"/>
          <w14:ligatures w14:val="none"/>
        </w:rPr>
        <w:t>Providing assistance with account issues and inquiries.</w:t>
      </w:r>
    </w:p>
    <w:p w14:paraId="2B425A63" w14:textId="77777777" w:rsidR="00961A08" w:rsidRPr="00961A08" w:rsidRDefault="00961A08" w:rsidP="00961A0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A08">
        <w:rPr>
          <w:rFonts w:ascii="Times New Roman" w:eastAsia="Times New Roman" w:hAnsi="Times New Roman" w:cs="Times New Roman"/>
          <w:kern w:val="0"/>
          <w:sz w:val="24"/>
          <w:szCs w:val="24"/>
          <w:lang w:eastAsia="en-IN"/>
          <w14:ligatures w14:val="none"/>
        </w:rPr>
        <w:t>Offering financial advice and support through in-person, phone, and online channels.</w:t>
      </w:r>
    </w:p>
    <w:p w14:paraId="2B92463B" w14:textId="77777777" w:rsidR="00961A08" w:rsidRPr="00961A08" w:rsidRDefault="00961A08" w:rsidP="00961A0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A08">
        <w:rPr>
          <w:rFonts w:ascii="Times New Roman" w:eastAsia="Times New Roman" w:hAnsi="Times New Roman" w:cs="Times New Roman"/>
          <w:b/>
          <w:bCs/>
          <w:kern w:val="0"/>
          <w:sz w:val="24"/>
          <w:szCs w:val="24"/>
          <w:lang w:eastAsia="en-IN"/>
          <w14:ligatures w14:val="none"/>
        </w:rPr>
        <w:t>Online and Mobile Banking</w:t>
      </w:r>
      <w:r w:rsidRPr="00961A08">
        <w:rPr>
          <w:rFonts w:ascii="Times New Roman" w:eastAsia="Times New Roman" w:hAnsi="Times New Roman" w:cs="Times New Roman"/>
          <w:kern w:val="0"/>
          <w:sz w:val="24"/>
          <w:szCs w:val="24"/>
          <w:lang w:eastAsia="en-IN"/>
          <w14:ligatures w14:val="none"/>
        </w:rPr>
        <w:t>:</w:t>
      </w:r>
    </w:p>
    <w:p w14:paraId="259D1D1A" w14:textId="77777777" w:rsidR="00961A08" w:rsidRPr="00961A08" w:rsidRDefault="00961A08" w:rsidP="00961A0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A08">
        <w:rPr>
          <w:rFonts w:ascii="Times New Roman" w:eastAsia="Times New Roman" w:hAnsi="Times New Roman" w:cs="Times New Roman"/>
          <w:kern w:val="0"/>
          <w:sz w:val="24"/>
          <w:szCs w:val="24"/>
          <w:lang w:eastAsia="en-IN"/>
          <w14:ligatures w14:val="none"/>
        </w:rPr>
        <w:t>Enabling customers to manage their accounts, transfer funds, pay bills, and access other services through digital platforms.</w:t>
      </w:r>
    </w:p>
    <w:p w14:paraId="177235DB" w14:textId="77777777" w:rsidR="00961A08" w:rsidRPr="00961A08" w:rsidRDefault="00961A08" w:rsidP="00961A0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A08">
        <w:rPr>
          <w:rFonts w:ascii="Times New Roman" w:eastAsia="Times New Roman" w:hAnsi="Times New Roman" w:cs="Times New Roman"/>
          <w:kern w:val="0"/>
          <w:sz w:val="24"/>
          <w:szCs w:val="24"/>
          <w:lang w:eastAsia="en-IN"/>
          <w14:ligatures w14:val="none"/>
        </w:rPr>
        <w:t>Ensuring secure and user-friendly online interfaces.</w:t>
      </w:r>
    </w:p>
    <w:p w14:paraId="1388CA02" w14:textId="77777777" w:rsidR="00961A08" w:rsidRPr="00961A08" w:rsidRDefault="00961A08" w:rsidP="00961A0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A08">
        <w:rPr>
          <w:rFonts w:ascii="Times New Roman" w:eastAsia="Times New Roman" w:hAnsi="Times New Roman" w:cs="Times New Roman"/>
          <w:b/>
          <w:bCs/>
          <w:kern w:val="0"/>
          <w:sz w:val="24"/>
          <w:szCs w:val="24"/>
          <w:lang w:eastAsia="en-IN"/>
          <w14:ligatures w14:val="none"/>
        </w:rPr>
        <w:t>Payments and Transfers</w:t>
      </w:r>
      <w:r w:rsidRPr="00961A08">
        <w:rPr>
          <w:rFonts w:ascii="Times New Roman" w:eastAsia="Times New Roman" w:hAnsi="Times New Roman" w:cs="Times New Roman"/>
          <w:kern w:val="0"/>
          <w:sz w:val="24"/>
          <w:szCs w:val="24"/>
          <w:lang w:eastAsia="en-IN"/>
          <w14:ligatures w14:val="none"/>
        </w:rPr>
        <w:t>:</w:t>
      </w:r>
    </w:p>
    <w:p w14:paraId="01BA7217" w14:textId="77777777" w:rsidR="00961A08" w:rsidRPr="00961A08" w:rsidRDefault="00961A08" w:rsidP="00961A0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A08">
        <w:rPr>
          <w:rFonts w:ascii="Times New Roman" w:eastAsia="Times New Roman" w:hAnsi="Times New Roman" w:cs="Times New Roman"/>
          <w:kern w:val="0"/>
          <w:sz w:val="24"/>
          <w:szCs w:val="24"/>
          <w:lang w:eastAsia="en-IN"/>
          <w14:ligatures w14:val="none"/>
        </w:rPr>
        <w:t>Facilitating domestic and international fund transfers.</w:t>
      </w:r>
    </w:p>
    <w:p w14:paraId="68B79B25" w14:textId="77777777" w:rsidR="00961A08" w:rsidRPr="00961A08" w:rsidRDefault="00961A08" w:rsidP="00961A0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A08">
        <w:rPr>
          <w:rFonts w:ascii="Times New Roman" w:eastAsia="Times New Roman" w:hAnsi="Times New Roman" w:cs="Times New Roman"/>
          <w:kern w:val="0"/>
          <w:sz w:val="24"/>
          <w:szCs w:val="24"/>
          <w:lang w:eastAsia="en-IN"/>
          <w14:ligatures w14:val="none"/>
        </w:rPr>
        <w:t>Managing direct debits, standing orders, and other payment mechanisms.</w:t>
      </w:r>
    </w:p>
    <w:p w14:paraId="66C7BC86" w14:textId="77777777" w:rsidR="00961A08" w:rsidRPr="00961A08" w:rsidRDefault="00961A08" w:rsidP="00961A0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A08">
        <w:rPr>
          <w:rFonts w:ascii="Times New Roman" w:eastAsia="Times New Roman" w:hAnsi="Times New Roman" w:cs="Times New Roman"/>
          <w:b/>
          <w:bCs/>
          <w:kern w:val="0"/>
          <w:sz w:val="24"/>
          <w:szCs w:val="24"/>
          <w:lang w:eastAsia="en-IN"/>
          <w14:ligatures w14:val="none"/>
        </w:rPr>
        <w:t>Investment Services</w:t>
      </w:r>
      <w:r w:rsidRPr="00961A08">
        <w:rPr>
          <w:rFonts w:ascii="Times New Roman" w:eastAsia="Times New Roman" w:hAnsi="Times New Roman" w:cs="Times New Roman"/>
          <w:kern w:val="0"/>
          <w:sz w:val="24"/>
          <w:szCs w:val="24"/>
          <w:lang w:eastAsia="en-IN"/>
          <w14:ligatures w14:val="none"/>
        </w:rPr>
        <w:t>:</w:t>
      </w:r>
    </w:p>
    <w:p w14:paraId="1798489C" w14:textId="77777777" w:rsidR="00961A08" w:rsidRPr="00961A08" w:rsidRDefault="00961A08" w:rsidP="00961A0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A08">
        <w:rPr>
          <w:rFonts w:ascii="Times New Roman" w:eastAsia="Times New Roman" w:hAnsi="Times New Roman" w:cs="Times New Roman"/>
          <w:kern w:val="0"/>
          <w:sz w:val="24"/>
          <w:szCs w:val="24"/>
          <w:lang w:eastAsia="en-IN"/>
          <w14:ligatures w14:val="none"/>
        </w:rPr>
        <w:t>Providing access to investment products like mutual funds, bonds, and retirement accounts.</w:t>
      </w:r>
    </w:p>
    <w:p w14:paraId="482639AD" w14:textId="77777777" w:rsidR="00961A08" w:rsidRPr="00961A08" w:rsidRDefault="00961A08" w:rsidP="00961A0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A08">
        <w:rPr>
          <w:rFonts w:ascii="Times New Roman" w:eastAsia="Times New Roman" w:hAnsi="Times New Roman" w:cs="Times New Roman"/>
          <w:kern w:val="0"/>
          <w:sz w:val="24"/>
          <w:szCs w:val="24"/>
          <w:lang w:eastAsia="en-IN"/>
          <w14:ligatures w14:val="none"/>
        </w:rPr>
        <w:t>Offering wealth management and financial planning services.</w:t>
      </w:r>
    </w:p>
    <w:p w14:paraId="7D7F73BE" w14:textId="77777777" w:rsidR="00961A08" w:rsidRPr="00961A08" w:rsidRDefault="00961A08" w:rsidP="00961A0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A08">
        <w:rPr>
          <w:rFonts w:ascii="Times New Roman" w:eastAsia="Times New Roman" w:hAnsi="Times New Roman" w:cs="Times New Roman"/>
          <w:b/>
          <w:bCs/>
          <w:kern w:val="0"/>
          <w:sz w:val="24"/>
          <w:szCs w:val="24"/>
          <w:lang w:eastAsia="en-IN"/>
          <w14:ligatures w14:val="none"/>
        </w:rPr>
        <w:lastRenderedPageBreak/>
        <w:t>Fraud Prevention and Security</w:t>
      </w:r>
      <w:r w:rsidRPr="00961A08">
        <w:rPr>
          <w:rFonts w:ascii="Times New Roman" w:eastAsia="Times New Roman" w:hAnsi="Times New Roman" w:cs="Times New Roman"/>
          <w:kern w:val="0"/>
          <w:sz w:val="24"/>
          <w:szCs w:val="24"/>
          <w:lang w:eastAsia="en-IN"/>
          <w14:ligatures w14:val="none"/>
        </w:rPr>
        <w:t>:</w:t>
      </w:r>
    </w:p>
    <w:p w14:paraId="1D882E52" w14:textId="77777777" w:rsidR="00961A08" w:rsidRPr="00961A08" w:rsidRDefault="00961A08" w:rsidP="00961A0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A08">
        <w:rPr>
          <w:rFonts w:ascii="Times New Roman" w:eastAsia="Times New Roman" w:hAnsi="Times New Roman" w:cs="Times New Roman"/>
          <w:kern w:val="0"/>
          <w:sz w:val="24"/>
          <w:szCs w:val="24"/>
          <w:lang w:eastAsia="en-IN"/>
          <w14:ligatures w14:val="none"/>
        </w:rPr>
        <w:t>Implementing measures to detect and prevent fraudulent activities.</w:t>
      </w:r>
    </w:p>
    <w:p w14:paraId="0C65C1A8" w14:textId="77777777" w:rsidR="00961A08" w:rsidRPr="00961A08" w:rsidRDefault="00961A08" w:rsidP="00961A0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A08">
        <w:rPr>
          <w:rFonts w:ascii="Times New Roman" w:eastAsia="Times New Roman" w:hAnsi="Times New Roman" w:cs="Times New Roman"/>
          <w:kern w:val="0"/>
          <w:sz w:val="24"/>
          <w:szCs w:val="24"/>
          <w:lang w:eastAsia="en-IN"/>
          <w14:ligatures w14:val="none"/>
        </w:rPr>
        <w:t>Ensuring the security of customer data and transactions.</w:t>
      </w:r>
    </w:p>
    <w:p w14:paraId="36C2F08C" w14:textId="77777777" w:rsidR="00961A08" w:rsidRPr="00961A08" w:rsidRDefault="00961A08" w:rsidP="00961A0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A08">
        <w:rPr>
          <w:rFonts w:ascii="Times New Roman" w:eastAsia="Times New Roman" w:hAnsi="Times New Roman" w:cs="Times New Roman"/>
          <w:b/>
          <w:bCs/>
          <w:kern w:val="0"/>
          <w:sz w:val="24"/>
          <w:szCs w:val="24"/>
          <w:lang w:eastAsia="en-IN"/>
          <w14:ligatures w14:val="none"/>
        </w:rPr>
        <w:t>Compliance and Regulation</w:t>
      </w:r>
      <w:r w:rsidRPr="00961A08">
        <w:rPr>
          <w:rFonts w:ascii="Times New Roman" w:eastAsia="Times New Roman" w:hAnsi="Times New Roman" w:cs="Times New Roman"/>
          <w:kern w:val="0"/>
          <w:sz w:val="24"/>
          <w:szCs w:val="24"/>
          <w:lang w:eastAsia="en-IN"/>
          <w14:ligatures w14:val="none"/>
        </w:rPr>
        <w:t>:</w:t>
      </w:r>
    </w:p>
    <w:p w14:paraId="6F92EC45" w14:textId="77777777" w:rsidR="00961A08" w:rsidRPr="00961A08" w:rsidRDefault="00961A08" w:rsidP="00961A0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A08">
        <w:rPr>
          <w:rFonts w:ascii="Times New Roman" w:eastAsia="Times New Roman" w:hAnsi="Times New Roman" w:cs="Times New Roman"/>
          <w:kern w:val="0"/>
          <w:sz w:val="24"/>
          <w:szCs w:val="24"/>
          <w:lang w:eastAsia="en-IN"/>
          <w14:ligatures w14:val="none"/>
        </w:rPr>
        <w:t>Adhering to banking regulations and ensuring compliance with legal standards.</w:t>
      </w:r>
    </w:p>
    <w:p w14:paraId="727F02DB" w14:textId="77777777" w:rsidR="00961A08" w:rsidRPr="00961A08" w:rsidRDefault="00961A08" w:rsidP="00961A0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A08">
        <w:rPr>
          <w:rFonts w:ascii="Times New Roman" w:eastAsia="Times New Roman" w:hAnsi="Times New Roman" w:cs="Times New Roman"/>
          <w:kern w:val="0"/>
          <w:sz w:val="24"/>
          <w:szCs w:val="24"/>
          <w:lang w:eastAsia="en-IN"/>
          <w14:ligatures w14:val="none"/>
        </w:rPr>
        <w:t>Reporting transactions and maintaining records as required by financial authorities.</w:t>
      </w:r>
    </w:p>
    <w:p w14:paraId="0D9D8C10" w14:textId="77777777" w:rsidR="00961A08" w:rsidRPr="00961A08" w:rsidRDefault="00961A08" w:rsidP="00961A0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A08">
        <w:rPr>
          <w:rFonts w:ascii="Times New Roman" w:eastAsia="Times New Roman" w:hAnsi="Times New Roman" w:cs="Times New Roman"/>
          <w:b/>
          <w:bCs/>
          <w:kern w:val="0"/>
          <w:sz w:val="24"/>
          <w:szCs w:val="24"/>
          <w:lang w:eastAsia="en-IN"/>
          <w14:ligatures w14:val="none"/>
        </w:rPr>
        <w:t>Branch Operations</w:t>
      </w:r>
      <w:r w:rsidRPr="00961A08">
        <w:rPr>
          <w:rFonts w:ascii="Times New Roman" w:eastAsia="Times New Roman" w:hAnsi="Times New Roman" w:cs="Times New Roman"/>
          <w:kern w:val="0"/>
          <w:sz w:val="24"/>
          <w:szCs w:val="24"/>
          <w:lang w:eastAsia="en-IN"/>
          <w14:ligatures w14:val="none"/>
        </w:rPr>
        <w:t>:</w:t>
      </w:r>
    </w:p>
    <w:p w14:paraId="70130911" w14:textId="77777777" w:rsidR="00961A08" w:rsidRPr="00961A08" w:rsidRDefault="00961A08" w:rsidP="00961A0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A08">
        <w:rPr>
          <w:rFonts w:ascii="Times New Roman" w:eastAsia="Times New Roman" w:hAnsi="Times New Roman" w:cs="Times New Roman"/>
          <w:kern w:val="0"/>
          <w:sz w:val="24"/>
          <w:szCs w:val="24"/>
          <w:lang w:eastAsia="en-IN"/>
          <w14:ligatures w14:val="none"/>
        </w:rPr>
        <w:t>Managing the physical branches where customers can receive in-person service.</w:t>
      </w:r>
    </w:p>
    <w:p w14:paraId="731747EA" w14:textId="6D3F8735" w:rsidR="00CD2F74" w:rsidRDefault="00961A08" w:rsidP="00CD2F7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A08">
        <w:rPr>
          <w:rFonts w:ascii="Times New Roman" w:eastAsia="Times New Roman" w:hAnsi="Times New Roman" w:cs="Times New Roman"/>
          <w:kern w:val="0"/>
          <w:sz w:val="24"/>
          <w:szCs w:val="24"/>
          <w:lang w:eastAsia="en-IN"/>
          <w14:ligatures w14:val="none"/>
        </w:rPr>
        <w:t>Handling cash transactions, account management, and customer inquiries.</w:t>
      </w:r>
    </w:p>
    <w:p w14:paraId="6F0F9FAB" w14:textId="55330361" w:rsidR="00CD2F74" w:rsidRPr="00CD2F74" w:rsidRDefault="003F722B" w:rsidP="003F722B">
      <w:pPr>
        <w:pStyle w:val="comp"/>
        <w:shd w:val="clear" w:color="auto" w:fill="FFFFFF"/>
        <w:spacing w:before="0" w:beforeAutospacing="0"/>
      </w:pPr>
      <w:r w:rsidRPr="003F722B">
        <w:rPr>
          <w:color w:val="111111"/>
          <w:spacing w:val="1"/>
        </w:rPr>
        <w:t>A retail bank stores the cash deposits of its retail clients. It then uses these deposits to make loans to other clients. The Federal Reserve formerly required that all banks keep 10% of their demand and checking deposits in-house overnight—this was changed to 0% in March 2020.</w:t>
      </w:r>
      <w:r w:rsidRPr="003F722B">
        <w:rPr>
          <w:color w:val="111111"/>
          <w:spacing w:val="1"/>
        </w:rPr>
        <w:t xml:space="preserve"> </w:t>
      </w:r>
      <w:r w:rsidRPr="003F722B">
        <w:rPr>
          <w:color w:val="111111"/>
          <w:spacing w:val="1"/>
        </w:rPr>
        <w:t>This is known as the</w:t>
      </w:r>
      <w:r w:rsidRPr="003F722B">
        <w:rPr>
          <w:spacing w:val="1"/>
        </w:rPr>
        <w:t> </w:t>
      </w:r>
      <w:hyperlink r:id="rId5" w:history="1">
        <w:r w:rsidRPr="003F722B">
          <w:rPr>
            <w:rStyle w:val="Hyperlink"/>
            <w:color w:val="auto"/>
            <w:spacing w:val="1"/>
            <w:u w:val="none"/>
          </w:rPr>
          <w:t>reserve requirement</w:t>
        </w:r>
      </w:hyperlink>
      <w:r w:rsidRPr="003F722B">
        <w:rPr>
          <w:color w:val="111111"/>
          <w:spacing w:val="1"/>
        </w:rPr>
        <w:t> and is seen as a safety and liquidity measure</w:t>
      </w:r>
      <w:r w:rsidRPr="003F722B">
        <w:rPr>
          <w:rFonts w:ascii="Arial" w:hAnsi="Arial" w:cs="Arial"/>
          <w:color w:val="111111"/>
          <w:spacing w:val="1"/>
          <w:sz w:val="27"/>
          <w:szCs w:val="27"/>
        </w:rPr>
        <w:t>.</w:t>
      </w:r>
    </w:p>
    <w:p w14:paraId="53065C2E" w14:textId="3A96D067" w:rsidR="00961A08" w:rsidRPr="00CD2F74" w:rsidRDefault="00CD2F74" w:rsidP="003F722B">
      <w:pPr>
        <w:pStyle w:val="ListParagraph"/>
        <w:numPr>
          <w:ilvl w:val="0"/>
          <w:numId w:val="5"/>
        </w:numPr>
        <w:spacing w:before="100" w:beforeAutospacing="1" w:after="100" w:afterAutospacing="1" w:line="240" w:lineRule="auto"/>
        <w:ind w:left="77"/>
        <w:rPr>
          <w:rFonts w:ascii="Times New Roman" w:eastAsia="Times New Roman" w:hAnsi="Times New Roman" w:cs="Times New Roman"/>
          <w:kern w:val="0"/>
          <w:sz w:val="24"/>
          <w:szCs w:val="24"/>
          <w:lang w:eastAsia="en-IN"/>
          <w14:ligatures w14:val="none"/>
        </w:rPr>
      </w:pPr>
      <w:r w:rsidRPr="00CD2F74">
        <w:rPr>
          <w:rFonts w:ascii="Times New Roman" w:eastAsia="Times New Roman" w:hAnsi="Times New Roman" w:cs="Times New Roman"/>
          <w:kern w:val="0"/>
          <w:sz w:val="24"/>
          <w:szCs w:val="24"/>
          <w:lang w:eastAsia="en-IN"/>
          <w14:ligatures w14:val="none"/>
        </w:rPr>
        <w:t>This table provides a rough idea about the following metrics that might be tracked for retail banking operations:</w:t>
      </w:r>
    </w:p>
    <w:tbl>
      <w:tblPr>
        <w:tblStyle w:val="TableGrid"/>
        <w:tblW w:w="0" w:type="auto"/>
        <w:tblLook w:val="04A0" w:firstRow="1" w:lastRow="0" w:firstColumn="1" w:lastColumn="0" w:noHBand="0" w:noVBand="1"/>
      </w:tblPr>
      <w:tblGrid>
        <w:gridCol w:w="2114"/>
        <w:gridCol w:w="1474"/>
        <w:gridCol w:w="1357"/>
        <w:gridCol w:w="1357"/>
        <w:gridCol w:w="1357"/>
        <w:gridCol w:w="1357"/>
      </w:tblGrid>
      <w:tr w:rsidR="00961A08" w14:paraId="7D1ECB33" w14:textId="77777777" w:rsidTr="00961A08">
        <w:tc>
          <w:tcPr>
            <w:tcW w:w="2063" w:type="dxa"/>
          </w:tcPr>
          <w:p w14:paraId="7D4F5135" w14:textId="5148F9BC" w:rsidR="00961A08" w:rsidRDefault="00961A08">
            <w:pPr>
              <w:rPr>
                <w:rFonts w:ascii="Times New Roman" w:hAnsi="Times New Roman" w:cs="Times New Roman"/>
                <w:b/>
                <w:bCs/>
                <w:sz w:val="36"/>
                <w:szCs w:val="36"/>
              </w:rPr>
            </w:pPr>
            <w:r>
              <w:rPr>
                <w:rFonts w:ascii="Times New Roman" w:hAnsi="Times New Roman" w:cs="Times New Roman"/>
                <w:b/>
                <w:bCs/>
                <w:sz w:val="36"/>
                <w:szCs w:val="36"/>
              </w:rPr>
              <w:t>Metric</w:t>
            </w:r>
          </w:p>
        </w:tc>
        <w:tc>
          <w:tcPr>
            <w:tcW w:w="1485" w:type="dxa"/>
          </w:tcPr>
          <w:p w14:paraId="66EB4C52" w14:textId="1350E231" w:rsidR="00961A08" w:rsidRDefault="00961A08">
            <w:pPr>
              <w:rPr>
                <w:rFonts w:ascii="Times New Roman" w:hAnsi="Times New Roman" w:cs="Times New Roman"/>
                <w:b/>
                <w:bCs/>
                <w:sz w:val="36"/>
                <w:szCs w:val="36"/>
              </w:rPr>
            </w:pPr>
            <w:r>
              <w:rPr>
                <w:rFonts w:ascii="Times New Roman" w:hAnsi="Times New Roman" w:cs="Times New Roman"/>
                <w:b/>
                <w:bCs/>
                <w:sz w:val="36"/>
                <w:szCs w:val="36"/>
              </w:rPr>
              <w:t>2019</w:t>
            </w:r>
          </w:p>
        </w:tc>
        <w:tc>
          <w:tcPr>
            <w:tcW w:w="1367" w:type="dxa"/>
          </w:tcPr>
          <w:p w14:paraId="6BDBDF8C" w14:textId="64D44165" w:rsidR="00961A08" w:rsidRDefault="00961A08">
            <w:pPr>
              <w:rPr>
                <w:rFonts w:ascii="Times New Roman" w:hAnsi="Times New Roman" w:cs="Times New Roman"/>
                <w:b/>
                <w:bCs/>
                <w:sz w:val="36"/>
                <w:szCs w:val="36"/>
              </w:rPr>
            </w:pPr>
            <w:r>
              <w:rPr>
                <w:rFonts w:ascii="Times New Roman" w:hAnsi="Times New Roman" w:cs="Times New Roman"/>
                <w:b/>
                <w:bCs/>
                <w:sz w:val="36"/>
                <w:szCs w:val="36"/>
              </w:rPr>
              <w:t>2020</w:t>
            </w:r>
          </w:p>
        </w:tc>
        <w:tc>
          <w:tcPr>
            <w:tcW w:w="1367" w:type="dxa"/>
          </w:tcPr>
          <w:p w14:paraId="6D1BDE11" w14:textId="637BE712" w:rsidR="00961A08" w:rsidRDefault="00961A08">
            <w:pPr>
              <w:rPr>
                <w:rFonts w:ascii="Times New Roman" w:hAnsi="Times New Roman" w:cs="Times New Roman"/>
                <w:b/>
                <w:bCs/>
                <w:sz w:val="36"/>
                <w:szCs w:val="36"/>
              </w:rPr>
            </w:pPr>
            <w:r>
              <w:rPr>
                <w:rFonts w:ascii="Times New Roman" w:hAnsi="Times New Roman" w:cs="Times New Roman"/>
                <w:b/>
                <w:bCs/>
                <w:sz w:val="36"/>
                <w:szCs w:val="36"/>
              </w:rPr>
              <w:t>2021</w:t>
            </w:r>
          </w:p>
        </w:tc>
        <w:tc>
          <w:tcPr>
            <w:tcW w:w="1367" w:type="dxa"/>
          </w:tcPr>
          <w:p w14:paraId="612314B4" w14:textId="4F9BAC54" w:rsidR="00961A08" w:rsidRDefault="00961A08">
            <w:pPr>
              <w:rPr>
                <w:rFonts w:ascii="Times New Roman" w:hAnsi="Times New Roman" w:cs="Times New Roman"/>
                <w:b/>
                <w:bCs/>
                <w:sz w:val="36"/>
                <w:szCs w:val="36"/>
              </w:rPr>
            </w:pPr>
            <w:r>
              <w:rPr>
                <w:rFonts w:ascii="Times New Roman" w:hAnsi="Times New Roman" w:cs="Times New Roman"/>
                <w:b/>
                <w:bCs/>
                <w:sz w:val="36"/>
                <w:szCs w:val="36"/>
              </w:rPr>
              <w:t>2022</w:t>
            </w:r>
          </w:p>
        </w:tc>
        <w:tc>
          <w:tcPr>
            <w:tcW w:w="1367" w:type="dxa"/>
          </w:tcPr>
          <w:p w14:paraId="19DE3833" w14:textId="400C41BB" w:rsidR="00961A08" w:rsidRDefault="00961A08">
            <w:pPr>
              <w:rPr>
                <w:rFonts w:ascii="Times New Roman" w:hAnsi="Times New Roman" w:cs="Times New Roman"/>
                <w:b/>
                <w:bCs/>
                <w:sz w:val="36"/>
                <w:szCs w:val="36"/>
              </w:rPr>
            </w:pPr>
            <w:r>
              <w:rPr>
                <w:rFonts w:ascii="Times New Roman" w:hAnsi="Times New Roman" w:cs="Times New Roman"/>
                <w:b/>
                <w:bCs/>
                <w:sz w:val="36"/>
                <w:szCs w:val="36"/>
              </w:rPr>
              <w:t>2023</w:t>
            </w:r>
          </w:p>
        </w:tc>
      </w:tr>
      <w:tr w:rsidR="00961A08" w14:paraId="2ECA9C42" w14:textId="77777777" w:rsidTr="00961A08">
        <w:tc>
          <w:tcPr>
            <w:tcW w:w="2063" w:type="dxa"/>
          </w:tcPr>
          <w:p w14:paraId="16E0ACFA" w14:textId="2AAF8310" w:rsidR="00961A08" w:rsidRPr="00961A08" w:rsidRDefault="00961A08" w:rsidP="00961A08">
            <w:pPr>
              <w:tabs>
                <w:tab w:val="left" w:pos="1152"/>
              </w:tabs>
              <w:rPr>
                <w:rFonts w:ascii="Times New Roman" w:hAnsi="Times New Roman" w:cs="Times New Roman"/>
                <w:b/>
                <w:bCs/>
                <w:sz w:val="24"/>
                <w:szCs w:val="24"/>
              </w:rPr>
            </w:pPr>
            <w:r w:rsidRPr="00961A08">
              <w:rPr>
                <w:rFonts w:ascii="Times New Roman" w:hAnsi="Times New Roman" w:cs="Times New Roman"/>
                <w:sz w:val="24"/>
                <w:szCs w:val="24"/>
              </w:rPr>
              <w:t>Number of Checking Accounts (millions)</w:t>
            </w:r>
          </w:p>
        </w:tc>
        <w:tc>
          <w:tcPr>
            <w:tcW w:w="1485" w:type="dxa"/>
          </w:tcPr>
          <w:p w14:paraId="4458A8D8" w14:textId="73666DB1"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125</w:t>
            </w:r>
          </w:p>
        </w:tc>
        <w:tc>
          <w:tcPr>
            <w:tcW w:w="1367" w:type="dxa"/>
          </w:tcPr>
          <w:p w14:paraId="18523EE3" w14:textId="048EF1C5"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130</w:t>
            </w:r>
          </w:p>
        </w:tc>
        <w:tc>
          <w:tcPr>
            <w:tcW w:w="1367" w:type="dxa"/>
          </w:tcPr>
          <w:p w14:paraId="26434AD5" w14:textId="39D12839"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135</w:t>
            </w:r>
          </w:p>
        </w:tc>
        <w:tc>
          <w:tcPr>
            <w:tcW w:w="1367" w:type="dxa"/>
          </w:tcPr>
          <w:p w14:paraId="7E9A81FA" w14:textId="0FE00A59"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140</w:t>
            </w:r>
          </w:p>
        </w:tc>
        <w:tc>
          <w:tcPr>
            <w:tcW w:w="1367" w:type="dxa"/>
          </w:tcPr>
          <w:p w14:paraId="0879414B" w14:textId="16A72E19"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145</w:t>
            </w:r>
          </w:p>
        </w:tc>
      </w:tr>
      <w:tr w:rsidR="00961A08" w14:paraId="7727843C" w14:textId="77777777" w:rsidTr="00961A08">
        <w:tc>
          <w:tcPr>
            <w:tcW w:w="2063" w:type="dxa"/>
          </w:tcPr>
          <w:p w14:paraId="7FF1598D" w14:textId="1FDB38AC" w:rsidR="00961A08" w:rsidRPr="00961A08" w:rsidRDefault="00961A08">
            <w:pPr>
              <w:rPr>
                <w:rFonts w:ascii="Times New Roman" w:hAnsi="Times New Roman" w:cs="Times New Roman"/>
                <w:b/>
                <w:bCs/>
                <w:sz w:val="24"/>
                <w:szCs w:val="24"/>
              </w:rPr>
            </w:pPr>
            <w:r w:rsidRPr="00961A08">
              <w:rPr>
                <w:rFonts w:ascii="Times New Roman" w:hAnsi="Times New Roman" w:cs="Times New Roman"/>
                <w:sz w:val="24"/>
                <w:szCs w:val="24"/>
              </w:rPr>
              <w:t>Number of Savings Accounts (millions)</w:t>
            </w:r>
          </w:p>
        </w:tc>
        <w:tc>
          <w:tcPr>
            <w:tcW w:w="1485" w:type="dxa"/>
          </w:tcPr>
          <w:p w14:paraId="690572C0" w14:textId="699FA35A"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95</w:t>
            </w:r>
          </w:p>
        </w:tc>
        <w:tc>
          <w:tcPr>
            <w:tcW w:w="1367" w:type="dxa"/>
          </w:tcPr>
          <w:p w14:paraId="11102BC2" w14:textId="3582B79F"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100</w:t>
            </w:r>
          </w:p>
        </w:tc>
        <w:tc>
          <w:tcPr>
            <w:tcW w:w="1367" w:type="dxa"/>
          </w:tcPr>
          <w:p w14:paraId="346B7C8E" w14:textId="4D1CECC0"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105</w:t>
            </w:r>
          </w:p>
        </w:tc>
        <w:tc>
          <w:tcPr>
            <w:tcW w:w="1367" w:type="dxa"/>
          </w:tcPr>
          <w:p w14:paraId="1A962D94" w14:textId="0B392DFE"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110</w:t>
            </w:r>
          </w:p>
        </w:tc>
        <w:tc>
          <w:tcPr>
            <w:tcW w:w="1367" w:type="dxa"/>
          </w:tcPr>
          <w:p w14:paraId="0E5F4004" w14:textId="5C338163"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115</w:t>
            </w:r>
          </w:p>
        </w:tc>
      </w:tr>
      <w:tr w:rsidR="00961A08" w14:paraId="2216A181" w14:textId="77777777" w:rsidTr="00961A08">
        <w:tc>
          <w:tcPr>
            <w:tcW w:w="2063" w:type="dxa"/>
          </w:tcPr>
          <w:p w14:paraId="775E59A9" w14:textId="488C8D1A" w:rsidR="00961A08" w:rsidRPr="00961A08" w:rsidRDefault="00961A08" w:rsidP="00961A08">
            <w:pPr>
              <w:jc w:val="center"/>
              <w:rPr>
                <w:rFonts w:ascii="Times New Roman" w:hAnsi="Times New Roman" w:cs="Times New Roman"/>
                <w:b/>
                <w:bCs/>
                <w:sz w:val="24"/>
                <w:szCs w:val="24"/>
              </w:rPr>
            </w:pPr>
            <w:r w:rsidRPr="00961A08">
              <w:rPr>
                <w:rFonts w:ascii="Times New Roman" w:hAnsi="Times New Roman" w:cs="Times New Roman"/>
                <w:sz w:val="24"/>
                <w:szCs w:val="24"/>
              </w:rPr>
              <w:t>Total Deposits (billion USD)</w:t>
            </w:r>
          </w:p>
        </w:tc>
        <w:tc>
          <w:tcPr>
            <w:tcW w:w="1485" w:type="dxa"/>
          </w:tcPr>
          <w:p w14:paraId="79A295DD" w14:textId="6A6A5436"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1500</w:t>
            </w:r>
          </w:p>
        </w:tc>
        <w:tc>
          <w:tcPr>
            <w:tcW w:w="1367" w:type="dxa"/>
          </w:tcPr>
          <w:p w14:paraId="6D5C27A8" w14:textId="276ECC22"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1600</w:t>
            </w:r>
          </w:p>
        </w:tc>
        <w:tc>
          <w:tcPr>
            <w:tcW w:w="1367" w:type="dxa"/>
          </w:tcPr>
          <w:p w14:paraId="036A5949" w14:textId="1D592BBD"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1700</w:t>
            </w:r>
          </w:p>
        </w:tc>
        <w:tc>
          <w:tcPr>
            <w:tcW w:w="1367" w:type="dxa"/>
          </w:tcPr>
          <w:p w14:paraId="21F005BC" w14:textId="3125D59E"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1800</w:t>
            </w:r>
          </w:p>
        </w:tc>
        <w:tc>
          <w:tcPr>
            <w:tcW w:w="1367" w:type="dxa"/>
          </w:tcPr>
          <w:p w14:paraId="1018CA54" w14:textId="7DDE4E62"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1900</w:t>
            </w:r>
          </w:p>
        </w:tc>
      </w:tr>
      <w:tr w:rsidR="00961A08" w14:paraId="48E6E99B" w14:textId="77777777" w:rsidTr="00961A08">
        <w:tc>
          <w:tcPr>
            <w:tcW w:w="2063" w:type="dxa"/>
          </w:tcPr>
          <w:p w14:paraId="454D1A02" w14:textId="2D960E26" w:rsidR="00961A08" w:rsidRPr="00961A08" w:rsidRDefault="00961A08">
            <w:pPr>
              <w:rPr>
                <w:rFonts w:ascii="Times New Roman" w:hAnsi="Times New Roman" w:cs="Times New Roman"/>
                <w:b/>
                <w:bCs/>
                <w:sz w:val="24"/>
                <w:szCs w:val="24"/>
              </w:rPr>
            </w:pPr>
            <w:r w:rsidRPr="00961A08">
              <w:rPr>
                <w:rFonts w:ascii="Times New Roman" w:hAnsi="Times New Roman" w:cs="Times New Roman"/>
                <w:sz w:val="24"/>
                <w:szCs w:val="24"/>
              </w:rPr>
              <w:t>Total Loans Issued (billion USD)</w:t>
            </w:r>
          </w:p>
        </w:tc>
        <w:tc>
          <w:tcPr>
            <w:tcW w:w="1485" w:type="dxa"/>
          </w:tcPr>
          <w:p w14:paraId="39EB9379" w14:textId="3E31C4B4"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800</w:t>
            </w:r>
          </w:p>
        </w:tc>
        <w:tc>
          <w:tcPr>
            <w:tcW w:w="1367" w:type="dxa"/>
          </w:tcPr>
          <w:p w14:paraId="1D854D25" w14:textId="63763442"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850</w:t>
            </w:r>
          </w:p>
        </w:tc>
        <w:tc>
          <w:tcPr>
            <w:tcW w:w="1367" w:type="dxa"/>
          </w:tcPr>
          <w:p w14:paraId="1DED4329" w14:textId="77DED023"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900</w:t>
            </w:r>
          </w:p>
        </w:tc>
        <w:tc>
          <w:tcPr>
            <w:tcW w:w="1367" w:type="dxa"/>
          </w:tcPr>
          <w:p w14:paraId="323630A5" w14:textId="6032E941"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950</w:t>
            </w:r>
          </w:p>
        </w:tc>
        <w:tc>
          <w:tcPr>
            <w:tcW w:w="1367" w:type="dxa"/>
          </w:tcPr>
          <w:p w14:paraId="63F4FEFC" w14:textId="3917069F"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1000</w:t>
            </w:r>
          </w:p>
        </w:tc>
      </w:tr>
      <w:tr w:rsidR="00961A08" w14:paraId="76E5627A" w14:textId="77777777" w:rsidTr="00961A08">
        <w:tc>
          <w:tcPr>
            <w:tcW w:w="2063" w:type="dxa"/>
          </w:tcPr>
          <w:p w14:paraId="21665918" w14:textId="3A355CE6" w:rsidR="00961A08" w:rsidRPr="00961A08" w:rsidRDefault="00961A08" w:rsidP="00961A08">
            <w:pPr>
              <w:jc w:val="center"/>
              <w:rPr>
                <w:rFonts w:ascii="Times New Roman" w:hAnsi="Times New Roman" w:cs="Times New Roman"/>
                <w:b/>
                <w:bCs/>
                <w:sz w:val="24"/>
                <w:szCs w:val="24"/>
              </w:rPr>
            </w:pPr>
            <w:r w:rsidRPr="00961A08">
              <w:rPr>
                <w:rFonts w:ascii="Times New Roman" w:hAnsi="Times New Roman" w:cs="Times New Roman"/>
                <w:sz w:val="24"/>
                <w:szCs w:val="24"/>
              </w:rPr>
              <w:t>Average Interest Rate on Deposits (%)</w:t>
            </w:r>
          </w:p>
        </w:tc>
        <w:tc>
          <w:tcPr>
            <w:tcW w:w="1485" w:type="dxa"/>
          </w:tcPr>
          <w:p w14:paraId="6E74A10B" w14:textId="34222D1A"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1.5</w:t>
            </w:r>
          </w:p>
        </w:tc>
        <w:tc>
          <w:tcPr>
            <w:tcW w:w="1367" w:type="dxa"/>
          </w:tcPr>
          <w:p w14:paraId="0B530D19" w14:textId="215EF1B6"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1.2</w:t>
            </w:r>
          </w:p>
        </w:tc>
        <w:tc>
          <w:tcPr>
            <w:tcW w:w="1367" w:type="dxa"/>
          </w:tcPr>
          <w:p w14:paraId="0C2A335B" w14:textId="33CC7DC4"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1.0</w:t>
            </w:r>
          </w:p>
        </w:tc>
        <w:tc>
          <w:tcPr>
            <w:tcW w:w="1367" w:type="dxa"/>
          </w:tcPr>
          <w:p w14:paraId="4A00D12C" w14:textId="58DBE31B"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0.8</w:t>
            </w:r>
          </w:p>
        </w:tc>
        <w:tc>
          <w:tcPr>
            <w:tcW w:w="1367" w:type="dxa"/>
          </w:tcPr>
          <w:p w14:paraId="1C6557C8" w14:textId="6656CB36"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0.7</w:t>
            </w:r>
          </w:p>
        </w:tc>
      </w:tr>
      <w:tr w:rsidR="00961A08" w14:paraId="3310B12F" w14:textId="77777777" w:rsidTr="00961A08">
        <w:tc>
          <w:tcPr>
            <w:tcW w:w="2063" w:type="dxa"/>
          </w:tcPr>
          <w:p w14:paraId="58FFE5D1" w14:textId="294226E1" w:rsidR="00961A08" w:rsidRPr="00961A08" w:rsidRDefault="00961A08" w:rsidP="00961A08">
            <w:pPr>
              <w:jc w:val="center"/>
              <w:rPr>
                <w:rFonts w:ascii="Times New Roman" w:hAnsi="Times New Roman" w:cs="Times New Roman"/>
                <w:b/>
                <w:bCs/>
                <w:sz w:val="24"/>
                <w:szCs w:val="24"/>
              </w:rPr>
            </w:pPr>
            <w:r w:rsidRPr="00961A08">
              <w:rPr>
                <w:rFonts w:ascii="Times New Roman" w:hAnsi="Times New Roman" w:cs="Times New Roman"/>
                <w:sz w:val="24"/>
                <w:szCs w:val="24"/>
              </w:rPr>
              <w:t>Average Interest Rate on Loans (%)</w:t>
            </w:r>
          </w:p>
        </w:tc>
        <w:tc>
          <w:tcPr>
            <w:tcW w:w="1485" w:type="dxa"/>
          </w:tcPr>
          <w:p w14:paraId="6C207ABC" w14:textId="77CB8099"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4.0</w:t>
            </w:r>
          </w:p>
        </w:tc>
        <w:tc>
          <w:tcPr>
            <w:tcW w:w="1367" w:type="dxa"/>
          </w:tcPr>
          <w:p w14:paraId="35116925" w14:textId="7E6D8B9C"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3.8</w:t>
            </w:r>
          </w:p>
        </w:tc>
        <w:tc>
          <w:tcPr>
            <w:tcW w:w="1367" w:type="dxa"/>
          </w:tcPr>
          <w:p w14:paraId="77FB8B2D" w14:textId="47EDB1E6"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3.7</w:t>
            </w:r>
          </w:p>
        </w:tc>
        <w:tc>
          <w:tcPr>
            <w:tcW w:w="1367" w:type="dxa"/>
          </w:tcPr>
          <w:p w14:paraId="08173C48" w14:textId="6F24FD8A"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3.5</w:t>
            </w:r>
          </w:p>
        </w:tc>
        <w:tc>
          <w:tcPr>
            <w:tcW w:w="1367" w:type="dxa"/>
          </w:tcPr>
          <w:p w14:paraId="7E703E3D" w14:textId="5780DC4D"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3.4</w:t>
            </w:r>
          </w:p>
        </w:tc>
      </w:tr>
      <w:tr w:rsidR="00961A08" w14:paraId="671CD258" w14:textId="77777777" w:rsidTr="00961A08">
        <w:tc>
          <w:tcPr>
            <w:tcW w:w="2063" w:type="dxa"/>
          </w:tcPr>
          <w:p w14:paraId="226A17D7" w14:textId="4E89FCBD" w:rsidR="00961A08" w:rsidRPr="00961A08" w:rsidRDefault="00961A08" w:rsidP="00961A08">
            <w:pPr>
              <w:jc w:val="center"/>
              <w:rPr>
                <w:rFonts w:ascii="Times New Roman" w:hAnsi="Times New Roman" w:cs="Times New Roman"/>
                <w:b/>
                <w:bCs/>
                <w:sz w:val="24"/>
                <w:szCs w:val="24"/>
              </w:rPr>
            </w:pPr>
            <w:r w:rsidRPr="00961A08">
              <w:rPr>
                <w:rFonts w:ascii="Times New Roman" w:hAnsi="Times New Roman" w:cs="Times New Roman"/>
                <w:sz w:val="24"/>
                <w:szCs w:val="24"/>
              </w:rPr>
              <w:t>Number of ATMs</w:t>
            </w:r>
          </w:p>
        </w:tc>
        <w:tc>
          <w:tcPr>
            <w:tcW w:w="1485" w:type="dxa"/>
          </w:tcPr>
          <w:p w14:paraId="5B215CAF" w14:textId="168E2061"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2000000</w:t>
            </w:r>
          </w:p>
        </w:tc>
        <w:tc>
          <w:tcPr>
            <w:tcW w:w="1367" w:type="dxa"/>
          </w:tcPr>
          <w:p w14:paraId="29ED8DA7" w14:textId="5C0321BF"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210000</w:t>
            </w:r>
          </w:p>
        </w:tc>
        <w:tc>
          <w:tcPr>
            <w:tcW w:w="1367" w:type="dxa"/>
          </w:tcPr>
          <w:p w14:paraId="195FFE9C" w14:textId="029B8DFD"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220000</w:t>
            </w:r>
          </w:p>
        </w:tc>
        <w:tc>
          <w:tcPr>
            <w:tcW w:w="1367" w:type="dxa"/>
          </w:tcPr>
          <w:p w14:paraId="12B77054" w14:textId="224F6CE5"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230000</w:t>
            </w:r>
          </w:p>
        </w:tc>
        <w:tc>
          <w:tcPr>
            <w:tcW w:w="1367" w:type="dxa"/>
          </w:tcPr>
          <w:p w14:paraId="225D0F33" w14:textId="7EB6F533"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240000</w:t>
            </w:r>
          </w:p>
        </w:tc>
      </w:tr>
      <w:tr w:rsidR="00961A08" w14:paraId="05B8BFD9" w14:textId="77777777" w:rsidTr="00961A08">
        <w:tc>
          <w:tcPr>
            <w:tcW w:w="2063" w:type="dxa"/>
          </w:tcPr>
          <w:p w14:paraId="57BE6A5C" w14:textId="3154397A" w:rsidR="00961A08" w:rsidRPr="00961A08" w:rsidRDefault="00961A08" w:rsidP="00961A08">
            <w:pPr>
              <w:jc w:val="center"/>
              <w:rPr>
                <w:rFonts w:ascii="Times New Roman" w:hAnsi="Times New Roman" w:cs="Times New Roman"/>
                <w:b/>
                <w:bCs/>
                <w:sz w:val="24"/>
                <w:szCs w:val="24"/>
              </w:rPr>
            </w:pPr>
            <w:r w:rsidRPr="00961A08">
              <w:rPr>
                <w:rFonts w:ascii="Times New Roman" w:hAnsi="Times New Roman" w:cs="Times New Roman"/>
                <w:sz w:val="24"/>
                <w:szCs w:val="24"/>
              </w:rPr>
              <w:t>Number of Online Banking Users (millions)</w:t>
            </w:r>
          </w:p>
        </w:tc>
        <w:tc>
          <w:tcPr>
            <w:tcW w:w="1485" w:type="dxa"/>
          </w:tcPr>
          <w:p w14:paraId="3F0336F2" w14:textId="5EEF1870"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50</w:t>
            </w:r>
          </w:p>
        </w:tc>
        <w:tc>
          <w:tcPr>
            <w:tcW w:w="1367" w:type="dxa"/>
          </w:tcPr>
          <w:p w14:paraId="795FAE7D" w14:textId="549BB999"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55</w:t>
            </w:r>
          </w:p>
        </w:tc>
        <w:tc>
          <w:tcPr>
            <w:tcW w:w="1367" w:type="dxa"/>
          </w:tcPr>
          <w:p w14:paraId="66B5E3AC" w14:textId="3468626F"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60</w:t>
            </w:r>
          </w:p>
        </w:tc>
        <w:tc>
          <w:tcPr>
            <w:tcW w:w="1367" w:type="dxa"/>
          </w:tcPr>
          <w:p w14:paraId="6AEC3DD6" w14:textId="2569CA02"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65</w:t>
            </w:r>
          </w:p>
        </w:tc>
        <w:tc>
          <w:tcPr>
            <w:tcW w:w="1367" w:type="dxa"/>
          </w:tcPr>
          <w:p w14:paraId="040D1A5B" w14:textId="0D83709E"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70</w:t>
            </w:r>
          </w:p>
        </w:tc>
      </w:tr>
      <w:tr w:rsidR="00961A08" w14:paraId="0A608C91" w14:textId="77777777" w:rsidTr="00961A08">
        <w:tc>
          <w:tcPr>
            <w:tcW w:w="2063" w:type="dxa"/>
          </w:tcPr>
          <w:p w14:paraId="1BA49072" w14:textId="5F831D38" w:rsidR="00961A08" w:rsidRPr="00961A08" w:rsidRDefault="00961A08" w:rsidP="00961A08">
            <w:pPr>
              <w:tabs>
                <w:tab w:val="left" w:pos="1111"/>
              </w:tabs>
              <w:rPr>
                <w:rFonts w:ascii="Times New Roman" w:hAnsi="Times New Roman" w:cs="Times New Roman"/>
                <w:b/>
                <w:bCs/>
                <w:sz w:val="24"/>
                <w:szCs w:val="24"/>
              </w:rPr>
            </w:pPr>
            <w:r w:rsidRPr="00961A08">
              <w:rPr>
                <w:rFonts w:ascii="Times New Roman" w:hAnsi="Times New Roman" w:cs="Times New Roman"/>
                <w:b/>
                <w:bCs/>
                <w:sz w:val="24"/>
                <w:szCs w:val="24"/>
              </w:rPr>
              <w:tab/>
            </w:r>
            <w:r w:rsidRPr="00961A08">
              <w:rPr>
                <w:rFonts w:ascii="Times New Roman" w:hAnsi="Times New Roman" w:cs="Times New Roman"/>
                <w:sz w:val="24"/>
                <w:szCs w:val="24"/>
              </w:rPr>
              <w:t>Number of Mobile Banking Users (millions)</w:t>
            </w:r>
          </w:p>
        </w:tc>
        <w:tc>
          <w:tcPr>
            <w:tcW w:w="1485" w:type="dxa"/>
          </w:tcPr>
          <w:p w14:paraId="13462A20" w14:textId="2073E17C"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45</w:t>
            </w:r>
          </w:p>
        </w:tc>
        <w:tc>
          <w:tcPr>
            <w:tcW w:w="1367" w:type="dxa"/>
          </w:tcPr>
          <w:p w14:paraId="05CAD6C2" w14:textId="47D641F8"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50</w:t>
            </w:r>
          </w:p>
        </w:tc>
        <w:tc>
          <w:tcPr>
            <w:tcW w:w="1367" w:type="dxa"/>
          </w:tcPr>
          <w:p w14:paraId="519D8EBE" w14:textId="7F11CAD3"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55</w:t>
            </w:r>
          </w:p>
        </w:tc>
        <w:tc>
          <w:tcPr>
            <w:tcW w:w="1367" w:type="dxa"/>
          </w:tcPr>
          <w:p w14:paraId="2479E6B1" w14:textId="6C8CB078"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60</w:t>
            </w:r>
          </w:p>
        </w:tc>
        <w:tc>
          <w:tcPr>
            <w:tcW w:w="1367" w:type="dxa"/>
          </w:tcPr>
          <w:p w14:paraId="7393DBB4" w14:textId="720FDC96"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65</w:t>
            </w:r>
          </w:p>
        </w:tc>
      </w:tr>
      <w:tr w:rsidR="00961A08" w14:paraId="2F8D6701" w14:textId="77777777" w:rsidTr="00961A08">
        <w:tc>
          <w:tcPr>
            <w:tcW w:w="2063" w:type="dxa"/>
          </w:tcPr>
          <w:p w14:paraId="34FD5A0A" w14:textId="498585CB" w:rsidR="00961A08" w:rsidRPr="00961A08" w:rsidRDefault="00961A08" w:rsidP="00961A08">
            <w:pPr>
              <w:rPr>
                <w:rFonts w:ascii="Times New Roman" w:hAnsi="Times New Roman" w:cs="Times New Roman"/>
                <w:b/>
                <w:bCs/>
                <w:sz w:val="24"/>
                <w:szCs w:val="24"/>
              </w:rPr>
            </w:pPr>
            <w:r w:rsidRPr="00961A08">
              <w:rPr>
                <w:rFonts w:ascii="Times New Roman" w:hAnsi="Times New Roman" w:cs="Times New Roman"/>
                <w:sz w:val="24"/>
                <w:szCs w:val="24"/>
              </w:rPr>
              <w:t>Number of Fraud Incidents</w:t>
            </w:r>
          </w:p>
        </w:tc>
        <w:tc>
          <w:tcPr>
            <w:tcW w:w="1485" w:type="dxa"/>
          </w:tcPr>
          <w:p w14:paraId="7673F06B" w14:textId="51F771B2"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10000</w:t>
            </w:r>
          </w:p>
        </w:tc>
        <w:tc>
          <w:tcPr>
            <w:tcW w:w="1367" w:type="dxa"/>
          </w:tcPr>
          <w:p w14:paraId="58DB4150" w14:textId="61A4CE7B"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1200</w:t>
            </w:r>
          </w:p>
        </w:tc>
        <w:tc>
          <w:tcPr>
            <w:tcW w:w="1367" w:type="dxa"/>
          </w:tcPr>
          <w:p w14:paraId="6E65916C" w14:textId="332D7F50"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11000</w:t>
            </w:r>
          </w:p>
        </w:tc>
        <w:tc>
          <w:tcPr>
            <w:tcW w:w="1367" w:type="dxa"/>
          </w:tcPr>
          <w:p w14:paraId="4988C3A3" w14:textId="5CAA68C2"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9000</w:t>
            </w:r>
          </w:p>
        </w:tc>
        <w:tc>
          <w:tcPr>
            <w:tcW w:w="1367" w:type="dxa"/>
          </w:tcPr>
          <w:p w14:paraId="1EC6112B" w14:textId="1CC69B1A"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8000</w:t>
            </w:r>
          </w:p>
        </w:tc>
      </w:tr>
      <w:tr w:rsidR="00961A08" w14:paraId="3BBF6635" w14:textId="77777777" w:rsidTr="00961A08">
        <w:tc>
          <w:tcPr>
            <w:tcW w:w="2063" w:type="dxa"/>
          </w:tcPr>
          <w:p w14:paraId="5EB556AC" w14:textId="513EB948" w:rsidR="00961A08" w:rsidRPr="00961A08" w:rsidRDefault="00961A08" w:rsidP="00961A08">
            <w:pPr>
              <w:ind w:firstLine="720"/>
              <w:rPr>
                <w:rFonts w:ascii="Times New Roman" w:hAnsi="Times New Roman" w:cs="Times New Roman"/>
                <w:b/>
                <w:bCs/>
                <w:sz w:val="24"/>
                <w:szCs w:val="24"/>
              </w:rPr>
            </w:pPr>
            <w:r w:rsidRPr="00961A08">
              <w:rPr>
                <w:rFonts w:ascii="Times New Roman" w:hAnsi="Times New Roman" w:cs="Times New Roman"/>
                <w:sz w:val="24"/>
                <w:szCs w:val="24"/>
              </w:rPr>
              <w:t>Total Fraud Losses (million USD)</w:t>
            </w:r>
          </w:p>
        </w:tc>
        <w:tc>
          <w:tcPr>
            <w:tcW w:w="1485" w:type="dxa"/>
          </w:tcPr>
          <w:p w14:paraId="6DCADEFF" w14:textId="21D3B28F"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500</w:t>
            </w:r>
          </w:p>
        </w:tc>
        <w:tc>
          <w:tcPr>
            <w:tcW w:w="1367" w:type="dxa"/>
          </w:tcPr>
          <w:p w14:paraId="1AD9C6AA" w14:textId="5C9D284A"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600</w:t>
            </w:r>
          </w:p>
        </w:tc>
        <w:tc>
          <w:tcPr>
            <w:tcW w:w="1367" w:type="dxa"/>
          </w:tcPr>
          <w:p w14:paraId="2FA71C22" w14:textId="3A2B173D"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550</w:t>
            </w:r>
          </w:p>
        </w:tc>
        <w:tc>
          <w:tcPr>
            <w:tcW w:w="1367" w:type="dxa"/>
          </w:tcPr>
          <w:p w14:paraId="38EF1CEB" w14:textId="00DB0D4D"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450</w:t>
            </w:r>
          </w:p>
        </w:tc>
        <w:tc>
          <w:tcPr>
            <w:tcW w:w="1367" w:type="dxa"/>
          </w:tcPr>
          <w:p w14:paraId="483531AC" w14:textId="31F3FFC3" w:rsidR="00961A08" w:rsidRPr="00961A08" w:rsidRDefault="00961A08">
            <w:pPr>
              <w:rPr>
                <w:rFonts w:ascii="Times New Roman" w:hAnsi="Times New Roman" w:cs="Times New Roman"/>
                <w:sz w:val="24"/>
                <w:szCs w:val="24"/>
              </w:rPr>
            </w:pPr>
            <w:r w:rsidRPr="00961A08">
              <w:rPr>
                <w:rFonts w:ascii="Times New Roman" w:hAnsi="Times New Roman" w:cs="Times New Roman"/>
                <w:sz w:val="24"/>
                <w:szCs w:val="24"/>
              </w:rPr>
              <w:t>400</w:t>
            </w:r>
          </w:p>
        </w:tc>
      </w:tr>
    </w:tbl>
    <w:p w14:paraId="4F8B4803" w14:textId="5368CF5E" w:rsidR="00961A08" w:rsidRDefault="00961A08">
      <w:pPr>
        <w:rPr>
          <w:rFonts w:ascii="Times New Roman" w:hAnsi="Times New Roman" w:cs="Times New Roman"/>
          <w:b/>
          <w:bCs/>
          <w:sz w:val="36"/>
          <w:szCs w:val="36"/>
        </w:rPr>
      </w:pPr>
      <w:r w:rsidRPr="00961A08">
        <w:rPr>
          <w:rFonts w:ascii="Times New Roman" w:hAnsi="Times New Roman" w:cs="Times New Roman"/>
          <w:b/>
          <w:bCs/>
          <w:noProof/>
          <w:sz w:val="36"/>
          <w:szCs w:val="36"/>
        </w:rPr>
        <w:lastRenderedPageBreak/>
        <w:drawing>
          <wp:inline distT="0" distB="0" distL="0" distR="0" wp14:anchorId="76E82861" wp14:editId="69D61098">
            <wp:extent cx="5731510" cy="3255645"/>
            <wp:effectExtent l="0" t="0" r="2540" b="1905"/>
            <wp:docPr id="33855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59028" name=""/>
                    <pic:cNvPicPr/>
                  </pic:nvPicPr>
                  <pic:blipFill>
                    <a:blip r:embed="rId6"/>
                    <a:stretch>
                      <a:fillRect/>
                    </a:stretch>
                  </pic:blipFill>
                  <pic:spPr>
                    <a:xfrm>
                      <a:off x="0" y="0"/>
                      <a:ext cx="5731510" cy="3255645"/>
                    </a:xfrm>
                    <a:prstGeom prst="rect">
                      <a:avLst/>
                    </a:prstGeom>
                  </pic:spPr>
                </pic:pic>
              </a:graphicData>
            </a:graphic>
          </wp:inline>
        </w:drawing>
      </w:r>
    </w:p>
    <w:p w14:paraId="64863F3D" w14:textId="026A36EE" w:rsidR="00961A08" w:rsidRDefault="00961A08">
      <w:pPr>
        <w:rPr>
          <w:rFonts w:ascii="Times New Roman" w:hAnsi="Times New Roman" w:cs="Times New Roman"/>
          <w:b/>
          <w:bCs/>
          <w:sz w:val="36"/>
          <w:szCs w:val="36"/>
        </w:rPr>
      </w:pPr>
      <w:r w:rsidRPr="00961A08">
        <w:rPr>
          <w:rFonts w:ascii="Times New Roman" w:hAnsi="Times New Roman" w:cs="Times New Roman"/>
          <w:b/>
          <w:bCs/>
          <w:noProof/>
          <w:sz w:val="36"/>
          <w:szCs w:val="36"/>
        </w:rPr>
        <w:drawing>
          <wp:inline distT="0" distB="0" distL="0" distR="0" wp14:anchorId="4030BD29" wp14:editId="45F9718D">
            <wp:extent cx="2707989" cy="2177143"/>
            <wp:effectExtent l="0" t="0" r="0" b="0"/>
            <wp:docPr id="1493904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04548" name=""/>
                    <pic:cNvPicPr/>
                  </pic:nvPicPr>
                  <pic:blipFill rotWithShape="1">
                    <a:blip r:embed="rId7"/>
                    <a:srcRect r="49530"/>
                    <a:stretch/>
                  </pic:blipFill>
                  <pic:spPr bwMode="auto">
                    <a:xfrm>
                      <a:off x="0" y="0"/>
                      <a:ext cx="2806076" cy="2256002"/>
                    </a:xfrm>
                    <a:prstGeom prst="rect">
                      <a:avLst/>
                    </a:prstGeom>
                    <a:ln>
                      <a:noFill/>
                    </a:ln>
                    <a:extLst>
                      <a:ext uri="{53640926-AAD7-44D8-BBD7-CCE9431645EC}">
                        <a14:shadowObscured xmlns:a14="http://schemas.microsoft.com/office/drawing/2010/main"/>
                      </a:ext>
                    </a:extLst>
                  </pic:spPr>
                </pic:pic>
              </a:graphicData>
            </a:graphic>
          </wp:inline>
        </w:drawing>
      </w:r>
      <w:r w:rsidR="003F722B" w:rsidRPr="00961A08">
        <w:rPr>
          <w:rFonts w:ascii="Times New Roman" w:hAnsi="Times New Roman" w:cs="Times New Roman"/>
          <w:b/>
          <w:bCs/>
          <w:noProof/>
          <w:sz w:val="36"/>
          <w:szCs w:val="36"/>
        </w:rPr>
        <w:drawing>
          <wp:inline distT="0" distB="0" distL="0" distR="0" wp14:anchorId="3FCA066D" wp14:editId="1485E276">
            <wp:extent cx="2971365" cy="2037806"/>
            <wp:effectExtent l="0" t="0" r="635" b="635"/>
            <wp:docPr id="1630977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77960" name=""/>
                    <pic:cNvPicPr/>
                  </pic:nvPicPr>
                  <pic:blipFill rotWithShape="1">
                    <a:blip r:embed="rId7"/>
                    <a:srcRect l="50749"/>
                    <a:stretch/>
                  </pic:blipFill>
                  <pic:spPr bwMode="auto">
                    <a:xfrm>
                      <a:off x="0" y="0"/>
                      <a:ext cx="2993659" cy="2053095"/>
                    </a:xfrm>
                    <a:prstGeom prst="rect">
                      <a:avLst/>
                    </a:prstGeom>
                    <a:ln>
                      <a:noFill/>
                    </a:ln>
                    <a:extLst>
                      <a:ext uri="{53640926-AAD7-44D8-BBD7-CCE9431645EC}">
                        <a14:shadowObscured xmlns:a14="http://schemas.microsoft.com/office/drawing/2010/main"/>
                      </a:ext>
                    </a:extLst>
                  </pic:spPr>
                </pic:pic>
              </a:graphicData>
            </a:graphic>
          </wp:inline>
        </w:drawing>
      </w:r>
    </w:p>
    <w:p w14:paraId="23F3382F" w14:textId="667E6823" w:rsidR="00961A08" w:rsidRDefault="00961A08">
      <w:pPr>
        <w:rPr>
          <w:rFonts w:ascii="Times New Roman" w:hAnsi="Times New Roman" w:cs="Times New Roman"/>
          <w:b/>
          <w:bCs/>
          <w:sz w:val="36"/>
          <w:szCs w:val="36"/>
        </w:rPr>
      </w:pPr>
    </w:p>
    <w:p w14:paraId="7F20AB65" w14:textId="4A28C153" w:rsidR="003F722B" w:rsidRPr="003F722B" w:rsidRDefault="003F722B" w:rsidP="003F722B">
      <w:pPr>
        <w:pStyle w:val="ListParagraph"/>
        <w:numPr>
          <w:ilvl w:val="0"/>
          <w:numId w:val="5"/>
        </w:numPr>
        <w:shd w:val="clear" w:color="auto" w:fill="FFFFFF"/>
        <w:spacing w:after="100" w:afterAutospacing="1" w:line="240" w:lineRule="auto"/>
        <w:rPr>
          <w:rFonts w:ascii="Times New Roman" w:eastAsia="Times New Roman" w:hAnsi="Times New Roman" w:cs="Times New Roman"/>
          <w:color w:val="111111"/>
          <w:spacing w:val="1"/>
          <w:kern w:val="0"/>
          <w:sz w:val="24"/>
          <w:szCs w:val="24"/>
          <w:lang w:eastAsia="en-IN"/>
          <w14:ligatures w14:val="none"/>
        </w:rPr>
      </w:pPr>
      <w:r w:rsidRPr="003F722B">
        <w:rPr>
          <w:rFonts w:ascii="Times New Roman" w:eastAsia="Times New Roman" w:hAnsi="Times New Roman" w:cs="Times New Roman"/>
          <w:color w:val="111111"/>
          <w:spacing w:val="1"/>
          <w:kern w:val="0"/>
          <w:sz w:val="24"/>
          <w:szCs w:val="24"/>
          <w:lang w:eastAsia="en-IN"/>
          <w14:ligatures w14:val="none"/>
        </w:rPr>
        <w:t>As of March 31, 2023, the top five largest U.S. commercial banks by assets were:</w:t>
      </w:r>
    </w:p>
    <w:p w14:paraId="235C2B7E" w14:textId="77777777" w:rsidR="003F722B" w:rsidRPr="003F722B" w:rsidRDefault="003F722B" w:rsidP="003F722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11111"/>
          <w:spacing w:val="1"/>
          <w:kern w:val="0"/>
          <w:sz w:val="24"/>
          <w:szCs w:val="24"/>
          <w:lang w:eastAsia="en-IN"/>
          <w14:ligatures w14:val="none"/>
        </w:rPr>
      </w:pPr>
      <w:r w:rsidRPr="003F722B">
        <w:rPr>
          <w:rFonts w:ascii="Times New Roman" w:eastAsia="Times New Roman" w:hAnsi="Times New Roman" w:cs="Times New Roman"/>
          <w:color w:val="111111"/>
          <w:spacing w:val="1"/>
          <w:kern w:val="0"/>
          <w:sz w:val="24"/>
          <w:szCs w:val="24"/>
          <w:lang w:eastAsia="en-IN"/>
          <w14:ligatures w14:val="none"/>
        </w:rPr>
        <w:t>JPMorgan Chase</w:t>
      </w:r>
    </w:p>
    <w:p w14:paraId="21FD4689" w14:textId="77777777" w:rsidR="003F722B" w:rsidRPr="003F722B" w:rsidRDefault="003F722B" w:rsidP="003F722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11111"/>
          <w:spacing w:val="1"/>
          <w:kern w:val="0"/>
          <w:sz w:val="24"/>
          <w:szCs w:val="24"/>
          <w:lang w:eastAsia="en-IN"/>
          <w14:ligatures w14:val="none"/>
        </w:rPr>
      </w:pPr>
      <w:r w:rsidRPr="003F722B">
        <w:rPr>
          <w:rFonts w:ascii="Times New Roman" w:eastAsia="Times New Roman" w:hAnsi="Times New Roman" w:cs="Times New Roman"/>
          <w:color w:val="111111"/>
          <w:spacing w:val="1"/>
          <w:kern w:val="0"/>
          <w:sz w:val="24"/>
          <w:szCs w:val="24"/>
          <w:lang w:eastAsia="en-IN"/>
          <w14:ligatures w14:val="none"/>
        </w:rPr>
        <w:t>Bank of America</w:t>
      </w:r>
    </w:p>
    <w:p w14:paraId="0C87AD5F" w14:textId="77777777" w:rsidR="003F722B" w:rsidRPr="003F722B" w:rsidRDefault="003F722B" w:rsidP="003F722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11111"/>
          <w:spacing w:val="1"/>
          <w:kern w:val="0"/>
          <w:sz w:val="24"/>
          <w:szCs w:val="24"/>
          <w:lang w:eastAsia="en-IN"/>
          <w14:ligatures w14:val="none"/>
        </w:rPr>
      </w:pPr>
      <w:r w:rsidRPr="003F722B">
        <w:rPr>
          <w:rFonts w:ascii="Times New Roman" w:eastAsia="Times New Roman" w:hAnsi="Times New Roman" w:cs="Times New Roman"/>
          <w:color w:val="111111"/>
          <w:spacing w:val="1"/>
          <w:kern w:val="0"/>
          <w:sz w:val="24"/>
          <w:szCs w:val="24"/>
          <w:lang w:eastAsia="en-IN"/>
          <w14:ligatures w14:val="none"/>
        </w:rPr>
        <w:t>Citibank</w:t>
      </w:r>
    </w:p>
    <w:p w14:paraId="4C12C072" w14:textId="77777777" w:rsidR="003F722B" w:rsidRPr="003F722B" w:rsidRDefault="003F722B" w:rsidP="003F722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11111"/>
          <w:spacing w:val="1"/>
          <w:kern w:val="0"/>
          <w:sz w:val="24"/>
          <w:szCs w:val="24"/>
          <w:lang w:eastAsia="en-IN"/>
          <w14:ligatures w14:val="none"/>
        </w:rPr>
      </w:pPr>
      <w:r w:rsidRPr="003F722B">
        <w:rPr>
          <w:rFonts w:ascii="Times New Roman" w:eastAsia="Times New Roman" w:hAnsi="Times New Roman" w:cs="Times New Roman"/>
          <w:color w:val="111111"/>
          <w:spacing w:val="1"/>
          <w:kern w:val="0"/>
          <w:sz w:val="24"/>
          <w:szCs w:val="24"/>
          <w:lang w:eastAsia="en-IN"/>
          <w14:ligatures w14:val="none"/>
        </w:rPr>
        <w:t>Wells Fargo</w:t>
      </w:r>
    </w:p>
    <w:p w14:paraId="066DB254" w14:textId="77777777" w:rsidR="003F722B" w:rsidRPr="003F722B" w:rsidRDefault="003F722B" w:rsidP="003F722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11111"/>
          <w:spacing w:val="1"/>
          <w:kern w:val="0"/>
          <w:sz w:val="24"/>
          <w:szCs w:val="24"/>
          <w:lang w:eastAsia="en-IN"/>
          <w14:ligatures w14:val="none"/>
        </w:rPr>
      </w:pPr>
      <w:r w:rsidRPr="003F722B">
        <w:rPr>
          <w:rFonts w:ascii="Times New Roman" w:eastAsia="Times New Roman" w:hAnsi="Times New Roman" w:cs="Times New Roman"/>
          <w:color w:val="111111"/>
          <w:spacing w:val="1"/>
          <w:kern w:val="0"/>
          <w:sz w:val="24"/>
          <w:szCs w:val="24"/>
          <w:lang w:eastAsia="en-IN"/>
          <w14:ligatures w14:val="none"/>
        </w:rPr>
        <w:t>U.S. Bank</w:t>
      </w:r>
    </w:p>
    <w:p w14:paraId="526BC6BE" w14:textId="77777777" w:rsidR="003F722B" w:rsidRPr="00961A08" w:rsidRDefault="003F722B">
      <w:pPr>
        <w:rPr>
          <w:rFonts w:ascii="Times New Roman" w:hAnsi="Times New Roman" w:cs="Times New Roman"/>
          <w:b/>
          <w:bCs/>
          <w:sz w:val="36"/>
          <w:szCs w:val="36"/>
        </w:rPr>
      </w:pPr>
    </w:p>
    <w:sectPr w:rsidR="003F722B" w:rsidRPr="00961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27890"/>
    <w:multiLevelType w:val="multilevel"/>
    <w:tmpl w:val="0C56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C83E8F"/>
    <w:multiLevelType w:val="multilevel"/>
    <w:tmpl w:val="69602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920E5"/>
    <w:multiLevelType w:val="multilevel"/>
    <w:tmpl w:val="528C4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4F1865"/>
    <w:multiLevelType w:val="multilevel"/>
    <w:tmpl w:val="404C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F13992"/>
    <w:multiLevelType w:val="multilevel"/>
    <w:tmpl w:val="A2985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3529FE"/>
    <w:multiLevelType w:val="hybridMultilevel"/>
    <w:tmpl w:val="197E78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871603">
    <w:abstractNumId w:val="3"/>
  </w:num>
  <w:num w:numId="2" w16cid:durableId="283076479">
    <w:abstractNumId w:val="4"/>
  </w:num>
  <w:num w:numId="3" w16cid:durableId="817066638">
    <w:abstractNumId w:val="2"/>
  </w:num>
  <w:num w:numId="4" w16cid:durableId="326056314">
    <w:abstractNumId w:val="1"/>
  </w:num>
  <w:num w:numId="5" w16cid:durableId="1871726011">
    <w:abstractNumId w:val="5"/>
  </w:num>
  <w:num w:numId="6" w16cid:durableId="2006929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89"/>
    <w:rsid w:val="00001581"/>
    <w:rsid w:val="00274B1B"/>
    <w:rsid w:val="003F722B"/>
    <w:rsid w:val="00444189"/>
    <w:rsid w:val="004F4960"/>
    <w:rsid w:val="00673DD3"/>
    <w:rsid w:val="00961A08"/>
    <w:rsid w:val="00AD67BF"/>
    <w:rsid w:val="00CD2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64BDC"/>
  <w15:chartTrackingRefBased/>
  <w15:docId w15:val="{05A65C92-9CDC-4623-A3EF-F2FF29B0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4418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4189"/>
    <w:rPr>
      <w:rFonts w:ascii="Times New Roman" w:eastAsia="Times New Roman" w:hAnsi="Times New Roman" w:cs="Times New Roman"/>
      <w:b/>
      <w:bCs/>
      <w:kern w:val="0"/>
      <w:sz w:val="27"/>
      <w:szCs w:val="27"/>
      <w:lang w:eastAsia="en-IN"/>
      <w14:ligatures w14:val="none"/>
    </w:rPr>
  </w:style>
  <w:style w:type="character" w:customStyle="1" w:styleId="mntl-inline-citation">
    <w:name w:val="mntl-inline-citation"/>
    <w:basedOn w:val="DefaultParagraphFont"/>
    <w:rsid w:val="00444189"/>
  </w:style>
  <w:style w:type="paragraph" w:styleId="NormalWeb">
    <w:name w:val="Normal (Web)"/>
    <w:basedOn w:val="Normal"/>
    <w:uiPriority w:val="99"/>
    <w:unhideWhenUsed/>
    <w:rsid w:val="004441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44189"/>
    <w:rPr>
      <w:b/>
      <w:bCs/>
    </w:rPr>
  </w:style>
  <w:style w:type="table" w:styleId="TableGrid">
    <w:name w:val="Table Grid"/>
    <w:basedOn w:val="TableNormal"/>
    <w:uiPriority w:val="39"/>
    <w:rsid w:val="00AD6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2F74"/>
    <w:pPr>
      <w:ind w:left="720"/>
      <w:contextualSpacing/>
    </w:pPr>
  </w:style>
  <w:style w:type="paragraph" w:customStyle="1" w:styleId="comp">
    <w:name w:val="comp"/>
    <w:basedOn w:val="Normal"/>
    <w:rsid w:val="003F72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F72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4946">
      <w:bodyDiv w:val="1"/>
      <w:marLeft w:val="0"/>
      <w:marRight w:val="0"/>
      <w:marTop w:val="0"/>
      <w:marBottom w:val="0"/>
      <w:divBdr>
        <w:top w:val="none" w:sz="0" w:space="0" w:color="auto"/>
        <w:left w:val="none" w:sz="0" w:space="0" w:color="auto"/>
        <w:bottom w:val="none" w:sz="0" w:space="0" w:color="auto"/>
        <w:right w:val="none" w:sz="0" w:space="0" w:color="auto"/>
      </w:divBdr>
    </w:div>
    <w:div w:id="40523090">
      <w:bodyDiv w:val="1"/>
      <w:marLeft w:val="0"/>
      <w:marRight w:val="0"/>
      <w:marTop w:val="0"/>
      <w:marBottom w:val="0"/>
      <w:divBdr>
        <w:top w:val="none" w:sz="0" w:space="0" w:color="auto"/>
        <w:left w:val="none" w:sz="0" w:space="0" w:color="auto"/>
        <w:bottom w:val="none" w:sz="0" w:space="0" w:color="auto"/>
        <w:right w:val="none" w:sz="0" w:space="0" w:color="auto"/>
      </w:divBdr>
    </w:div>
    <w:div w:id="548616158">
      <w:bodyDiv w:val="1"/>
      <w:marLeft w:val="0"/>
      <w:marRight w:val="0"/>
      <w:marTop w:val="0"/>
      <w:marBottom w:val="0"/>
      <w:divBdr>
        <w:top w:val="none" w:sz="0" w:space="0" w:color="auto"/>
        <w:left w:val="none" w:sz="0" w:space="0" w:color="auto"/>
        <w:bottom w:val="none" w:sz="0" w:space="0" w:color="auto"/>
        <w:right w:val="none" w:sz="0" w:space="0" w:color="auto"/>
      </w:divBdr>
    </w:div>
    <w:div w:id="835876396">
      <w:bodyDiv w:val="1"/>
      <w:marLeft w:val="0"/>
      <w:marRight w:val="0"/>
      <w:marTop w:val="0"/>
      <w:marBottom w:val="0"/>
      <w:divBdr>
        <w:top w:val="none" w:sz="0" w:space="0" w:color="auto"/>
        <w:left w:val="none" w:sz="0" w:space="0" w:color="auto"/>
        <w:bottom w:val="none" w:sz="0" w:space="0" w:color="auto"/>
        <w:right w:val="none" w:sz="0" w:space="0" w:color="auto"/>
      </w:divBdr>
    </w:div>
    <w:div w:id="1161123729">
      <w:bodyDiv w:val="1"/>
      <w:marLeft w:val="0"/>
      <w:marRight w:val="0"/>
      <w:marTop w:val="0"/>
      <w:marBottom w:val="0"/>
      <w:divBdr>
        <w:top w:val="none" w:sz="0" w:space="0" w:color="auto"/>
        <w:left w:val="none" w:sz="0" w:space="0" w:color="auto"/>
        <w:bottom w:val="none" w:sz="0" w:space="0" w:color="auto"/>
        <w:right w:val="none" w:sz="0" w:space="0" w:color="auto"/>
      </w:divBdr>
    </w:div>
    <w:div w:id="1260407950">
      <w:bodyDiv w:val="1"/>
      <w:marLeft w:val="0"/>
      <w:marRight w:val="0"/>
      <w:marTop w:val="0"/>
      <w:marBottom w:val="0"/>
      <w:divBdr>
        <w:top w:val="none" w:sz="0" w:space="0" w:color="auto"/>
        <w:left w:val="none" w:sz="0" w:space="0" w:color="auto"/>
        <w:bottom w:val="none" w:sz="0" w:space="0" w:color="auto"/>
        <w:right w:val="none" w:sz="0" w:space="0" w:color="auto"/>
      </w:divBdr>
      <w:divsChild>
        <w:div w:id="1472475545">
          <w:marLeft w:val="0"/>
          <w:marRight w:val="0"/>
          <w:marTop w:val="0"/>
          <w:marBottom w:val="0"/>
          <w:divBdr>
            <w:top w:val="none" w:sz="0" w:space="0" w:color="auto"/>
            <w:left w:val="none" w:sz="0" w:space="0" w:color="auto"/>
            <w:bottom w:val="none" w:sz="0" w:space="0" w:color="auto"/>
            <w:right w:val="none" w:sz="0" w:space="0" w:color="auto"/>
          </w:divBdr>
          <w:divsChild>
            <w:div w:id="1601059623">
              <w:marLeft w:val="0"/>
              <w:marRight w:val="0"/>
              <w:marTop w:val="75"/>
              <w:marBottom w:val="0"/>
              <w:divBdr>
                <w:top w:val="single" w:sz="6" w:space="0" w:color="BBBBBB"/>
                <w:left w:val="single" w:sz="6" w:space="0" w:color="BBBBBB"/>
                <w:bottom w:val="single" w:sz="6" w:space="0" w:color="BBBBBB"/>
                <w:right w:val="single" w:sz="6" w:space="0" w:color="BBBBBB"/>
              </w:divBdr>
            </w:div>
          </w:divsChild>
        </w:div>
      </w:divsChild>
    </w:div>
    <w:div w:id="1328360532">
      <w:bodyDiv w:val="1"/>
      <w:marLeft w:val="0"/>
      <w:marRight w:val="0"/>
      <w:marTop w:val="0"/>
      <w:marBottom w:val="0"/>
      <w:divBdr>
        <w:top w:val="none" w:sz="0" w:space="0" w:color="auto"/>
        <w:left w:val="none" w:sz="0" w:space="0" w:color="auto"/>
        <w:bottom w:val="none" w:sz="0" w:space="0" w:color="auto"/>
        <w:right w:val="none" w:sz="0" w:space="0" w:color="auto"/>
      </w:divBdr>
      <w:divsChild>
        <w:div w:id="1906253968">
          <w:marLeft w:val="0"/>
          <w:marRight w:val="0"/>
          <w:marTop w:val="0"/>
          <w:marBottom w:val="0"/>
          <w:divBdr>
            <w:top w:val="none" w:sz="0" w:space="0" w:color="auto"/>
            <w:left w:val="none" w:sz="0" w:space="0" w:color="auto"/>
            <w:bottom w:val="none" w:sz="0" w:space="0" w:color="auto"/>
            <w:right w:val="none" w:sz="0" w:space="0" w:color="auto"/>
          </w:divBdr>
        </w:div>
      </w:divsChild>
    </w:div>
    <w:div w:id="2035303375">
      <w:bodyDiv w:val="1"/>
      <w:marLeft w:val="0"/>
      <w:marRight w:val="0"/>
      <w:marTop w:val="0"/>
      <w:marBottom w:val="0"/>
      <w:divBdr>
        <w:top w:val="none" w:sz="0" w:space="0" w:color="auto"/>
        <w:left w:val="none" w:sz="0" w:space="0" w:color="auto"/>
        <w:bottom w:val="none" w:sz="0" w:space="0" w:color="auto"/>
        <w:right w:val="none" w:sz="0" w:space="0" w:color="auto"/>
      </w:divBdr>
    </w:div>
    <w:div w:id="211763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nvestopedia.com/terms/r/requiredreserves.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Mishra</dc:creator>
  <cp:keywords/>
  <dc:description/>
  <cp:lastModifiedBy>Nidhi Mishra</cp:lastModifiedBy>
  <cp:revision>3</cp:revision>
  <dcterms:created xsi:type="dcterms:W3CDTF">2024-06-16T08:33:00Z</dcterms:created>
  <dcterms:modified xsi:type="dcterms:W3CDTF">2024-06-16T09:27:00Z</dcterms:modified>
</cp:coreProperties>
</file>