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64E69" w14:textId="72711646" w:rsidR="00001581" w:rsidRDefault="00B73E86">
      <w:pPr>
        <w:rPr>
          <w:rFonts w:ascii="Times New Roman" w:hAnsi="Times New Roman" w:cs="Times New Roman"/>
          <w:b/>
          <w:bCs/>
          <w:sz w:val="36"/>
          <w:szCs w:val="36"/>
          <w:u w:val="thick"/>
          <w:lang w:val="en-US"/>
        </w:rPr>
      </w:pPr>
      <w:r w:rsidRPr="00B73E86">
        <w:rPr>
          <w:rFonts w:ascii="Times New Roman" w:hAnsi="Times New Roman" w:cs="Times New Roman"/>
          <w:b/>
          <w:bCs/>
          <w:sz w:val="36"/>
          <w:szCs w:val="36"/>
          <w:u w:val="thick"/>
          <w:lang w:val="en-US"/>
        </w:rPr>
        <w:t>WEALTH MANAGEMENT OPERATIONS</w:t>
      </w:r>
    </w:p>
    <w:p w14:paraId="01EF82D2" w14:textId="3DA81BD6" w:rsidR="00B73E86" w:rsidRPr="00B73E86" w:rsidRDefault="00B73E86">
      <w:pPr>
        <w:rPr>
          <w:rFonts w:ascii="Times New Roman" w:hAnsi="Times New Roman" w:cs="Times New Roman"/>
          <w:sz w:val="24"/>
          <w:szCs w:val="24"/>
        </w:rPr>
      </w:pPr>
      <w:r w:rsidRPr="00B73E86">
        <w:rPr>
          <w:rFonts w:ascii="Times New Roman" w:hAnsi="Times New Roman" w:cs="Times New Roman"/>
          <w:sz w:val="24"/>
          <w:szCs w:val="24"/>
        </w:rPr>
        <w:t>Wealth management operations in U.S. banking encompass a wide range of financial services aimed at helping clients grow, manage, and protect their wealth.</w:t>
      </w:r>
    </w:p>
    <w:p w14:paraId="151CE1BB" w14:textId="393F2C08" w:rsidR="00B73E86" w:rsidRPr="00B73E86" w:rsidRDefault="00B73E86" w:rsidP="00B73E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E86">
        <w:rPr>
          <w:rFonts w:ascii="Times New Roman" w:eastAsia="Times New Roman" w:hAnsi="Times New Roman" w:cs="Times New Roman"/>
          <w:kern w:val="0"/>
          <w:sz w:val="24"/>
          <w:szCs w:val="24"/>
          <w:lang w:eastAsia="en-IN"/>
          <w14:ligatures w14:val="none"/>
        </w:rPr>
        <w:t> Investment Management</w:t>
      </w:r>
    </w:p>
    <w:p w14:paraId="100C791C" w14:textId="4788FD5B" w:rsidR="00B73E86" w:rsidRPr="00B73E86" w:rsidRDefault="00B73E86" w:rsidP="00B73E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E86">
        <w:rPr>
          <w:rFonts w:ascii="Times New Roman" w:eastAsia="Times New Roman" w:hAnsi="Times New Roman" w:cs="Times New Roman"/>
          <w:kern w:val="0"/>
          <w:sz w:val="24"/>
          <w:szCs w:val="24"/>
          <w:lang w:eastAsia="en-IN"/>
          <w14:ligatures w14:val="none"/>
        </w:rPr>
        <w:t> Financial Planning</w:t>
      </w:r>
    </w:p>
    <w:p w14:paraId="066382B5" w14:textId="4780D748" w:rsidR="00B73E86" w:rsidRPr="00B73E86" w:rsidRDefault="00B73E86" w:rsidP="00B73E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E86">
        <w:rPr>
          <w:rFonts w:ascii="Times New Roman" w:eastAsia="Times New Roman" w:hAnsi="Times New Roman" w:cs="Times New Roman"/>
          <w:kern w:val="0"/>
          <w:sz w:val="24"/>
          <w:szCs w:val="24"/>
          <w:lang w:eastAsia="en-IN"/>
          <w14:ligatures w14:val="none"/>
        </w:rPr>
        <w:t> Trust and Fiduciary Services</w:t>
      </w:r>
    </w:p>
    <w:p w14:paraId="3BAE3F10" w14:textId="2F40A8A8" w:rsidR="00B73E86" w:rsidRPr="00B73E86" w:rsidRDefault="00B73E86" w:rsidP="00B73E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E86">
        <w:rPr>
          <w:rFonts w:ascii="Times New Roman" w:eastAsia="Times New Roman" w:hAnsi="Times New Roman" w:cs="Times New Roman"/>
          <w:kern w:val="0"/>
          <w:sz w:val="24"/>
          <w:szCs w:val="24"/>
          <w:lang w:eastAsia="en-IN"/>
          <w14:ligatures w14:val="none"/>
        </w:rPr>
        <w:t> Private Banking</w:t>
      </w:r>
    </w:p>
    <w:p w14:paraId="26B60B20" w14:textId="063EC66B" w:rsidR="00B73E86" w:rsidRPr="00B73E86" w:rsidRDefault="00B73E86" w:rsidP="00B73E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E86">
        <w:rPr>
          <w:rFonts w:ascii="Times New Roman" w:eastAsia="Times New Roman" w:hAnsi="Times New Roman" w:cs="Times New Roman"/>
          <w:kern w:val="0"/>
          <w:sz w:val="24"/>
          <w:szCs w:val="24"/>
          <w:lang w:eastAsia="en-IN"/>
          <w14:ligatures w14:val="none"/>
        </w:rPr>
        <w:t> Insurance Services</w:t>
      </w:r>
    </w:p>
    <w:p w14:paraId="3AD90132" w14:textId="313CD832" w:rsidR="00B73E86" w:rsidRPr="00B73E86" w:rsidRDefault="00B73E86" w:rsidP="00B73E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E86">
        <w:rPr>
          <w:rFonts w:ascii="Times New Roman" w:eastAsia="Times New Roman" w:hAnsi="Times New Roman" w:cs="Times New Roman"/>
          <w:kern w:val="0"/>
          <w:sz w:val="24"/>
          <w:szCs w:val="24"/>
          <w:lang w:eastAsia="en-IN"/>
          <w14:ligatures w14:val="none"/>
        </w:rPr>
        <w:t> Specialized Advisory Services</w:t>
      </w:r>
    </w:p>
    <w:p w14:paraId="56F09AEF" w14:textId="09A2161B" w:rsidR="00B73E86" w:rsidRPr="00B73E86" w:rsidRDefault="00B73E86" w:rsidP="00B73E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E86">
        <w:rPr>
          <w:rFonts w:ascii="Times New Roman" w:eastAsia="Times New Roman" w:hAnsi="Times New Roman" w:cs="Times New Roman"/>
          <w:kern w:val="0"/>
          <w:sz w:val="24"/>
          <w:szCs w:val="24"/>
          <w:lang w:eastAsia="en-IN"/>
          <w14:ligatures w14:val="none"/>
        </w:rPr>
        <w:t> Client Education and Communication</w:t>
      </w:r>
    </w:p>
    <w:p w14:paraId="3B338543" w14:textId="77777777" w:rsidR="00860502" w:rsidRPr="00B73E86" w:rsidRDefault="00860502">
      <w:pPr>
        <w:rPr>
          <w:rFonts w:ascii="Times New Roman" w:hAnsi="Times New Roman" w:cs="Times New Roman"/>
          <w:b/>
          <w:bCs/>
          <w:sz w:val="36"/>
          <w:szCs w:val="36"/>
          <w:u w:val="thick"/>
          <w:lang w:val="en-US"/>
        </w:rPr>
      </w:pPr>
      <w:r>
        <w:t>As of 2020, the industry's total AUM exceeded $30 trillion, with continued growth expected in the coming years​</w:t>
      </w:r>
      <w:r>
        <w:t xml:space="preserve">  </w:t>
      </w:r>
    </w:p>
    <w:tbl>
      <w:tblPr>
        <w:tblStyle w:val="TableGrid"/>
        <w:tblW w:w="0" w:type="auto"/>
        <w:tblLook w:val="04A0" w:firstRow="1" w:lastRow="0" w:firstColumn="1" w:lastColumn="0" w:noHBand="0" w:noVBand="1"/>
      </w:tblPr>
      <w:tblGrid>
        <w:gridCol w:w="4508"/>
        <w:gridCol w:w="4508"/>
      </w:tblGrid>
      <w:tr w:rsidR="00860502" w14:paraId="6531FAAF" w14:textId="77777777" w:rsidTr="00860502">
        <w:tc>
          <w:tcPr>
            <w:tcW w:w="4508" w:type="dxa"/>
          </w:tcPr>
          <w:p w14:paraId="3620D56B" w14:textId="53653838" w:rsidR="00860502" w:rsidRDefault="00860502">
            <w:pPr>
              <w:rPr>
                <w:rFonts w:ascii="Times New Roman" w:hAnsi="Times New Roman" w:cs="Times New Roman"/>
                <w:b/>
                <w:bCs/>
                <w:sz w:val="36"/>
                <w:szCs w:val="36"/>
                <w:u w:val="thick"/>
                <w:lang w:val="en-US"/>
              </w:rPr>
            </w:pPr>
            <w:r>
              <w:t>Total Assets Under Management (AUM)</w:t>
            </w:r>
          </w:p>
        </w:tc>
        <w:tc>
          <w:tcPr>
            <w:tcW w:w="4508" w:type="dxa"/>
          </w:tcPr>
          <w:p w14:paraId="24A83CD2" w14:textId="1BF4AA7D" w:rsidR="00860502" w:rsidRDefault="00860502">
            <w:pPr>
              <w:rPr>
                <w:rFonts w:ascii="Times New Roman" w:hAnsi="Times New Roman" w:cs="Times New Roman"/>
                <w:b/>
                <w:bCs/>
                <w:sz w:val="36"/>
                <w:szCs w:val="36"/>
                <w:u w:val="thick"/>
                <w:lang w:val="en-US"/>
              </w:rPr>
            </w:pPr>
            <w:r>
              <w:t>Over $30 trillion (2020)</w:t>
            </w:r>
          </w:p>
        </w:tc>
      </w:tr>
      <w:tr w:rsidR="00860502" w14:paraId="40E46A56" w14:textId="77777777" w:rsidTr="00860502">
        <w:tc>
          <w:tcPr>
            <w:tcW w:w="4508" w:type="dxa"/>
          </w:tcPr>
          <w:p w14:paraId="496B06D5" w14:textId="24C75E43" w:rsidR="00860502" w:rsidRDefault="00860502">
            <w:pPr>
              <w:rPr>
                <w:rFonts w:ascii="Times New Roman" w:hAnsi="Times New Roman" w:cs="Times New Roman"/>
                <w:b/>
                <w:bCs/>
                <w:sz w:val="36"/>
                <w:szCs w:val="36"/>
                <w:u w:val="thick"/>
                <w:lang w:val="en-US"/>
              </w:rPr>
            </w:pPr>
            <w:r>
              <w:t>Annual Growth Rate of $10M+ Relationships (RIAs, 2016-2022)</w:t>
            </w:r>
          </w:p>
        </w:tc>
        <w:tc>
          <w:tcPr>
            <w:tcW w:w="4508" w:type="dxa"/>
          </w:tcPr>
          <w:p w14:paraId="29F1EB81" w14:textId="0CC6473A" w:rsidR="00860502" w:rsidRPr="00860502" w:rsidRDefault="00860502">
            <w:pPr>
              <w:rPr>
                <w:rFonts w:ascii="Times New Roman" w:hAnsi="Times New Roman" w:cs="Times New Roman"/>
                <w:sz w:val="24"/>
                <w:szCs w:val="24"/>
                <w:lang w:val="en-US"/>
              </w:rPr>
            </w:pPr>
            <w:r w:rsidRPr="00860502">
              <w:rPr>
                <w:rFonts w:ascii="Times New Roman" w:hAnsi="Times New Roman" w:cs="Times New Roman"/>
                <w:sz w:val="24"/>
                <w:szCs w:val="24"/>
                <w:lang w:val="en-US"/>
              </w:rPr>
              <w:t>13%</w:t>
            </w:r>
          </w:p>
        </w:tc>
      </w:tr>
      <w:tr w:rsidR="00860502" w14:paraId="5000C069" w14:textId="77777777" w:rsidTr="00860502">
        <w:tc>
          <w:tcPr>
            <w:tcW w:w="4508" w:type="dxa"/>
          </w:tcPr>
          <w:p w14:paraId="15D0411B" w14:textId="347EFE81" w:rsidR="00860502" w:rsidRDefault="00860502" w:rsidP="00860502">
            <w:pPr>
              <w:rPr>
                <w:rFonts w:ascii="Times New Roman" w:hAnsi="Times New Roman" w:cs="Times New Roman"/>
                <w:b/>
                <w:bCs/>
                <w:sz w:val="36"/>
                <w:szCs w:val="36"/>
                <w:u w:val="thick"/>
                <w:lang w:val="en-US"/>
              </w:rPr>
            </w:pPr>
            <w:r>
              <w:t>Annual Growth Rate of $10M+ Relationships (</w:t>
            </w:r>
            <w:r w:rsidR="00930047">
              <w:t>Warehouses</w:t>
            </w:r>
            <w:r>
              <w:t>, 2016-2022)</w:t>
            </w:r>
          </w:p>
        </w:tc>
        <w:tc>
          <w:tcPr>
            <w:tcW w:w="4508" w:type="dxa"/>
          </w:tcPr>
          <w:p w14:paraId="715E76CE" w14:textId="043FBB02" w:rsidR="00860502" w:rsidRDefault="00860502" w:rsidP="00860502">
            <w:pPr>
              <w:rPr>
                <w:rFonts w:ascii="Times New Roman" w:hAnsi="Times New Roman" w:cs="Times New Roman"/>
                <w:b/>
                <w:bCs/>
                <w:sz w:val="36"/>
                <w:szCs w:val="36"/>
                <w:u w:val="thick"/>
                <w:lang w:val="en-US"/>
              </w:rPr>
            </w:pPr>
            <w:r>
              <w:t>8%</w:t>
            </w:r>
          </w:p>
        </w:tc>
      </w:tr>
      <w:tr w:rsidR="00860502" w14:paraId="5588D5EB" w14:textId="77777777" w:rsidTr="00860502">
        <w:tc>
          <w:tcPr>
            <w:tcW w:w="4508" w:type="dxa"/>
          </w:tcPr>
          <w:p w14:paraId="47E2547C" w14:textId="373A5284" w:rsidR="00860502" w:rsidRDefault="00860502">
            <w:pPr>
              <w:rPr>
                <w:rFonts w:ascii="Times New Roman" w:hAnsi="Times New Roman" w:cs="Times New Roman"/>
                <w:b/>
                <w:bCs/>
                <w:sz w:val="36"/>
                <w:szCs w:val="36"/>
                <w:u w:val="thick"/>
                <w:lang w:val="en-US"/>
              </w:rPr>
            </w:pPr>
            <w:r>
              <w:t>Projected AUM Managed by Digital Platforms (2024)</w:t>
            </w:r>
          </w:p>
        </w:tc>
        <w:tc>
          <w:tcPr>
            <w:tcW w:w="4508" w:type="dxa"/>
          </w:tcPr>
          <w:p w14:paraId="50CFF8CE" w14:textId="6CD0E83E" w:rsidR="00860502" w:rsidRDefault="00860502">
            <w:pPr>
              <w:rPr>
                <w:rFonts w:ascii="Times New Roman" w:hAnsi="Times New Roman" w:cs="Times New Roman"/>
                <w:b/>
                <w:bCs/>
                <w:sz w:val="36"/>
                <w:szCs w:val="36"/>
                <w:u w:val="thick"/>
                <w:lang w:val="en-US"/>
              </w:rPr>
            </w:pPr>
            <w:r>
              <w:t>$1.26 trillion</w:t>
            </w:r>
          </w:p>
        </w:tc>
      </w:tr>
      <w:tr w:rsidR="00860502" w14:paraId="6655653F" w14:textId="77777777" w:rsidTr="00860502">
        <w:tc>
          <w:tcPr>
            <w:tcW w:w="4508" w:type="dxa"/>
          </w:tcPr>
          <w:p w14:paraId="7D838577" w14:textId="0C0E0215" w:rsidR="00860502" w:rsidRDefault="00860502">
            <w:pPr>
              <w:rPr>
                <w:rFonts w:ascii="Times New Roman" w:hAnsi="Times New Roman" w:cs="Times New Roman"/>
                <w:b/>
                <w:bCs/>
                <w:sz w:val="36"/>
                <w:szCs w:val="36"/>
                <w:u w:val="thick"/>
                <w:lang w:val="en-US"/>
              </w:rPr>
            </w:pPr>
            <w:r>
              <w:t>Expected AUM Managed by Robo-Advisors (2022)</w:t>
            </w:r>
          </w:p>
        </w:tc>
        <w:tc>
          <w:tcPr>
            <w:tcW w:w="4508" w:type="dxa"/>
          </w:tcPr>
          <w:p w14:paraId="39A4120E" w14:textId="6BA9C4B4" w:rsidR="00860502" w:rsidRDefault="00860502">
            <w:pPr>
              <w:rPr>
                <w:rFonts w:ascii="Times New Roman" w:hAnsi="Times New Roman" w:cs="Times New Roman"/>
                <w:b/>
                <w:bCs/>
                <w:sz w:val="36"/>
                <w:szCs w:val="36"/>
                <w:u w:val="thick"/>
                <w:lang w:val="en-US"/>
              </w:rPr>
            </w:pPr>
            <w:r>
              <w:t>$1.4 trillion</w:t>
            </w:r>
          </w:p>
        </w:tc>
      </w:tr>
      <w:tr w:rsidR="00860502" w14:paraId="2095D43B" w14:textId="77777777" w:rsidTr="00860502">
        <w:tc>
          <w:tcPr>
            <w:tcW w:w="4508" w:type="dxa"/>
          </w:tcPr>
          <w:p w14:paraId="751A0AA2" w14:textId="6B7AE6D5" w:rsidR="00860502" w:rsidRDefault="00860502" w:rsidP="00860502">
            <w:pPr>
              <w:rPr>
                <w:rFonts w:ascii="Times New Roman" w:hAnsi="Times New Roman" w:cs="Times New Roman"/>
                <w:b/>
                <w:bCs/>
                <w:sz w:val="36"/>
                <w:szCs w:val="36"/>
                <w:u w:val="thick"/>
                <w:lang w:val="en-US"/>
              </w:rPr>
            </w:pPr>
            <w:r>
              <w:t>Number of Registered Investment Advisors (RIAs)</w:t>
            </w:r>
          </w:p>
        </w:tc>
        <w:tc>
          <w:tcPr>
            <w:tcW w:w="4508" w:type="dxa"/>
          </w:tcPr>
          <w:p w14:paraId="0316E683" w14:textId="2559D40A" w:rsidR="00860502" w:rsidRDefault="00860502">
            <w:pPr>
              <w:rPr>
                <w:rFonts w:ascii="Times New Roman" w:hAnsi="Times New Roman" w:cs="Times New Roman"/>
                <w:b/>
                <w:bCs/>
                <w:sz w:val="36"/>
                <w:szCs w:val="36"/>
                <w:u w:val="thick"/>
                <w:lang w:val="en-US"/>
              </w:rPr>
            </w:pPr>
            <w:r>
              <w:t>More than 16,000</w:t>
            </w:r>
          </w:p>
        </w:tc>
      </w:tr>
      <w:tr w:rsidR="00860502" w14:paraId="7BEF6314" w14:textId="77777777" w:rsidTr="00860502">
        <w:tc>
          <w:tcPr>
            <w:tcW w:w="4508" w:type="dxa"/>
          </w:tcPr>
          <w:p w14:paraId="2EFBAE75" w14:textId="357FA4EF" w:rsidR="00860502" w:rsidRDefault="00860502">
            <w:pPr>
              <w:rPr>
                <w:rFonts w:ascii="Times New Roman" w:hAnsi="Times New Roman" w:cs="Times New Roman"/>
                <w:b/>
                <w:bCs/>
                <w:sz w:val="36"/>
                <w:szCs w:val="36"/>
                <w:u w:val="thick"/>
                <w:lang w:val="en-US"/>
              </w:rPr>
            </w:pPr>
            <w:r>
              <w:t>Average Client Attrition Rate</w:t>
            </w:r>
          </w:p>
        </w:tc>
        <w:tc>
          <w:tcPr>
            <w:tcW w:w="4508" w:type="dxa"/>
          </w:tcPr>
          <w:p w14:paraId="086092E0" w14:textId="17A5C6C6" w:rsidR="00860502" w:rsidRPr="00860502" w:rsidRDefault="00860502">
            <w:pPr>
              <w:rPr>
                <w:rFonts w:ascii="Times New Roman" w:hAnsi="Times New Roman" w:cs="Times New Roman"/>
                <w:sz w:val="36"/>
                <w:szCs w:val="36"/>
                <w:lang w:val="en-US"/>
              </w:rPr>
            </w:pPr>
            <w:r w:rsidRPr="00860502">
              <w:rPr>
                <w:rFonts w:ascii="Times New Roman" w:hAnsi="Times New Roman" w:cs="Times New Roman"/>
                <w:sz w:val="24"/>
                <w:szCs w:val="24"/>
                <w:lang w:val="en-US"/>
              </w:rPr>
              <w:t>8%</w:t>
            </w:r>
          </w:p>
        </w:tc>
      </w:tr>
      <w:tr w:rsidR="00860502" w14:paraId="6040480E" w14:textId="77777777" w:rsidTr="00860502">
        <w:tc>
          <w:tcPr>
            <w:tcW w:w="4508" w:type="dxa"/>
          </w:tcPr>
          <w:p w14:paraId="70168A29" w14:textId="7BBAE7D8" w:rsidR="00860502" w:rsidRDefault="00860502">
            <w:r>
              <w:t>Portion of Millennial Investors Using Robo-Advisors</w:t>
            </w:r>
          </w:p>
        </w:tc>
        <w:tc>
          <w:tcPr>
            <w:tcW w:w="4508" w:type="dxa"/>
          </w:tcPr>
          <w:p w14:paraId="2BBF2D79" w14:textId="324E2BB7" w:rsidR="00860502" w:rsidRPr="00860502" w:rsidRDefault="00860502">
            <w:pPr>
              <w:rPr>
                <w:rFonts w:ascii="Times New Roman" w:hAnsi="Times New Roman" w:cs="Times New Roman"/>
                <w:sz w:val="24"/>
                <w:szCs w:val="24"/>
                <w:lang w:val="en-US"/>
              </w:rPr>
            </w:pPr>
            <w:r>
              <w:rPr>
                <w:rFonts w:ascii="Times New Roman" w:hAnsi="Times New Roman" w:cs="Times New Roman"/>
                <w:sz w:val="24"/>
                <w:szCs w:val="24"/>
                <w:lang w:val="en-US"/>
              </w:rPr>
              <w:t>45%</w:t>
            </w:r>
          </w:p>
        </w:tc>
      </w:tr>
      <w:tr w:rsidR="00860502" w14:paraId="11F59783" w14:textId="77777777" w:rsidTr="00860502">
        <w:tc>
          <w:tcPr>
            <w:tcW w:w="4508" w:type="dxa"/>
          </w:tcPr>
          <w:p w14:paraId="3D25011D" w14:textId="1A35A566" w:rsidR="00860502" w:rsidRDefault="00860502">
            <w:r>
              <w:t>Proportion of Investment Portfolios Held in Equities by Wealthy Investors</w:t>
            </w:r>
          </w:p>
        </w:tc>
        <w:tc>
          <w:tcPr>
            <w:tcW w:w="4508" w:type="dxa"/>
          </w:tcPr>
          <w:p w14:paraId="4FA898AA" w14:textId="6669BA54" w:rsidR="00860502" w:rsidRPr="00860502" w:rsidRDefault="00860502">
            <w:pPr>
              <w:rPr>
                <w:rFonts w:ascii="Times New Roman" w:hAnsi="Times New Roman" w:cs="Times New Roman"/>
                <w:sz w:val="24"/>
                <w:szCs w:val="24"/>
                <w:lang w:val="en-US"/>
              </w:rPr>
            </w:pPr>
            <w:r>
              <w:t>32.2%</w:t>
            </w:r>
          </w:p>
        </w:tc>
      </w:tr>
      <w:tr w:rsidR="00860502" w14:paraId="02B41BC7" w14:textId="77777777" w:rsidTr="00860502">
        <w:tc>
          <w:tcPr>
            <w:tcW w:w="4508" w:type="dxa"/>
          </w:tcPr>
          <w:p w14:paraId="4C894DD4" w14:textId="373C8ECC" w:rsidR="00860502" w:rsidRDefault="00860502">
            <w:r>
              <w:t>New Clients Gained During the Pandemic</w:t>
            </w:r>
          </w:p>
        </w:tc>
        <w:tc>
          <w:tcPr>
            <w:tcW w:w="4508" w:type="dxa"/>
          </w:tcPr>
          <w:p w14:paraId="4A7B9947" w14:textId="09868400" w:rsidR="00860502" w:rsidRPr="00860502" w:rsidRDefault="00860502">
            <w:pPr>
              <w:rPr>
                <w:rFonts w:ascii="Times New Roman" w:hAnsi="Times New Roman" w:cs="Times New Roman"/>
                <w:sz w:val="24"/>
                <w:szCs w:val="24"/>
                <w:lang w:val="en-US"/>
              </w:rPr>
            </w:pPr>
            <w:r>
              <w:t>Over 5 million</w:t>
            </w:r>
          </w:p>
        </w:tc>
      </w:tr>
      <w:tr w:rsidR="00860502" w14:paraId="27090C01" w14:textId="77777777" w:rsidTr="00860502">
        <w:tc>
          <w:tcPr>
            <w:tcW w:w="4508" w:type="dxa"/>
          </w:tcPr>
          <w:p w14:paraId="18247882" w14:textId="02F0287D" w:rsidR="00860502" w:rsidRDefault="00860502" w:rsidP="00860502">
            <w:pPr>
              <w:tabs>
                <w:tab w:val="left" w:pos="3333"/>
              </w:tabs>
            </w:pPr>
            <w:r>
              <w:t>Projected Wealth Transfer from Baby Boomers to Millennials (Next 25 Years)</w:t>
            </w:r>
          </w:p>
        </w:tc>
        <w:tc>
          <w:tcPr>
            <w:tcW w:w="4508" w:type="dxa"/>
          </w:tcPr>
          <w:p w14:paraId="4A2FCE45" w14:textId="4F57B968" w:rsidR="00860502" w:rsidRPr="00860502" w:rsidRDefault="00860502">
            <w:pPr>
              <w:rPr>
                <w:rFonts w:ascii="Times New Roman" w:hAnsi="Times New Roman" w:cs="Times New Roman"/>
                <w:sz w:val="24"/>
                <w:szCs w:val="24"/>
                <w:lang w:val="en-US"/>
              </w:rPr>
            </w:pPr>
            <w:r>
              <w:t>$41 trillion</w:t>
            </w:r>
          </w:p>
        </w:tc>
      </w:tr>
      <w:tr w:rsidR="00860502" w14:paraId="76A37F6C" w14:textId="77777777" w:rsidTr="00860502">
        <w:tc>
          <w:tcPr>
            <w:tcW w:w="4508" w:type="dxa"/>
          </w:tcPr>
          <w:p w14:paraId="183CEBEC" w14:textId="16D8FB59" w:rsidR="00860502" w:rsidRDefault="00EA06A1" w:rsidP="00EA06A1">
            <w:pPr>
              <w:tabs>
                <w:tab w:val="left" w:pos="3429"/>
              </w:tabs>
            </w:pPr>
            <w:r>
              <w:t>Portion of Net New Money from Female Clients (2020)</w:t>
            </w:r>
          </w:p>
        </w:tc>
        <w:tc>
          <w:tcPr>
            <w:tcW w:w="4508" w:type="dxa"/>
          </w:tcPr>
          <w:p w14:paraId="74337F31" w14:textId="3E7A9197" w:rsidR="00860502" w:rsidRPr="00860502" w:rsidRDefault="00EA06A1" w:rsidP="00EA06A1">
            <w:pPr>
              <w:tabs>
                <w:tab w:val="left" w:pos="2715"/>
              </w:tabs>
              <w:rPr>
                <w:rFonts w:ascii="Times New Roman" w:hAnsi="Times New Roman" w:cs="Times New Roman"/>
                <w:sz w:val="24"/>
                <w:szCs w:val="24"/>
                <w:lang w:val="en-US"/>
              </w:rPr>
            </w:pPr>
            <w:r>
              <w:t>65%</w:t>
            </w:r>
          </w:p>
        </w:tc>
      </w:tr>
      <w:tr w:rsidR="00860502" w14:paraId="4B1D6564" w14:textId="77777777" w:rsidTr="00860502">
        <w:tc>
          <w:tcPr>
            <w:tcW w:w="4508" w:type="dxa"/>
          </w:tcPr>
          <w:p w14:paraId="6C709A4F" w14:textId="3EBC5F7C" w:rsidR="00860502" w:rsidRDefault="00EA06A1">
            <w:r>
              <w:t>Portion of Wealth Management Firms Using Data Analysis for Growth</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tblGrid>
            <w:tr w:rsidR="00EA06A1" w:rsidRPr="00EA06A1" w14:paraId="21C7A160" w14:textId="77777777" w:rsidTr="00EA06A1">
              <w:trPr>
                <w:tblCellSpacing w:w="15" w:type="dxa"/>
              </w:trPr>
              <w:tc>
                <w:tcPr>
                  <w:tcW w:w="0" w:type="auto"/>
                  <w:vAlign w:val="center"/>
                  <w:hideMark/>
                </w:tcPr>
                <w:p w14:paraId="31A4FE96" w14:textId="77777777" w:rsidR="00EA06A1" w:rsidRPr="00EA06A1" w:rsidRDefault="00EA06A1" w:rsidP="00EA06A1">
                  <w:pPr>
                    <w:spacing w:after="0" w:line="240" w:lineRule="auto"/>
                    <w:rPr>
                      <w:rFonts w:ascii="Times New Roman" w:eastAsia="Times New Roman" w:hAnsi="Times New Roman" w:cs="Times New Roman"/>
                      <w:kern w:val="0"/>
                      <w:sz w:val="24"/>
                      <w:szCs w:val="24"/>
                      <w:lang w:eastAsia="en-IN"/>
                      <w14:ligatures w14:val="none"/>
                    </w:rPr>
                  </w:pPr>
                  <w:r w:rsidRPr="00EA06A1">
                    <w:rPr>
                      <w:rFonts w:ascii="Times New Roman" w:eastAsia="Times New Roman" w:hAnsi="Times New Roman" w:cs="Times New Roman"/>
                      <w:kern w:val="0"/>
                      <w:sz w:val="24"/>
                      <w:szCs w:val="24"/>
                      <w:lang w:eastAsia="en-IN"/>
                      <w14:ligatures w14:val="none"/>
                    </w:rPr>
                    <w:t>45%</w:t>
                  </w:r>
                </w:p>
              </w:tc>
            </w:tr>
          </w:tbl>
          <w:p w14:paraId="0286B466" w14:textId="77777777" w:rsidR="00EA06A1" w:rsidRPr="00EA06A1" w:rsidRDefault="00EA06A1" w:rsidP="00EA06A1">
            <w:pPr>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06A1" w:rsidRPr="00EA06A1" w14:paraId="55BA1A52" w14:textId="77777777" w:rsidTr="00EA06A1">
              <w:trPr>
                <w:tblCellSpacing w:w="15" w:type="dxa"/>
              </w:trPr>
              <w:tc>
                <w:tcPr>
                  <w:tcW w:w="0" w:type="auto"/>
                  <w:vAlign w:val="center"/>
                  <w:hideMark/>
                </w:tcPr>
                <w:p w14:paraId="04C35C57" w14:textId="77777777" w:rsidR="00EA06A1" w:rsidRPr="00EA06A1" w:rsidRDefault="00EA06A1" w:rsidP="00EA06A1">
                  <w:pPr>
                    <w:spacing w:after="0" w:line="240" w:lineRule="auto"/>
                    <w:rPr>
                      <w:rFonts w:ascii="Times New Roman" w:eastAsia="Times New Roman" w:hAnsi="Times New Roman" w:cs="Times New Roman"/>
                      <w:kern w:val="0"/>
                      <w:sz w:val="24"/>
                      <w:szCs w:val="24"/>
                      <w:lang w:eastAsia="en-IN"/>
                      <w14:ligatures w14:val="none"/>
                    </w:rPr>
                  </w:pPr>
                </w:p>
              </w:tc>
            </w:tr>
          </w:tbl>
          <w:p w14:paraId="36DCAE74" w14:textId="6F4B2A5C" w:rsidR="00860502" w:rsidRPr="00860502" w:rsidRDefault="00860502" w:rsidP="00EA06A1">
            <w:pPr>
              <w:tabs>
                <w:tab w:val="left" w:pos="3195"/>
              </w:tabs>
              <w:rPr>
                <w:rFonts w:ascii="Times New Roman" w:hAnsi="Times New Roman" w:cs="Times New Roman"/>
                <w:sz w:val="24"/>
                <w:szCs w:val="24"/>
                <w:lang w:val="en-US"/>
              </w:rPr>
            </w:pPr>
          </w:p>
        </w:tc>
      </w:tr>
      <w:tr w:rsidR="00860502" w14:paraId="37D0E618" w14:textId="77777777" w:rsidTr="00860502">
        <w:tc>
          <w:tcPr>
            <w:tcW w:w="4508" w:type="dxa"/>
          </w:tcPr>
          <w:p w14:paraId="5A98EB70" w14:textId="4C796D8D" w:rsidR="00860502" w:rsidRDefault="00EA06A1">
            <w:r>
              <w:t>Percentage of Clients Willing to Pay More for Personalized Advice</w:t>
            </w:r>
          </w:p>
        </w:tc>
        <w:tc>
          <w:tcPr>
            <w:tcW w:w="4508" w:type="dxa"/>
          </w:tcPr>
          <w:p w14:paraId="378D03A0" w14:textId="2E71E5A8" w:rsidR="00860502" w:rsidRPr="00860502" w:rsidRDefault="00EA06A1">
            <w:pPr>
              <w:rPr>
                <w:rFonts w:ascii="Times New Roman" w:hAnsi="Times New Roman" w:cs="Times New Roman"/>
                <w:sz w:val="24"/>
                <w:szCs w:val="24"/>
                <w:lang w:val="en-US"/>
              </w:rPr>
            </w:pPr>
            <w:r>
              <w:t>20%</w:t>
            </w:r>
          </w:p>
        </w:tc>
      </w:tr>
      <w:tr w:rsidR="00860502" w14:paraId="7F3DE2C0" w14:textId="77777777" w:rsidTr="00860502">
        <w:tc>
          <w:tcPr>
            <w:tcW w:w="4508" w:type="dxa"/>
          </w:tcPr>
          <w:p w14:paraId="0C076D3F" w14:textId="492FD770" w:rsidR="00860502" w:rsidRDefault="00EA06A1">
            <w:r>
              <w:t>Average Age of Financial Advisors in the U.S.</w:t>
            </w:r>
          </w:p>
        </w:tc>
        <w:tc>
          <w:tcPr>
            <w:tcW w:w="4508" w:type="dxa"/>
          </w:tcPr>
          <w:p w14:paraId="13F6D45E" w14:textId="330A9734" w:rsidR="00860502" w:rsidRPr="00860502" w:rsidRDefault="00EA06A1" w:rsidP="00EA06A1">
            <w:pPr>
              <w:tabs>
                <w:tab w:val="left" w:pos="3525"/>
              </w:tabs>
              <w:rPr>
                <w:rFonts w:ascii="Times New Roman" w:hAnsi="Times New Roman" w:cs="Times New Roman"/>
                <w:sz w:val="24"/>
                <w:szCs w:val="24"/>
                <w:lang w:val="en-US"/>
              </w:rPr>
            </w:pPr>
            <w:r>
              <w:t>55 years</w:t>
            </w:r>
          </w:p>
        </w:tc>
      </w:tr>
    </w:tbl>
    <w:p w14:paraId="4D659BA8" w14:textId="4F28D83E" w:rsidR="00B73E86" w:rsidRDefault="00EA06A1" w:rsidP="00274C07">
      <w:pPr>
        <w:jc w:val="center"/>
        <w:rPr>
          <w:rFonts w:ascii="Times New Roman" w:hAnsi="Times New Roman" w:cs="Times New Roman"/>
          <w:sz w:val="24"/>
          <w:szCs w:val="24"/>
          <w:lang w:val="en-US"/>
        </w:rPr>
      </w:pPr>
      <w:r w:rsidRPr="00930047">
        <w:rPr>
          <w:rFonts w:ascii="Times New Roman" w:hAnsi="Times New Roman" w:cs="Times New Roman"/>
          <w:sz w:val="36"/>
          <w:szCs w:val="36"/>
          <w:lang w:val="en-US"/>
        </w:rPr>
        <w:lastRenderedPageBreak/>
        <w:drawing>
          <wp:inline distT="0" distB="0" distL="0" distR="0" wp14:anchorId="6CFCB071" wp14:editId="6F722026">
            <wp:extent cx="5731510" cy="3431177"/>
            <wp:effectExtent l="0" t="0" r="2540" b="0"/>
            <wp:docPr id="1169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433" name=""/>
                    <pic:cNvPicPr/>
                  </pic:nvPicPr>
                  <pic:blipFill rotWithShape="1">
                    <a:blip r:embed="rId5"/>
                    <a:srcRect b="4058"/>
                    <a:stretch/>
                  </pic:blipFill>
                  <pic:spPr bwMode="auto">
                    <a:xfrm>
                      <a:off x="0" y="0"/>
                      <a:ext cx="5731510" cy="3431177"/>
                    </a:xfrm>
                    <a:prstGeom prst="rect">
                      <a:avLst/>
                    </a:prstGeom>
                    <a:ln>
                      <a:noFill/>
                    </a:ln>
                    <a:extLst>
                      <a:ext uri="{53640926-AAD7-44D8-BBD7-CCE9431645EC}">
                        <a14:shadowObscured xmlns:a14="http://schemas.microsoft.com/office/drawing/2010/main"/>
                      </a:ext>
                    </a:extLst>
                  </pic:spPr>
                </pic:pic>
              </a:graphicData>
            </a:graphic>
          </wp:inline>
        </w:drawing>
      </w:r>
    </w:p>
    <w:p w14:paraId="6ADB8C65" w14:textId="15E12BCC" w:rsidR="00DC175E" w:rsidRPr="00DC175E" w:rsidRDefault="00DC175E">
      <w:pPr>
        <w:rPr>
          <w:rFonts w:ascii="Times New Roman" w:hAnsi="Times New Roman" w:cs="Times New Roman"/>
          <w:b/>
          <w:bCs/>
          <w:sz w:val="36"/>
          <w:szCs w:val="36"/>
          <w:u w:val="thick"/>
          <w:lang w:val="en-US"/>
        </w:rPr>
      </w:pPr>
      <w:r w:rsidRPr="00DC175E">
        <w:rPr>
          <w:rFonts w:ascii="Times New Roman" w:hAnsi="Times New Roman" w:cs="Times New Roman"/>
          <w:b/>
          <w:bCs/>
          <w:sz w:val="36"/>
          <w:szCs w:val="36"/>
          <w:u w:val="thick"/>
          <w:lang w:val="en-US"/>
        </w:rPr>
        <w:t>TREASURY MANAGEMENT SERVICES</w:t>
      </w:r>
    </w:p>
    <w:p w14:paraId="01734A86" w14:textId="77777777" w:rsidR="00DC175E" w:rsidRDefault="00DC175E" w:rsidP="00DC175E">
      <w:pPr>
        <w:pStyle w:val="NormalWeb"/>
      </w:pPr>
      <w:r>
        <w:t>Treasury management operations of US banks encompass a variety of services designed to optimize a company’s liquidity, manage cash flow, and mitigate financial risks.</w:t>
      </w:r>
    </w:p>
    <w:p w14:paraId="1ECB44DF" w14:textId="35510D2D" w:rsidR="00DC175E" w:rsidRDefault="00DC175E" w:rsidP="00DC175E">
      <w:pPr>
        <w:pStyle w:val="NormalWeb"/>
        <w:numPr>
          <w:ilvl w:val="0"/>
          <w:numId w:val="10"/>
        </w:numPr>
      </w:pPr>
      <w:r>
        <w:rPr>
          <w:rStyle w:val="Strong"/>
        </w:rPr>
        <w:t>Cash Management</w:t>
      </w:r>
      <w:r>
        <w:t>: Efficient handling of a company’s cash inflows and outflows to ensure adequate liquidity. This involves techniques like cash concentration, zero balance accounts, and notional pooling.</w:t>
      </w:r>
    </w:p>
    <w:p w14:paraId="771DE6DD" w14:textId="77777777" w:rsidR="00DC175E" w:rsidRDefault="00DC175E" w:rsidP="00DC175E">
      <w:pPr>
        <w:pStyle w:val="NormalWeb"/>
        <w:numPr>
          <w:ilvl w:val="0"/>
          <w:numId w:val="10"/>
        </w:numPr>
      </w:pPr>
      <w:r>
        <w:rPr>
          <w:rStyle w:val="Strong"/>
        </w:rPr>
        <w:t>Payments and Receivables</w:t>
      </w:r>
      <w:r>
        <w:t>: Streamlined processes for managing incoming and outgoing payments, including automated clearing house (ACH) transactions, wire transfers, and electronic funds transfers (EFT).</w:t>
      </w:r>
    </w:p>
    <w:p w14:paraId="512EB3E8" w14:textId="77777777" w:rsidR="00DC175E" w:rsidRDefault="00DC175E" w:rsidP="00DC175E">
      <w:pPr>
        <w:pStyle w:val="NormalWeb"/>
        <w:numPr>
          <w:ilvl w:val="0"/>
          <w:numId w:val="10"/>
        </w:numPr>
      </w:pPr>
      <w:r>
        <w:rPr>
          <w:rStyle w:val="Strong"/>
        </w:rPr>
        <w:t>Liquidity Management</w:t>
      </w:r>
      <w:r>
        <w:t>: Strategies to optimize the use of a company’s liquid assets. This includes short-term investments, money market funds, and commercial paper.</w:t>
      </w:r>
    </w:p>
    <w:p w14:paraId="07B89C6F" w14:textId="77777777" w:rsidR="00DC175E" w:rsidRDefault="00DC175E" w:rsidP="00DC175E">
      <w:pPr>
        <w:pStyle w:val="NormalWeb"/>
        <w:numPr>
          <w:ilvl w:val="0"/>
          <w:numId w:val="10"/>
        </w:numPr>
      </w:pPr>
      <w:r>
        <w:rPr>
          <w:rStyle w:val="Strong"/>
        </w:rPr>
        <w:t>Trade and Supply Chain Finance</w:t>
      </w:r>
      <w:r>
        <w:t>: Solutions like letters of credit, trade financing, and supply chain financing to support international trade and domestic supplier relationships.</w:t>
      </w:r>
    </w:p>
    <w:p w14:paraId="5055F6EF" w14:textId="77777777" w:rsidR="00DC175E" w:rsidRDefault="00DC175E" w:rsidP="00DC175E">
      <w:pPr>
        <w:pStyle w:val="NormalWeb"/>
        <w:numPr>
          <w:ilvl w:val="0"/>
          <w:numId w:val="10"/>
        </w:numPr>
      </w:pPr>
      <w:r>
        <w:rPr>
          <w:rStyle w:val="Strong"/>
        </w:rPr>
        <w:t>Risk Management</w:t>
      </w:r>
      <w:r>
        <w:t>: Tools and strategies to hedge against financial risks such as foreign exchange risk, interest rate risk, and commodity price risk. This may involve the use of derivatives like forwards, futures, options, and swaps.</w:t>
      </w:r>
    </w:p>
    <w:p w14:paraId="0CEF19E6" w14:textId="77777777" w:rsidR="00DC175E" w:rsidRDefault="00DC175E" w:rsidP="00DC175E">
      <w:pPr>
        <w:pStyle w:val="NormalWeb"/>
        <w:numPr>
          <w:ilvl w:val="0"/>
          <w:numId w:val="10"/>
        </w:numPr>
      </w:pPr>
      <w:r>
        <w:rPr>
          <w:rStyle w:val="Strong"/>
        </w:rPr>
        <w:t>Account Reconciliation</w:t>
      </w:r>
      <w:r>
        <w:t>: Services that help companies reconcile their bank statements with their internal accounting records to ensure accuracy and identify discrepancies.</w:t>
      </w:r>
    </w:p>
    <w:p w14:paraId="4BC155AF" w14:textId="77777777" w:rsidR="00DC175E" w:rsidRDefault="00DC175E" w:rsidP="00DC175E">
      <w:pPr>
        <w:pStyle w:val="NormalWeb"/>
        <w:numPr>
          <w:ilvl w:val="0"/>
          <w:numId w:val="10"/>
        </w:numPr>
      </w:pPr>
      <w:r>
        <w:rPr>
          <w:rStyle w:val="Strong"/>
        </w:rPr>
        <w:t>Fraud Protection</w:t>
      </w:r>
      <w:r>
        <w:t>: Measures to protect against fraudulent activities, including positive pay, ACH debit blocks, and dual authorization for transactions.</w:t>
      </w:r>
    </w:p>
    <w:p w14:paraId="5300FF34" w14:textId="77777777" w:rsidR="00DC175E" w:rsidRDefault="00DC175E" w:rsidP="00DC175E">
      <w:pPr>
        <w:pStyle w:val="NormalWeb"/>
        <w:numPr>
          <w:ilvl w:val="0"/>
          <w:numId w:val="10"/>
        </w:numPr>
      </w:pPr>
      <w:r>
        <w:rPr>
          <w:rStyle w:val="Strong"/>
        </w:rPr>
        <w:t>Information Reporting</w:t>
      </w:r>
      <w:r>
        <w:t>: Providing timely and accurate financial information through online banking platforms, dashboards, and custom reports to aid in decision-making.</w:t>
      </w:r>
    </w:p>
    <w:p w14:paraId="66B713BF" w14:textId="69FEC855" w:rsidR="00DC175E" w:rsidRDefault="00DC175E" w:rsidP="00274C07">
      <w:pPr>
        <w:jc w:val="center"/>
        <w:rPr>
          <w:rFonts w:ascii="Times New Roman" w:hAnsi="Times New Roman" w:cs="Times New Roman"/>
          <w:sz w:val="24"/>
          <w:szCs w:val="24"/>
          <w:lang w:val="en-US"/>
        </w:rPr>
      </w:pPr>
      <w:r w:rsidRPr="00DC175E">
        <w:rPr>
          <w:rFonts w:ascii="Times New Roman" w:hAnsi="Times New Roman" w:cs="Times New Roman"/>
          <w:sz w:val="24"/>
          <w:szCs w:val="24"/>
          <w:lang w:val="en-US"/>
        </w:rPr>
        <w:lastRenderedPageBreak/>
        <w:drawing>
          <wp:inline distT="0" distB="0" distL="0" distR="0" wp14:anchorId="6E585891" wp14:editId="49A78899">
            <wp:extent cx="5083617" cy="3675017"/>
            <wp:effectExtent l="0" t="0" r="3175" b="1905"/>
            <wp:docPr id="76340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04970" name=""/>
                    <pic:cNvPicPr/>
                  </pic:nvPicPr>
                  <pic:blipFill>
                    <a:blip r:embed="rId6"/>
                    <a:stretch>
                      <a:fillRect/>
                    </a:stretch>
                  </pic:blipFill>
                  <pic:spPr>
                    <a:xfrm>
                      <a:off x="0" y="0"/>
                      <a:ext cx="5190796" cy="3752498"/>
                    </a:xfrm>
                    <a:prstGeom prst="rect">
                      <a:avLst/>
                    </a:prstGeom>
                  </pic:spPr>
                </pic:pic>
              </a:graphicData>
            </a:graphic>
          </wp:inline>
        </w:drawing>
      </w:r>
    </w:p>
    <w:p w14:paraId="6E035608" w14:textId="1BF90961" w:rsidR="00793863" w:rsidRPr="00793863" w:rsidRDefault="00793863">
      <w:pPr>
        <w:rPr>
          <w:rFonts w:ascii="Times New Roman" w:hAnsi="Times New Roman" w:cs="Times New Roman"/>
          <w:b/>
          <w:bCs/>
          <w:sz w:val="36"/>
          <w:szCs w:val="36"/>
          <w:u w:val="thick"/>
          <w:lang w:val="en-US"/>
        </w:rPr>
      </w:pPr>
      <w:r w:rsidRPr="00793863">
        <w:rPr>
          <w:rFonts w:ascii="Times New Roman" w:hAnsi="Times New Roman" w:cs="Times New Roman"/>
          <w:b/>
          <w:bCs/>
          <w:sz w:val="36"/>
          <w:szCs w:val="36"/>
          <w:u w:val="thick"/>
          <w:lang w:val="en-US"/>
        </w:rPr>
        <w:t>RISK MANAGEMENT OPERATIONS</w:t>
      </w:r>
    </w:p>
    <w:p w14:paraId="792D282E" w14:textId="77777777" w:rsidR="00793863" w:rsidRPr="00793863" w:rsidRDefault="00793863"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863">
        <w:rPr>
          <w:rFonts w:ascii="Times New Roman" w:eastAsia="Times New Roman" w:hAnsi="Times New Roman" w:cs="Times New Roman"/>
          <w:kern w:val="0"/>
          <w:sz w:val="24"/>
          <w:szCs w:val="24"/>
          <w:lang w:eastAsia="en-IN"/>
          <w14:ligatures w14:val="none"/>
        </w:rPr>
        <w:t>Risk management in US banking operations involves systematically identifying, assessing, and mitigating potential risks to ensure financial stability and compliance. The primary types of risks managed include:</w:t>
      </w:r>
    </w:p>
    <w:p w14:paraId="546B6CD6" w14:textId="77777777" w:rsidR="00793863" w:rsidRPr="00793863" w:rsidRDefault="00793863" w:rsidP="007938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863">
        <w:rPr>
          <w:rFonts w:ascii="Times New Roman" w:eastAsia="Times New Roman" w:hAnsi="Times New Roman" w:cs="Times New Roman"/>
          <w:b/>
          <w:bCs/>
          <w:kern w:val="0"/>
          <w:sz w:val="24"/>
          <w:szCs w:val="24"/>
          <w:lang w:eastAsia="en-IN"/>
          <w14:ligatures w14:val="none"/>
        </w:rPr>
        <w:t>Credit Risk</w:t>
      </w:r>
      <w:r w:rsidRPr="00793863">
        <w:rPr>
          <w:rFonts w:ascii="Times New Roman" w:eastAsia="Times New Roman" w:hAnsi="Times New Roman" w:cs="Times New Roman"/>
          <w:kern w:val="0"/>
          <w:sz w:val="24"/>
          <w:szCs w:val="24"/>
          <w:lang w:eastAsia="en-IN"/>
          <w14:ligatures w14:val="none"/>
        </w:rPr>
        <w:t>: The possibility of loss due to a borrower's failure to repay a loan. Banks mitigate this through rigorous credit assessments and diversification of loan portfolios.</w:t>
      </w:r>
    </w:p>
    <w:p w14:paraId="383B3EF6" w14:textId="77777777" w:rsidR="00793863" w:rsidRPr="00793863" w:rsidRDefault="00793863" w:rsidP="007938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863">
        <w:rPr>
          <w:rFonts w:ascii="Times New Roman" w:eastAsia="Times New Roman" w:hAnsi="Times New Roman" w:cs="Times New Roman"/>
          <w:b/>
          <w:bCs/>
          <w:kern w:val="0"/>
          <w:sz w:val="24"/>
          <w:szCs w:val="24"/>
          <w:lang w:eastAsia="en-IN"/>
          <w14:ligatures w14:val="none"/>
        </w:rPr>
        <w:t>Market Risk</w:t>
      </w:r>
      <w:r w:rsidRPr="00793863">
        <w:rPr>
          <w:rFonts w:ascii="Times New Roman" w:eastAsia="Times New Roman" w:hAnsi="Times New Roman" w:cs="Times New Roman"/>
          <w:kern w:val="0"/>
          <w:sz w:val="24"/>
          <w:szCs w:val="24"/>
          <w:lang w:eastAsia="en-IN"/>
          <w14:ligatures w14:val="none"/>
        </w:rPr>
        <w:t>: The risk of losses due to fluctuations in market prices, including interest rates and foreign exchange rates. Banks use hedging strategies and value-at-risk models to manage this risk.</w:t>
      </w:r>
    </w:p>
    <w:p w14:paraId="53EB2873" w14:textId="77777777" w:rsidR="00793863" w:rsidRPr="00793863" w:rsidRDefault="00793863" w:rsidP="007938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863">
        <w:rPr>
          <w:rFonts w:ascii="Times New Roman" w:eastAsia="Times New Roman" w:hAnsi="Times New Roman" w:cs="Times New Roman"/>
          <w:b/>
          <w:bCs/>
          <w:kern w:val="0"/>
          <w:sz w:val="24"/>
          <w:szCs w:val="24"/>
          <w:lang w:eastAsia="en-IN"/>
          <w14:ligatures w14:val="none"/>
        </w:rPr>
        <w:t>Operational Risk</w:t>
      </w:r>
      <w:r w:rsidRPr="00793863">
        <w:rPr>
          <w:rFonts w:ascii="Times New Roman" w:eastAsia="Times New Roman" w:hAnsi="Times New Roman" w:cs="Times New Roman"/>
          <w:kern w:val="0"/>
          <w:sz w:val="24"/>
          <w:szCs w:val="24"/>
          <w:lang w:eastAsia="en-IN"/>
          <w14:ligatures w14:val="none"/>
        </w:rPr>
        <w:t>: Risks arising from inadequate or failed internal processes, people, and systems, such as fraud or cybersecurity threats. Effective internal controls and regular audits are key mitigation strategies.</w:t>
      </w:r>
    </w:p>
    <w:p w14:paraId="7F7BAFBF" w14:textId="77777777" w:rsidR="00793863" w:rsidRPr="00793863" w:rsidRDefault="00793863" w:rsidP="007938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863">
        <w:rPr>
          <w:rFonts w:ascii="Times New Roman" w:eastAsia="Times New Roman" w:hAnsi="Times New Roman" w:cs="Times New Roman"/>
          <w:b/>
          <w:bCs/>
          <w:kern w:val="0"/>
          <w:sz w:val="24"/>
          <w:szCs w:val="24"/>
          <w:lang w:eastAsia="en-IN"/>
          <w14:ligatures w14:val="none"/>
        </w:rPr>
        <w:t>Liquidity Risk</w:t>
      </w:r>
      <w:r w:rsidRPr="00793863">
        <w:rPr>
          <w:rFonts w:ascii="Times New Roman" w:eastAsia="Times New Roman" w:hAnsi="Times New Roman" w:cs="Times New Roman"/>
          <w:kern w:val="0"/>
          <w:sz w:val="24"/>
          <w:szCs w:val="24"/>
          <w:lang w:eastAsia="en-IN"/>
          <w14:ligatures w14:val="none"/>
        </w:rPr>
        <w:t>: The risk of not being able to meet short-term financial obligations. Banks maintain sufficient liquid assets and contingency funding plans to address this.</w:t>
      </w:r>
    </w:p>
    <w:p w14:paraId="471228C6" w14:textId="5BBEDAD5" w:rsidR="00793863" w:rsidRDefault="00793863"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863">
        <w:rPr>
          <w:rFonts w:ascii="Times New Roman" w:eastAsia="Times New Roman" w:hAnsi="Times New Roman" w:cs="Times New Roman"/>
          <w:kern w:val="0"/>
          <w:sz w:val="24"/>
          <w:szCs w:val="24"/>
          <w:lang w:eastAsia="en-IN"/>
          <w14:ligatures w14:val="none"/>
        </w:rPr>
        <w:t>Key regulatory frameworks include the Dodd-Frank Act and Basel III, which set standards for risk management practices. Tools such as stress testing, scenario analysis, and risk-adjusted return on capital (RAROC) are commonly used to measure and manage risks​</w:t>
      </w:r>
      <w:r w:rsidR="00274C07">
        <w:rPr>
          <w:rFonts w:ascii="Times New Roman" w:eastAsia="Times New Roman" w:hAnsi="Times New Roman" w:cs="Times New Roman"/>
          <w:kern w:val="0"/>
          <w:sz w:val="24"/>
          <w:szCs w:val="24"/>
          <w:lang w:eastAsia="en-IN"/>
          <w14:ligatures w14:val="none"/>
        </w:rPr>
        <w:t>.</w:t>
      </w:r>
    </w:p>
    <w:p w14:paraId="5DC6A3E3" w14:textId="77777777" w:rsidR="00274C07" w:rsidRDefault="00274C07"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62D75E" w14:textId="77777777" w:rsidR="00274C07" w:rsidRDefault="00274C07"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A2C85F" w14:textId="77777777" w:rsidR="00274C07" w:rsidRDefault="00274C07"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CE7BCD" w14:textId="77777777" w:rsidR="00274C07" w:rsidRDefault="00274C07"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E2C8AB" w14:textId="51D5AD2A" w:rsidR="00274C07" w:rsidRDefault="00274C07"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According to 2023 update:</w:t>
      </w:r>
    </w:p>
    <w:tbl>
      <w:tblPr>
        <w:tblStyle w:val="TableGrid"/>
        <w:tblW w:w="9268" w:type="dxa"/>
        <w:tblLook w:val="04A0" w:firstRow="1" w:lastRow="0" w:firstColumn="1" w:lastColumn="0" w:noHBand="0" w:noVBand="1"/>
      </w:tblPr>
      <w:tblGrid>
        <w:gridCol w:w="2317"/>
        <w:gridCol w:w="2317"/>
        <w:gridCol w:w="2317"/>
        <w:gridCol w:w="2317"/>
      </w:tblGrid>
      <w:tr w:rsidR="00274C07" w14:paraId="4A26AA11" w14:textId="77777777" w:rsidTr="00274C07">
        <w:trPr>
          <w:trHeight w:val="373"/>
        </w:trPr>
        <w:tc>
          <w:tcPr>
            <w:tcW w:w="2317" w:type="dxa"/>
          </w:tcPr>
          <w:p w14:paraId="6B0BAC0D" w14:textId="1708974E"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Risk Type</w:t>
            </w:r>
          </w:p>
        </w:tc>
        <w:tc>
          <w:tcPr>
            <w:tcW w:w="2317" w:type="dxa"/>
          </w:tcPr>
          <w:p w14:paraId="39D4602A" w14:textId="7FA21B8A"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Average Loss (%)</w:t>
            </w:r>
          </w:p>
        </w:tc>
        <w:tc>
          <w:tcPr>
            <w:tcW w:w="2317" w:type="dxa"/>
          </w:tcPr>
          <w:p w14:paraId="237A0566" w14:textId="0B103C01"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Mitigation Cost (%)</w:t>
            </w:r>
          </w:p>
        </w:tc>
        <w:tc>
          <w:tcPr>
            <w:tcW w:w="2317" w:type="dxa"/>
          </w:tcPr>
          <w:p w14:paraId="1B2DE13D" w14:textId="213573DF"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Compliance Rate (%)</w:t>
            </w:r>
          </w:p>
        </w:tc>
      </w:tr>
      <w:tr w:rsidR="00274C07" w14:paraId="24440327" w14:textId="77777777" w:rsidTr="00274C07">
        <w:trPr>
          <w:trHeight w:val="294"/>
        </w:trPr>
        <w:tc>
          <w:tcPr>
            <w:tcW w:w="2317" w:type="dxa"/>
          </w:tcPr>
          <w:p w14:paraId="48571DE6" w14:textId="13DD5ED0"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Credit Risk</w:t>
            </w:r>
          </w:p>
        </w:tc>
        <w:tc>
          <w:tcPr>
            <w:tcW w:w="2317" w:type="dxa"/>
          </w:tcPr>
          <w:p w14:paraId="5122E495" w14:textId="1D31519C"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0.8</w:t>
            </w:r>
          </w:p>
        </w:tc>
        <w:tc>
          <w:tcPr>
            <w:tcW w:w="2317" w:type="dxa"/>
          </w:tcPr>
          <w:p w14:paraId="42A814C6" w14:textId="7CE7ECE8"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p>
        </w:tc>
        <w:tc>
          <w:tcPr>
            <w:tcW w:w="2317" w:type="dxa"/>
          </w:tcPr>
          <w:p w14:paraId="4531D84E" w14:textId="2990F8C3"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99</w:t>
            </w:r>
          </w:p>
        </w:tc>
      </w:tr>
      <w:tr w:rsidR="00274C07" w14:paraId="76B26A72" w14:textId="77777777" w:rsidTr="00274C07">
        <w:trPr>
          <w:trHeight w:val="309"/>
        </w:trPr>
        <w:tc>
          <w:tcPr>
            <w:tcW w:w="2317" w:type="dxa"/>
          </w:tcPr>
          <w:p w14:paraId="6039A856" w14:textId="5B696257"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Market Risk</w:t>
            </w:r>
          </w:p>
        </w:tc>
        <w:tc>
          <w:tcPr>
            <w:tcW w:w="2317" w:type="dxa"/>
          </w:tcPr>
          <w:p w14:paraId="1EFBDBC9" w14:textId="71D0AFD5"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0.5</w:t>
            </w:r>
          </w:p>
        </w:tc>
        <w:tc>
          <w:tcPr>
            <w:tcW w:w="2317" w:type="dxa"/>
          </w:tcPr>
          <w:p w14:paraId="3F2B811E" w14:textId="50C54217"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0.9</w:t>
            </w:r>
          </w:p>
        </w:tc>
        <w:tc>
          <w:tcPr>
            <w:tcW w:w="2317" w:type="dxa"/>
          </w:tcPr>
          <w:p w14:paraId="0305203D" w14:textId="67686503"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98</w:t>
            </w:r>
          </w:p>
        </w:tc>
      </w:tr>
      <w:tr w:rsidR="00274C07" w14:paraId="35BCE9D4" w14:textId="77777777" w:rsidTr="00274C07">
        <w:trPr>
          <w:trHeight w:val="294"/>
        </w:trPr>
        <w:tc>
          <w:tcPr>
            <w:tcW w:w="2317" w:type="dxa"/>
          </w:tcPr>
          <w:p w14:paraId="35AA90A7" w14:textId="326D782A"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Operational Risk</w:t>
            </w:r>
          </w:p>
        </w:tc>
        <w:tc>
          <w:tcPr>
            <w:tcW w:w="2317" w:type="dxa"/>
          </w:tcPr>
          <w:p w14:paraId="6B7C1D2C" w14:textId="1D883412"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0.7</w:t>
            </w:r>
          </w:p>
        </w:tc>
        <w:tc>
          <w:tcPr>
            <w:tcW w:w="2317" w:type="dxa"/>
          </w:tcPr>
          <w:p w14:paraId="13781E44" w14:textId="3817AB71"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w:t>
            </w:r>
          </w:p>
        </w:tc>
        <w:tc>
          <w:tcPr>
            <w:tcW w:w="2317" w:type="dxa"/>
          </w:tcPr>
          <w:p w14:paraId="022DE528" w14:textId="0CAF01C2"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97</w:t>
            </w:r>
          </w:p>
        </w:tc>
      </w:tr>
      <w:tr w:rsidR="00274C07" w14:paraId="52298C97" w14:textId="77777777" w:rsidTr="00274C07">
        <w:trPr>
          <w:trHeight w:val="294"/>
        </w:trPr>
        <w:tc>
          <w:tcPr>
            <w:tcW w:w="2317" w:type="dxa"/>
          </w:tcPr>
          <w:p w14:paraId="2B6329A2" w14:textId="5CE26EDB"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Liquidity Risk</w:t>
            </w:r>
          </w:p>
        </w:tc>
        <w:tc>
          <w:tcPr>
            <w:tcW w:w="2317" w:type="dxa"/>
          </w:tcPr>
          <w:p w14:paraId="1640FE80" w14:textId="3EFE9CCA"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0.3</w:t>
            </w:r>
          </w:p>
        </w:tc>
        <w:tc>
          <w:tcPr>
            <w:tcW w:w="2317" w:type="dxa"/>
          </w:tcPr>
          <w:p w14:paraId="56703563" w14:textId="3A5A1278"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0.5</w:t>
            </w:r>
          </w:p>
        </w:tc>
        <w:tc>
          <w:tcPr>
            <w:tcW w:w="2317" w:type="dxa"/>
          </w:tcPr>
          <w:p w14:paraId="29BCFC58" w14:textId="14E05AE5"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99</w:t>
            </w:r>
          </w:p>
        </w:tc>
      </w:tr>
      <w:tr w:rsidR="00274C07" w14:paraId="106F8427" w14:textId="77777777" w:rsidTr="00274C07">
        <w:trPr>
          <w:trHeight w:val="279"/>
        </w:trPr>
        <w:tc>
          <w:tcPr>
            <w:tcW w:w="2317" w:type="dxa"/>
          </w:tcPr>
          <w:p w14:paraId="1F0367C8" w14:textId="647A5125"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Compliance Risk</w:t>
            </w:r>
          </w:p>
        </w:tc>
        <w:tc>
          <w:tcPr>
            <w:tcW w:w="2317" w:type="dxa"/>
          </w:tcPr>
          <w:p w14:paraId="60B11ED9" w14:textId="10447E6A"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0.2</w:t>
            </w:r>
          </w:p>
        </w:tc>
        <w:tc>
          <w:tcPr>
            <w:tcW w:w="2317" w:type="dxa"/>
          </w:tcPr>
          <w:p w14:paraId="05F957B5" w14:textId="433D2844"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0.4</w:t>
            </w:r>
          </w:p>
        </w:tc>
        <w:tc>
          <w:tcPr>
            <w:tcW w:w="2317" w:type="dxa"/>
          </w:tcPr>
          <w:p w14:paraId="49A66B4F" w14:textId="214EFC99" w:rsidR="00274C07" w:rsidRDefault="00274C07" w:rsidP="00793863">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99</w:t>
            </w:r>
          </w:p>
        </w:tc>
      </w:tr>
    </w:tbl>
    <w:p w14:paraId="23EC35DF" w14:textId="77777777" w:rsidR="00274C07" w:rsidRPr="00793863" w:rsidRDefault="00274C07" w:rsidP="007938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105967" w14:textId="6652D7FD" w:rsidR="00793863" w:rsidRPr="00930047" w:rsidRDefault="00274C07" w:rsidP="00274C07">
      <w:pPr>
        <w:jc w:val="center"/>
        <w:rPr>
          <w:rFonts w:ascii="Times New Roman" w:hAnsi="Times New Roman" w:cs="Times New Roman"/>
          <w:sz w:val="24"/>
          <w:szCs w:val="24"/>
          <w:lang w:val="en-US"/>
        </w:rPr>
      </w:pPr>
      <w:r w:rsidRPr="00274C07">
        <w:rPr>
          <w:rFonts w:ascii="Times New Roman" w:hAnsi="Times New Roman" w:cs="Times New Roman"/>
          <w:sz w:val="24"/>
          <w:szCs w:val="24"/>
          <w:lang w:val="en-US"/>
        </w:rPr>
        <w:drawing>
          <wp:inline distT="0" distB="0" distL="0" distR="0" wp14:anchorId="1334EEF0" wp14:editId="01BA90DB">
            <wp:extent cx="4473388" cy="3058148"/>
            <wp:effectExtent l="0" t="0" r="3810" b="9525"/>
            <wp:docPr id="167817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79622" name=""/>
                    <pic:cNvPicPr/>
                  </pic:nvPicPr>
                  <pic:blipFill>
                    <a:blip r:embed="rId7"/>
                    <a:stretch>
                      <a:fillRect/>
                    </a:stretch>
                  </pic:blipFill>
                  <pic:spPr>
                    <a:xfrm>
                      <a:off x="0" y="0"/>
                      <a:ext cx="4497044" cy="3074320"/>
                    </a:xfrm>
                    <a:prstGeom prst="rect">
                      <a:avLst/>
                    </a:prstGeom>
                  </pic:spPr>
                </pic:pic>
              </a:graphicData>
            </a:graphic>
          </wp:inline>
        </w:drawing>
      </w:r>
    </w:p>
    <w:sectPr w:rsidR="00793863" w:rsidRPr="0093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E2B66"/>
    <w:multiLevelType w:val="hybridMultilevel"/>
    <w:tmpl w:val="35929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F74CC"/>
    <w:multiLevelType w:val="multilevel"/>
    <w:tmpl w:val="32EC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E1FE6"/>
    <w:multiLevelType w:val="multilevel"/>
    <w:tmpl w:val="BEC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07C75"/>
    <w:multiLevelType w:val="multilevel"/>
    <w:tmpl w:val="B0B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150F9"/>
    <w:multiLevelType w:val="multilevel"/>
    <w:tmpl w:val="39BEB792"/>
    <w:lvl w:ilvl="0">
      <w:start w:val="1"/>
      <w:numFmt w:val="bullet"/>
      <w:lvlText w:val=""/>
      <w:lvlJc w:val="left"/>
      <w:pPr>
        <w:tabs>
          <w:tab w:val="num" w:pos="4329"/>
        </w:tabs>
        <w:ind w:left="4329" w:hanging="360"/>
      </w:pPr>
      <w:rPr>
        <w:rFonts w:ascii="Symbol" w:hAnsi="Symbol" w:hint="default"/>
        <w:sz w:val="20"/>
      </w:rPr>
    </w:lvl>
    <w:lvl w:ilvl="1" w:tentative="1">
      <w:start w:val="1"/>
      <w:numFmt w:val="bullet"/>
      <w:lvlText w:val="o"/>
      <w:lvlJc w:val="left"/>
      <w:pPr>
        <w:tabs>
          <w:tab w:val="num" w:pos="5049"/>
        </w:tabs>
        <w:ind w:left="5049" w:hanging="360"/>
      </w:pPr>
      <w:rPr>
        <w:rFonts w:ascii="Courier New" w:hAnsi="Courier New" w:hint="default"/>
        <w:sz w:val="20"/>
      </w:rPr>
    </w:lvl>
    <w:lvl w:ilvl="2" w:tentative="1">
      <w:start w:val="1"/>
      <w:numFmt w:val="bullet"/>
      <w:lvlText w:val=""/>
      <w:lvlJc w:val="left"/>
      <w:pPr>
        <w:tabs>
          <w:tab w:val="num" w:pos="5769"/>
        </w:tabs>
        <w:ind w:left="5769" w:hanging="360"/>
      </w:pPr>
      <w:rPr>
        <w:rFonts w:ascii="Wingdings" w:hAnsi="Wingdings" w:hint="default"/>
        <w:sz w:val="20"/>
      </w:rPr>
    </w:lvl>
    <w:lvl w:ilvl="3" w:tentative="1">
      <w:start w:val="1"/>
      <w:numFmt w:val="bullet"/>
      <w:lvlText w:val=""/>
      <w:lvlJc w:val="left"/>
      <w:pPr>
        <w:tabs>
          <w:tab w:val="num" w:pos="6489"/>
        </w:tabs>
        <w:ind w:left="6489" w:hanging="360"/>
      </w:pPr>
      <w:rPr>
        <w:rFonts w:ascii="Wingdings" w:hAnsi="Wingdings" w:hint="default"/>
        <w:sz w:val="20"/>
      </w:rPr>
    </w:lvl>
    <w:lvl w:ilvl="4" w:tentative="1">
      <w:start w:val="1"/>
      <w:numFmt w:val="bullet"/>
      <w:lvlText w:val=""/>
      <w:lvlJc w:val="left"/>
      <w:pPr>
        <w:tabs>
          <w:tab w:val="num" w:pos="7209"/>
        </w:tabs>
        <w:ind w:left="7209" w:hanging="360"/>
      </w:pPr>
      <w:rPr>
        <w:rFonts w:ascii="Wingdings" w:hAnsi="Wingdings" w:hint="default"/>
        <w:sz w:val="20"/>
      </w:rPr>
    </w:lvl>
    <w:lvl w:ilvl="5" w:tentative="1">
      <w:start w:val="1"/>
      <w:numFmt w:val="bullet"/>
      <w:lvlText w:val=""/>
      <w:lvlJc w:val="left"/>
      <w:pPr>
        <w:tabs>
          <w:tab w:val="num" w:pos="7929"/>
        </w:tabs>
        <w:ind w:left="7929" w:hanging="360"/>
      </w:pPr>
      <w:rPr>
        <w:rFonts w:ascii="Wingdings" w:hAnsi="Wingdings" w:hint="default"/>
        <w:sz w:val="20"/>
      </w:rPr>
    </w:lvl>
    <w:lvl w:ilvl="6" w:tentative="1">
      <w:start w:val="1"/>
      <w:numFmt w:val="bullet"/>
      <w:lvlText w:val=""/>
      <w:lvlJc w:val="left"/>
      <w:pPr>
        <w:tabs>
          <w:tab w:val="num" w:pos="8649"/>
        </w:tabs>
        <w:ind w:left="8649" w:hanging="360"/>
      </w:pPr>
      <w:rPr>
        <w:rFonts w:ascii="Wingdings" w:hAnsi="Wingdings" w:hint="default"/>
        <w:sz w:val="20"/>
      </w:rPr>
    </w:lvl>
    <w:lvl w:ilvl="7" w:tentative="1">
      <w:start w:val="1"/>
      <w:numFmt w:val="bullet"/>
      <w:lvlText w:val=""/>
      <w:lvlJc w:val="left"/>
      <w:pPr>
        <w:tabs>
          <w:tab w:val="num" w:pos="9369"/>
        </w:tabs>
        <w:ind w:left="9369" w:hanging="360"/>
      </w:pPr>
      <w:rPr>
        <w:rFonts w:ascii="Wingdings" w:hAnsi="Wingdings" w:hint="default"/>
        <w:sz w:val="20"/>
      </w:rPr>
    </w:lvl>
    <w:lvl w:ilvl="8" w:tentative="1">
      <w:start w:val="1"/>
      <w:numFmt w:val="bullet"/>
      <w:lvlText w:val=""/>
      <w:lvlJc w:val="left"/>
      <w:pPr>
        <w:tabs>
          <w:tab w:val="num" w:pos="10089"/>
        </w:tabs>
        <w:ind w:left="10089" w:hanging="360"/>
      </w:pPr>
      <w:rPr>
        <w:rFonts w:ascii="Wingdings" w:hAnsi="Wingdings" w:hint="default"/>
        <w:sz w:val="20"/>
      </w:rPr>
    </w:lvl>
  </w:abstractNum>
  <w:abstractNum w:abstractNumId="5" w15:restartNumberingAfterBreak="0">
    <w:nsid w:val="46892F7E"/>
    <w:multiLevelType w:val="hybridMultilevel"/>
    <w:tmpl w:val="6232AC4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4FC50D66"/>
    <w:multiLevelType w:val="multilevel"/>
    <w:tmpl w:val="79A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E4910"/>
    <w:multiLevelType w:val="multilevel"/>
    <w:tmpl w:val="458A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41A3C"/>
    <w:multiLevelType w:val="multilevel"/>
    <w:tmpl w:val="34D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C4757"/>
    <w:multiLevelType w:val="multilevel"/>
    <w:tmpl w:val="4E96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2416F"/>
    <w:multiLevelType w:val="multilevel"/>
    <w:tmpl w:val="E67E0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30407630">
    <w:abstractNumId w:val="2"/>
  </w:num>
  <w:num w:numId="2" w16cid:durableId="1459713694">
    <w:abstractNumId w:val="3"/>
  </w:num>
  <w:num w:numId="3" w16cid:durableId="130441867">
    <w:abstractNumId w:val="8"/>
  </w:num>
  <w:num w:numId="4" w16cid:durableId="1795177579">
    <w:abstractNumId w:val="4"/>
  </w:num>
  <w:num w:numId="5" w16cid:durableId="151676219">
    <w:abstractNumId w:val="1"/>
  </w:num>
  <w:num w:numId="6" w16cid:durableId="604312852">
    <w:abstractNumId w:val="7"/>
  </w:num>
  <w:num w:numId="7" w16cid:durableId="2087915673">
    <w:abstractNumId w:val="6"/>
  </w:num>
  <w:num w:numId="8" w16cid:durableId="1956019513">
    <w:abstractNumId w:val="9"/>
  </w:num>
  <w:num w:numId="9" w16cid:durableId="1744067146">
    <w:abstractNumId w:val="0"/>
  </w:num>
  <w:num w:numId="10" w16cid:durableId="390274001">
    <w:abstractNumId w:val="5"/>
  </w:num>
  <w:num w:numId="11" w16cid:durableId="670253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86"/>
    <w:rsid w:val="00001581"/>
    <w:rsid w:val="00274C07"/>
    <w:rsid w:val="00793863"/>
    <w:rsid w:val="00860502"/>
    <w:rsid w:val="00930047"/>
    <w:rsid w:val="00B73E86"/>
    <w:rsid w:val="00BC69B2"/>
    <w:rsid w:val="00DC175E"/>
    <w:rsid w:val="00EA0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7EDF"/>
  <w15:chartTrackingRefBased/>
  <w15:docId w15:val="{DC5F9F71-4AED-48D7-8BDC-AA111890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E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3E86"/>
    <w:rPr>
      <w:b/>
      <w:bCs/>
    </w:rPr>
  </w:style>
  <w:style w:type="table" w:styleId="TableGrid">
    <w:name w:val="Table Grid"/>
    <w:basedOn w:val="TableNormal"/>
    <w:uiPriority w:val="39"/>
    <w:rsid w:val="0086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token-text-secondary">
    <w:name w:val="text-token-text-secondary"/>
    <w:basedOn w:val="DefaultParagraphFont"/>
    <w:rsid w:val="0079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24192">
      <w:bodyDiv w:val="1"/>
      <w:marLeft w:val="0"/>
      <w:marRight w:val="0"/>
      <w:marTop w:val="0"/>
      <w:marBottom w:val="0"/>
      <w:divBdr>
        <w:top w:val="none" w:sz="0" w:space="0" w:color="auto"/>
        <w:left w:val="none" w:sz="0" w:space="0" w:color="auto"/>
        <w:bottom w:val="none" w:sz="0" w:space="0" w:color="auto"/>
        <w:right w:val="none" w:sz="0" w:space="0" w:color="auto"/>
      </w:divBdr>
    </w:div>
    <w:div w:id="914819905">
      <w:bodyDiv w:val="1"/>
      <w:marLeft w:val="0"/>
      <w:marRight w:val="0"/>
      <w:marTop w:val="0"/>
      <w:marBottom w:val="0"/>
      <w:divBdr>
        <w:top w:val="none" w:sz="0" w:space="0" w:color="auto"/>
        <w:left w:val="none" w:sz="0" w:space="0" w:color="auto"/>
        <w:bottom w:val="none" w:sz="0" w:space="0" w:color="auto"/>
        <w:right w:val="none" w:sz="0" w:space="0" w:color="auto"/>
      </w:divBdr>
    </w:div>
    <w:div w:id="1138571073">
      <w:bodyDiv w:val="1"/>
      <w:marLeft w:val="0"/>
      <w:marRight w:val="0"/>
      <w:marTop w:val="0"/>
      <w:marBottom w:val="0"/>
      <w:divBdr>
        <w:top w:val="none" w:sz="0" w:space="0" w:color="auto"/>
        <w:left w:val="none" w:sz="0" w:space="0" w:color="auto"/>
        <w:bottom w:val="none" w:sz="0" w:space="0" w:color="auto"/>
        <w:right w:val="none" w:sz="0" w:space="0" w:color="auto"/>
      </w:divBdr>
    </w:div>
    <w:div w:id="1169784033">
      <w:bodyDiv w:val="1"/>
      <w:marLeft w:val="0"/>
      <w:marRight w:val="0"/>
      <w:marTop w:val="0"/>
      <w:marBottom w:val="0"/>
      <w:divBdr>
        <w:top w:val="none" w:sz="0" w:space="0" w:color="auto"/>
        <w:left w:val="none" w:sz="0" w:space="0" w:color="auto"/>
        <w:bottom w:val="none" w:sz="0" w:space="0" w:color="auto"/>
        <w:right w:val="none" w:sz="0" w:space="0" w:color="auto"/>
      </w:divBdr>
    </w:div>
    <w:div w:id="213393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2024-06-19T04:02:00Z</dcterms:created>
  <dcterms:modified xsi:type="dcterms:W3CDTF">2024-06-19T05:15:00Z</dcterms:modified>
</cp:coreProperties>
</file>