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38008" w14:textId="415D5B3E" w:rsidR="00001581" w:rsidRPr="00BF2781" w:rsidRDefault="00E740CE">
      <w:pPr>
        <w:rPr>
          <w:rFonts w:ascii="Times New Roman" w:hAnsi="Times New Roman" w:cs="Times New Roman"/>
          <w:b/>
          <w:bCs/>
          <w:sz w:val="36"/>
          <w:szCs w:val="36"/>
          <w:u w:val="single"/>
          <w:lang w:val="en-US"/>
        </w:rPr>
      </w:pPr>
      <w:r w:rsidRPr="00BF2781">
        <w:rPr>
          <w:rFonts w:ascii="Times New Roman" w:hAnsi="Times New Roman" w:cs="Times New Roman"/>
          <w:b/>
          <w:bCs/>
          <w:sz w:val="36"/>
          <w:szCs w:val="36"/>
          <w:u w:val="single"/>
          <w:lang w:val="en-US"/>
        </w:rPr>
        <w:t>DEBIT CARDS</w:t>
      </w:r>
    </w:p>
    <w:p w14:paraId="5F16072A" w14:textId="42A7D674" w:rsidR="00E740CE" w:rsidRPr="00BF2781" w:rsidRDefault="00E740CE" w:rsidP="00BF2781">
      <w:pPr>
        <w:pStyle w:val="ListParagraph"/>
        <w:numPr>
          <w:ilvl w:val="0"/>
          <w:numId w:val="3"/>
        </w:numPr>
        <w:rPr>
          <w:rFonts w:ascii="Times New Roman" w:hAnsi="Times New Roman" w:cs="Times New Roman"/>
          <w:color w:val="000000" w:themeColor="text1"/>
          <w:spacing w:val="1"/>
          <w:sz w:val="24"/>
          <w:szCs w:val="24"/>
          <w:shd w:val="clear" w:color="auto" w:fill="FFFFFF"/>
        </w:rPr>
      </w:pPr>
      <w:r w:rsidRPr="00BF2781">
        <w:rPr>
          <w:rFonts w:ascii="Times New Roman" w:hAnsi="Times New Roman" w:cs="Times New Roman"/>
          <w:color w:val="000000" w:themeColor="text1"/>
          <w:spacing w:val="1"/>
          <w:sz w:val="24"/>
          <w:szCs w:val="24"/>
          <w:shd w:val="clear" w:color="auto" w:fill="FFFFFF"/>
        </w:rPr>
        <w:t xml:space="preserve">A debit card is a payment card that deducts money directly from your checking account. Also called “check cards” or "bank cards," debit cards can be used to buy goods or services or to get cash from an </w:t>
      </w:r>
      <w:r w:rsidR="00BF2781" w:rsidRPr="00BF2781">
        <w:rPr>
          <w:rFonts w:ascii="Times New Roman" w:hAnsi="Times New Roman" w:cs="Times New Roman"/>
          <w:color w:val="000000" w:themeColor="text1"/>
          <w:spacing w:val="1"/>
          <w:sz w:val="24"/>
          <w:szCs w:val="24"/>
          <w:shd w:val="clear" w:color="auto" w:fill="FFFFFF"/>
        </w:rPr>
        <w:t>ATM. Debit card</w:t>
      </w:r>
      <w:r w:rsidRPr="00BF2781">
        <w:rPr>
          <w:rFonts w:ascii="Times New Roman" w:hAnsi="Times New Roman" w:cs="Times New Roman"/>
          <w:color w:val="000000" w:themeColor="text1"/>
          <w:spacing w:val="1"/>
          <w:sz w:val="24"/>
          <w:szCs w:val="24"/>
          <w:shd w:val="clear" w:color="auto" w:fill="FFFFFF"/>
        </w:rPr>
        <w:t xml:space="preserve"> can help you reduce the need to carry cash, although using these cards can sometimes entail fees.</w:t>
      </w:r>
    </w:p>
    <w:p w14:paraId="386C1DF7" w14:textId="4FA17865" w:rsidR="00E740CE" w:rsidRPr="00BF2781" w:rsidRDefault="00E740CE" w:rsidP="00BF2781">
      <w:pPr>
        <w:pStyle w:val="ListParagraph"/>
        <w:numPr>
          <w:ilvl w:val="0"/>
          <w:numId w:val="3"/>
        </w:numPr>
        <w:rPr>
          <w:rFonts w:ascii="Times New Roman" w:hAnsi="Times New Roman" w:cs="Times New Roman"/>
          <w:color w:val="000000" w:themeColor="text1"/>
          <w:spacing w:val="1"/>
          <w:sz w:val="24"/>
          <w:szCs w:val="24"/>
          <w:shd w:val="clear" w:color="auto" w:fill="FFFFFF"/>
        </w:rPr>
      </w:pPr>
      <w:r w:rsidRPr="00BF2781">
        <w:rPr>
          <w:rFonts w:ascii="Times New Roman" w:hAnsi="Times New Roman" w:cs="Times New Roman"/>
          <w:color w:val="000000" w:themeColor="text1"/>
          <w:spacing w:val="1"/>
          <w:sz w:val="24"/>
          <w:szCs w:val="24"/>
          <w:shd w:val="clear" w:color="auto" w:fill="FFFFFF"/>
        </w:rPr>
        <w:t>The amount of money you can spend on a debit card is determined by the amount of funds in your account, not by a credit limit such as credit cards carry. </w:t>
      </w:r>
    </w:p>
    <w:p w14:paraId="691D153C" w14:textId="77777777" w:rsidR="00E740CE" w:rsidRPr="00BF2781" w:rsidRDefault="00E740CE" w:rsidP="00BF2781">
      <w:pPr>
        <w:pStyle w:val="ListParagraph"/>
        <w:numPr>
          <w:ilvl w:val="0"/>
          <w:numId w:val="3"/>
        </w:numPr>
        <w:spacing w:after="0" w:line="240" w:lineRule="auto"/>
        <w:rPr>
          <w:rFonts w:ascii="Times New Roman" w:eastAsia="Times New Roman" w:hAnsi="Times New Roman" w:cs="Times New Roman"/>
          <w:color w:val="000000" w:themeColor="text1"/>
          <w:spacing w:val="17"/>
          <w:kern w:val="0"/>
          <w:sz w:val="24"/>
          <w:szCs w:val="24"/>
          <w:shd w:val="clear" w:color="auto" w:fill="FFFFFF"/>
          <w:lang w:eastAsia="en-IN"/>
          <w14:ligatures w14:val="none"/>
        </w:rPr>
      </w:pPr>
      <w:r w:rsidRPr="00BF2781">
        <w:rPr>
          <w:rFonts w:ascii="Times New Roman" w:eastAsia="Times New Roman" w:hAnsi="Times New Roman" w:cs="Times New Roman"/>
          <w:color w:val="000000" w:themeColor="text1"/>
          <w:spacing w:val="1"/>
          <w:kern w:val="0"/>
          <w:sz w:val="24"/>
          <w:szCs w:val="24"/>
          <w:shd w:val="clear" w:color="auto" w:fill="FFFFFF"/>
          <w:lang w:eastAsia="en-IN"/>
          <w14:ligatures w14:val="none"/>
        </w:rPr>
        <w:t>Debit cards usually have daily purchase limits, meaning you can't spend more than a certain amount in one 24-hour period.</w:t>
      </w:r>
    </w:p>
    <w:p w14:paraId="5976398F" w14:textId="77777777" w:rsidR="00E740CE" w:rsidRPr="00BF2781" w:rsidRDefault="00E740CE" w:rsidP="00BF2781">
      <w:pPr>
        <w:pStyle w:val="ListParagraph"/>
        <w:numPr>
          <w:ilvl w:val="0"/>
          <w:numId w:val="3"/>
        </w:numPr>
        <w:shd w:val="clear" w:color="auto" w:fill="FFFFFF"/>
        <w:spacing w:after="300" w:line="420" w:lineRule="atLeast"/>
        <w:rPr>
          <w:rFonts w:ascii="Times New Roman" w:eastAsia="Times New Roman" w:hAnsi="Times New Roman" w:cs="Times New Roman"/>
          <w:color w:val="000000" w:themeColor="text1"/>
          <w:kern w:val="0"/>
          <w:sz w:val="24"/>
          <w:szCs w:val="24"/>
          <w:lang w:eastAsia="en-IN"/>
          <w14:ligatures w14:val="none"/>
        </w:rPr>
      </w:pPr>
      <w:r w:rsidRPr="00BF2781">
        <w:rPr>
          <w:rFonts w:ascii="Times New Roman" w:eastAsia="Times New Roman" w:hAnsi="Times New Roman" w:cs="Times New Roman"/>
          <w:color w:val="000000" w:themeColor="text1"/>
          <w:kern w:val="0"/>
          <w:sz w:val="24"/>
          <w:szCs w:val="24"/>
          <w:lang w:eastAsia="en-IN"/>
          <w14:ligatures w14:val="none"/>
        </w:rPr>
        <w:t>There are four main types of debit cards. The key difference between the types is generally the entity issuing the card.</w:t>
      </w:r>
    </w:p>
    <w:p w14:paraId="2ECFD01B" w14:textId="6F9F9DD0" w:rsidR="00E740CE" w:rsidRPr="00BF2781" w:rsidRDefault="00E740CE" w:rsidP="00BF2781">
      <w:pPr>
        <w:pStyle w:val="ListParagraph"/>
        <w:numPr>
          <w:ilvl w:val="0"/>
          <w:numId w:val="3"/>
        </w:numPr>
        <w:shd w:val="clear" w:color="auto" w:fill="FFFFFF"/>
        <w:spacing w:after="300" w:line="420" w:lineRule="atLeast"/>
        <w:rPr>
          <w:rFonts w:ascii="Times New Roman" w:eastAsia="Times New Roman" w:hAnsi="Times New Roman" w:cs="Times New Roman"/>
          <w:color w:val="000000" w:themeColor="text1"/>
          <w:kern w:val="0"/>
          <w:sz w:val="24"/>
          <w:szCs w:val="24"/>
          <w:lang w:eastAsia="en-IN"/>
          <w14:ligatures w14:val="none"/>
        </w:rPr>
      </w:pPr>
      <w:r w:rsidRPr="00BF2781">
        <w:rPr>
          <w:rFonts w:ascii="Times New Roman" w:eastAsia="Times New Roman" w:hAnsi="Times New Roman" w:cs="Times New Roman"/>
          <w:color w:val="000000" w:themeColor="text1"/>
          <w:kern w:val="0"/>
          <w:sz w:val="24"/>
          <w:szCs w:val="24"/>
          <w:lang w:eastAsia="en-IN"/>
          <w14:ligatures w14:val="none"/>
        </w:rPr>
        <w:t>Regular debit cards, ATM cards, Prepaid debit cards, Electronic Benefits Transfer (EBT) Cards. </w:t>
      </w:r>
    </w:p>
    <w:p w14:paraId="1C7207A4" w14:textId="645473AC" w:rsidR="00E740CE" w:rsidRPr="00BF2781" w:rsidRDefault="00E740CE" w:rsidP="00BF2781">
      <w:pPr>
        <w:pStyle w:val="ListParagraph"/>
        <w:numPr>
          <w:ilvl w:val="0"/>
          <w:numId w:val="3"/>
        </w:numPr>
        <w:shd w:val="clear" w:color="auto" w:fill="FFFFFF"/>
        <w:spacing w:after="300" w:line="420" w:lineRule="atLeast"/>
        <w:rPr>
          <w:rFonts w:ascii="Times New Roman" w:hAnsi="Times New Roman" w:cs="Times New Roman"/>
          <w:color w:val="000000" w:themeColor="text1"/>
          <w:sz w:val="24"/>
          <w:szCs w:val="24"/>
        </w:rPr>
      </w:pPr>
      <w:r w:rsidRPr="00BF2781">
        <w:rPr>
          <w:rFonts w:ascii="Times New Roman" w:hAnsi="Times New Roman" w:cs="Times New Roman"/>
          <w:color w:val="000000" w:themeColor="text1"/>
          <w:sz w:val="24"/>
          <w:szCs w:val="24"/>
        </w:rPr>
        <w:t>The debit card market size has grown marginally in recent years. It will grow from $94.64 billion in 2023 to $95.78 billion in 2024 at a compound annual growth rate (CAGR) of 1.2%. </w:t>
      </w:r>
    </w:p>
    <w:p w14:paraId="7B3EA718" w14:textId="27954A9E" w:rsidR="00274FB7" w:rsidRPr="00BF2781" w:rsidRDefault="00274FB7" w:rsidP="00BF2781">
      <w:pPr>
        <w:pStyle w:val="ListParagraph"/>
        <w:numPr>
          <w:ilvl w:val="0"/>
          <w:numId w:val="3"/>
        </w:numPr>
        <w:shd w:val="clear" w:color="auto" w:fill="FFFFFF"/>
        <w:spacing w:after="300" w:line="420" w:lineRule="atLeast"/>
        <w:rPr>
          <w:rFonts w:ascii="Times New Roman" w:hAnsi="Times New Roman" w:cs="Times New Roman"/>
          <w:color w:val="000000" w:themeColor="text1"/>
          <w:sz w:val="24"/>
          <w:szCs w:val="24"/>
        </w:rPr>
      </w:pPr>
      <w:r w:rsidRPr="00BF2781">
        <w:rPr>
          <w:rFonts w:ascii="Times New Roman" w:hAnsi="Times New Roman" w:cs="Times New Roman"/>
          <w:color w:val="000000" w:themeColor="text1"/>
          <w:sz w:val="24"/>
          <w:szCs w:val="24"/>
        </w:rPr>
        <w:t>Reason for increase in debit Card value: According to the United Nations Conference on Trade and Development (UNCTD) in April 2022, online retail sales reached $2.9 trillion in 2021, with China and the United States accounting for the majority. Thus, the rise in e-commerce activities continues to drive the debit card market.</w:t>
      </w:r>
    </w:p>
    <w:p w14:paraId="60A66FB9" w14:textId="70861A89" w:rsidR="00274FB7" w:rsidRPr="00BF2781" w:rsidRDefault="00274FB7" w:rsidP="00BF2781">
      <w:pPr>
        <w:pStyle w:val="ListParagraph"/>
        <w:numPr>
          <w:ilvl w:val="0"/>
          <w:numId w:val="3"/>
        </w:numPr>
        <w:shd w:val="clear" w:color="auto" w:fill="FFFFFF"/>
        <w:spacing w:after="300" w:line="420" w:lineRule="atLeast"/>
        <w:rPr>
          <w:rFonts w:ascii="Times New Roman" w:hAnsi="Times New Roman" w:cs="Times New Roman"/>
          <w:color w:val="000000" w:themeColor="text1"/>
          <w:sz w:val="24"/>
          <w:szCs w:val="24"/>
        </w:rPr>
      </w:pPr>
      <w:r w:rsidRPr="00BF2781">
        <w:rPr>
          <w:rFonts w:ascii="Times New Roman" w:hAnsi="Times New Roman" w:cs="Times New Roman"/>
          <w:color w:val="000000" w:themeColor="text1"/>
          <w:sz w:val="24"/>
          <w:szCs w:val="24"/>
        </w:rPr>
        <w:t>Major companies operating in the debit card market report are JPMorgan Chase &amp; Co., Bank of America Corporation.</w:t>
      </w:r>
    </w:p>
    <w:p w14:paraId="2C298DC8" w14:textId="07FBBC7A" w:rsidR="00274FB7" w:rsidRPr="00BF2781" w:rsidRDefault="00274FB7" w:rsidP="00BF2781">
      <w:pPr>
        <w:pStyle w:val="ListParagraph"/>
        <w:numPr>
          <w:ilvl w:val="0"/>
          <w:numId w:val="3"/>
        </w:numPr>
        <w:shd w:val="clear" w:color="auto" w:fill="FFFFFF"/>
        <w:spacing w:after="300" w:line="420" w:lineRule="atLeast"/>
        <w:rPr>
          <w:rFonts w:ascii="Times New Roman" w:hAnsi="Times New Roman" w:cs="Times New Roman"/>
          <w:color w:val="000000" w:themeColor="text1"/>
          <w:sz w:val="24"/>
          <w:szCs w:val="24"/>
        </w:rPr>
      </w:pPr>
      <w:r w:rsidRPr="00BF2781">
        <w:rPr>
          <w:rFonts w:ascii="Times New Roman" w:hAnsi="Times New Roman" w:cs="Times New Roman"/>
          <w:color w:val="000000" w:themeColor="text1"/>
          <w:sz w:val="24"/>
          <w:szCs w:val="24"/>
        </w:rPr>
        <w:t>The primary types of debit cards include classic, signature, platinum, and gold.</w:t>
      </w:r>
    </w:p>
    <w:p w14:paraId="20E9B64E" w14:textId="3FA49DB2" w:rsidR="00274FB7" w:rsidRPr="00BF2781" w:rsidRDefault="00274FB7" w:rsidP="00BF2781">
      <w:pPr>
        <w:pStyle w:val="ListParagraph"/>
        <w:numPr>
          <w:ilvl w:val="0"/>
          <w:numId w:val="3"/>
        </w:numPr>
        <w:shd w:val="clear" w:color="auto" w:fill="FFFFFF"/>
        <w:spacing w:after="300" w:line="420" w:lineRule="atLeast"/>
        <w:rPr>
          <w:rFonts w:ascii="Times New Roman" w:hAnsi="Times New Roman" w:cs="Times New Roman"/>
          <w:color w:val="000000" w:themeColor="text1"/>
          <w:sz w:val="24"/>
          <w:szCs w:val="24"/>
          <w:shd w:val="clear" w:color="auto" w:fill="FFFFFF"/>
        </w:rPr>
      </w:pPr>
      <w:r w:rsidRPr="00BF2781">
        <w:rPr>
          <w:rFonts w:ascii="Times New Roman" w:hAnsi="Times New Roman" w:cs="Times New Roman"/>
          <w:color w:val="000000" w:themeColor="text1"/>
          <w:sz w:val="24"/>
          <w:szCs w:val="24"/>
          <w:shd w:val="clear" w:color="auto" w:fill="FFFFFF"/>
        </w:rPr>
        <w:t>Ninety-seven percent of consumers had some type of payment card (debit, credit or prepaid), with 85% owning a debit card.</w:t>
      </w:r>
    </w:p>
    <w:p w14:paraId="4C9D4DDA" w14:textId="581E615C" w:rsidR="00274FB7" w:rsidRPr="00BF2781" w:rsidRDefault="00274FB7" w:rsidP="00BF2781">
      <w:pPr>
        <w:pStyle w:val="ListParagraph"/>
        <w:numPr>
          <w:ilvl w:val="0"/>
          <w:numId w:val="3"/>
        </w:numPr>
        <w:shd w:val="clear" w:color="auto" w:fill="FFFFFF"/>
        <w:spacing w:after="300" w:line="420" w:lineRule="atLeast"/>
        <w:rPr>
          <w:rFonts w:ascii="Times New Roman" w:hAnsi="Times New Roman" w:cs="Times New Roman"/>
          <w:color w:val="000000" w:themeColor="text1"/>
          <w:sz w:val="24"/>
          <w:szCs w:val="24"/>
        </w:rPr>
      </w:pPr>
      <w:r w:rsidRPr="00BF2781">
        <w:rPr>
          <w:rFonts w:ascii="Times New Roman" w:hAnsi="Times New Roman" w:cs="Times New Roman"/>
          <w:color w:val="000000" w:themeColor="text1"/>
          <w:sz w:val="24"/>
          <w:szCs w:val="24"/>
          <w:shd w:val="clear" w:color="auto" w:fill="FFFFFF"/>
        </w:rPr>
        <w:t> </w:t>
      </w:r>
      <w:hyperlink r:id="rId5" w:tgtFrame="_blank" w:history="1">
        <w:r w:rsidRPr="00BF2781">
          <w:rPr>
            <w:rStyle w:val="Hyperlink"/>
            <w:rFonts w:ascii="Times New Roman" w:hAnsi="Times New Roman" w:cs="Times New Roman"/>
            <w:color w:val="000000" w:themeColor="text1"/>
            <w:sz w:val="24"/>
            <w:szCs w:val="24"/>
            <w:u w:val="none"/>
            <w:shd w:val="clear" w:color="auto" w:fill="FFFFFF"/>
          </w:rPr>
          <w:t>Additionally, according to a </w:t>
        </w:r>
        <w:r w:rsidRPr="00BF2781">
          <w:rPr>
            <w:rStyle w:val="Strong"/>
            <w:rFonts w:ascii="Times New Roman" w:hAnsi="Times New Roman" w:cs="Times New Roman"/>
            <w:b w:val="0"/>
            <w:bCs w:val="0"/>
            <w:color w:val="000000" w:themeColor="text1"/>
            <w:sz w:val="24"/>
            <w:szCs w:val="24"/>
            <w:shd w:val="clear" w:color="auto" w:fill="FFFFFF"/>
          </w:rPr>
          <w:t>2024 poll</w:t>
        </w:r>
        <w:r w:rsidRPr="00BF2781">
          <w:rPr>
            <w:rStyle w:val="Hyperlink"/>
            <w:rFonts w:ascii="Times New Roman" w:hAnsi="Times New Roman" w:cs="Times New Roman"/>
            <w:b/>
            <w:bCs/>
            <w:color w:val="000000" w:themeColor="text1"/>
            <w:sz w:val="24"/>
            <w:szCs w:val="24"/>
            <w:u w:val="none"/>
            <w:shd w:val="clear" w:color="auto" w:fill="FFFFFF"/>
          </w:rPr>
          <w:t>, </w:t>
        </w:r>
        <w:r w:rsidRPr="00BF2781">
          <w:rPr>
            <w:rStyle w:val="Strong"/>
            <w:rFonts w:ascii="Times New Roman" w:hAnsi="Times New Roman" w:cs="Times New Roman"/>
            <w:b w:val="0"/>
            <w:bCs w:val="0"/>
            <w:color w:val="000000" w:themeColor="text1"/>
            <w:sz w:val="24"/>
            <w:szCs w:val="24"/>
            <w:shd w:val="clear" w:color="auto" w:fill="FFFFFF"/>
          </w:rPr>
          <w:t>57%</w:t>
        </w:r>
        <w:r w:rsidRPr="00BF2781">
          <w:rPr>
            <w:rStyle w:val="Hyperlink"/>
            <w:rFonts w:ascii="Times New Roman" w:hAnsi="Times New Roman" w:cs="Times New Roman"/>
            <w:color w:val="000000" w:themeColor="text1"/>
            <w:sz w:val="24"/>
            <w:szCs w:val="24"/>
            <w:u w:val="none"/>
            <w:shd w:val="clear" w:color="auto" w:fill="FFFFFF"/>
          </w:rPr>
          <w:t> of Americans prefer debit cards as their primary payment method</w:t>
        </w:r>
      </w:hyperlink>
      <w:r w:rsidRPr="00BF2781">
        <w:rPr>
          <w:rFonts w:ascii="Times New Roman" w:hAnsi="Times New Roman" w:cs="Times New Roman"/>
          <w:color w:val="000000" w:themeColor="text1"/>
          <w:sz w:val="24"/>
          <w:szCs w:val="24"/>
        </w:rPr>
        <w:t>.</w:t>
      </w:r>
    </w:p>
    <w:p w14:paraId="65A96DC9" w14:textId="462F1452" w:rsidR="00274FB7" w:rsidRPr="00BF2781" w:rsidRDefault="00274FB7" w:rsidP="00BF2781">
      <w:pPr>
        <w:pStyle w:val="ListParagraph"/>
        <w:numPr>
          <w:ilvl w:val="0"/>
          <w:numId w:val="3"/>
        </w:numPr>
        <w:shd w:val="clear" w:color="auto" w:fill="FFFFFF"/>
        <w:spacing w:after="300" w:line="420" w:lineRule="atLeast"/>
        <w:rPr>
          <w:rFonts w:ascii="Times New Roman" w:hAnsi="Times New Roman" w:cs="Times New Roman"/>
          <w:color w:val="000000" w:themeColor="text1"/>
          <w:sz w:val="24"/>
          <w:szCs w:val="24"/>
          <w:shd w:val="clear" w:color="auto" w:fill="FFFFFF"/>
        </w:rPr>
      </w:pPr>
      <w:r w:rsidRPr="00BF2781">
        <w:rPr>
          <w:rFonts w:ascii="Times New Roman" w:hAnsi="Times New Roman" w:cs="Times New Roman"/>
          <w:color w:val="000000" w:themeColor="text1"/>
          <w:sz w:val="24"/>
          <w:szCs w:val="24"/>
          <w:shd w:val="clear" w:color="auto" w:fill="FFFFFF"/>
        </w:rPr>
        <w:t>60% of payments in 2022 were made with payment cards, such as debit, credit, and prepaid cards.</w:t>
      </w:r>
    </w:p>
    <w:p w14:paraId="17C92400" w14:textId="620F434A" w:rsidR="00C63364" w:rsidRPr="00BF2781" w:rsidRDefault="00C63364" w:rsidP="00BF2781">
      <w:pPr>
        <w:pStyle w:val="ListParagraph"/>
        <w:numPr>
          <w:ilvl w:val="0"/>
          <w:numId w:val="3"/>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sidRPr="00BF2781">
        <w:rPr>
          <w:rFonts w:ascii="Times New Roman" w:eastAsia="Times New Roman" w:hAnsi="Times New Roman" w:cs="Times New Roman"/>
          <w:color w:val="000000" w:themeColor="text1"/>
          <w:kern w:val="0"/>
          <w:sz w:val="24"/>
          <w:szCs w:val="24"/>
          <w:lang w:eastAsia="en-IN"/>
          <w14:ligatures w14:val="none"/>
        </w:rPr>
        <w:t>As cryptocurrency gains in popularity, it’s starting to impact debit card use. According to the PYMNTS Next-Gen Debit Tracker report,</w:t>
      </w:r>
      <w:r w:rsidR="00BF2781" w:rsidRPr="00BF2781">
        <w:rPr>
          <w:rFonts w:ascii="Times New Roman" w:eastAsia="Times New Roman" w:hAnsi="Times New Roman" w:cs="Times New Roman"/>
          <w:color w:val="000000" w:themeColor="text1"/>
          <w:kern w:val="0"/>
          <w:sz w:val="24"/>
          <w:szCs w:val="24"/>
          <w:lang w:eastAsia="en-IN"/>
          <w14:ligatures w14:val="none"/>
        </w:rPr>
        <w:t xml:space="preserve"> </w:t>
      </w:r>
      <w:r w:rsidRPr="00BF2781">
        <w:rPr>
          <w:rFonts w:ascii="Times New Roman" w:eastAsia="Times New Roman" w:hAnsi="Times New Roman" w:cs="Times New Roman"/>
          <w:color w:val="000000" w:themeColor="text1"/>
          <w:kern w:val="0"/>
          <w:sz w:val="24"/>
          <w:szCs w:val="24"/>
          <w:lang w:eastAsia="en-IN"/>
          <w14:ligatures w14:val="none"/>
        </w:rPr>
        <w:t>16% of U.S. consumers own or have owned cryptocurrency and 51% are more likely to shop with a merchant that accepts it.</w:t>
      </w:r>
    </w:p>
    <w:p w14:paraId="17CF853F" w14:textId="474D26FC" w:rsidR="00C63364" w:rsidRPr="00BF2781" w:rsidRDefault="00C63364" w:rsidP="00BF2781">
      <w:pPr>
        <w:pStyle w:val="ListParagraph"/>
        <w:numPr>
          <w:ilvl w:val="0"/>
          <w:numId w:val="3"/>
        </w:numPr>
        <w:shd w:val="clear" w:color="auto" w:fill="FFFFFF"/>
        <w:spacing w:before="100" w:beforeAutospacing="1" w:after="100" w:afterAutospacing="1" w:line="240" w:lineRule="auto"/>
        <w:textAlignment w:val="baseline"/>
        <w:rPr>
          <w:rFonts w:ascii="Times New Roman" w:hAnsi="Times New Roman" w:cs="Times New Roman"/>
          <w:color w:val="000000" w:themeColor="text1"/>
          <w:sz w:val="24"/>
          <w:szCs w:val="24"/>
          <w:shd w:val="clear" w:color="auto" w:fill="FFFFFF"/>
        </w:rPr>
      </w:pPr>
      <w:r w:rsidRPr="00BF2781">
        <w:rPr>
          <w:rFonts w:ascii="Times New Roman" w:hAnsi="Times New Roman" w:cs="Times New Roman"/>
          <w:color w:val="000000" w:themeColor="text1"/>
          <w:sz w:val="24"/>
          <w:szCs w:val="24"/>
          <w:shd w:val="clear" w:color="auto" w:fill="FFFFFF"/>
        </w:rPr>
        <w:t>The shift to mobile payments was behind the trend toward debit spending and not a preference for debit. That’s because debit cards were nearly twice as likely to be linked to Google Pay or Apple Pay than credit cards.</w:t>
      </w:r>
    </w:p>
    <w:p w14:paraId="4981D13E" w14:textId="0C101302" w:rsidR="00C63364" w:rsidRPr="00BF2781" w:rsidRDefault="00C63364" w:rsidP="00BF2781">
      <w:pPr>
        <w:pStyle w:val="ListParagraph"/>
        <w:numPr>
          <w:ilvl w:val="0"/>
          <w:numId w:val="3"/>
        </w:numPr>
        <w:shd w:val="clear" w:color="auto" w:fill="FFFFFF"/>
        <w:spacing w:before="100" w:beforeAutospacing="1" w:after="100" w:afterAutospacing="1" w:line="240" w:lineRule="auto"/>
        <w:textAlignment w:val="baseline"/>
        <w:rPr>
          <w:rFonts w:ascii="Times New Roman" w:hAnsi="Times New Roman" w:cs="Times New Roman"/>
          <w:color w:val="000000" w:themeColor="text1"/>
          <w:sz w:val="24"/>
          <w:szCs w:val="24"/>
          <w:shd w:val="clear" w:color="auto" w:fill="FFFFFF"/>
        </w:rPr>
      </w:pPr>
      <w:r w:rsidRPr="00BF2781">
        <w:rPr>
          <w:rFonts w:ascii="Times New Roman" w:hAnsi="Times New Roman" w:cs="Times New Roman"/>
          <w:color w:val="000000" w:themeColor="text1"/>
          <w:sz w:val="24"/>
          <w:szCs w:val="24"/>
          <w:shd w:val="clear" w:color="auto" w:fill="FFFFFF"/>
        </w:rPr>
        <w:lastRenderedPageBreak/>
        <w:t xml:space="preserve">A study from Cornerstone Advisors that shows 57% of the approximately 22 million Gen </w:t>
      </w:r>
      <w:proofErr w:type="spellStart"/>
      <w:r w:rsidRPr="00BF2781">
        <w:rPr>
          <w:rFonts w:ascii="Times New Roman" w:hAnsi="Times New Roman" w:cs="Times New Roman"/>
          <w:color w:val="000000" w:themeColor="text1"/>
          <w:sz w:val="24"/>
          <w:szCs w:val="24"/>
          <w:shd w:val="clear" w:color="auto" w:fill="FFFFFF"/>
        </w:rPr>
        <w:t>Zers</w:t>
      </w:r>
      <w:proofErr w:type="spellEnd"/>
      <w:r w:rsidRPr="00BF2781">
        <w:rPr>
          <w:rFonts w:ascii="Times New Roman" w:hAnsi="Times New Roman" w:cs="Times New Roman"/>
          <w:color w:val="000000" w:themeColor="text1"/>
          <w:sz w:val="24"/>
          <w:szCs w:val="24"/>
          <w:shd w:val="clear" w:color="auto" w:fill="FFFFFF"/>
        </w:rPr>
        <w:t xml:space="preserve"> between 21 and 25 years old have at least one credit card, with 25% holding two or more.</w:t>
      </w:r>
    </w:p>
    <w:tbl>
      <w:tblPr>
        <w:tblW w:w="3681" w:type="dxa"/>
        <w:jc w:val="center"/>
        <w:tblLook w:val="04A0" w:firstRow="1" w:lastRow="0" w:firstColumn="1" w:lastColumn="0" w:noHBand="0" w:noVBand="1"/>
      </w:tblPr>
      <w:tblGrid>
        <w:gridCol w:w="2263"/>
        <w:gridCol w:w="1418"/>
      </w:tblGrid>
      <w:tr w:rsidR="00C63364" w:rsidRPr="00BF2781" w14:paraId="73626112" w14:textId="77777777" w:rsidTr="00BF2781">
        <w:trPr>
          <w:trHeight w:val="775"/>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489570" w14:textId="77777777" w:rsidR="00C63364" w:rsidRPr="00BF2781" w:rsidRDefault="00C63364" w:rsidP="00BF2781">
            <w:pPr>
              <w:spacing w:after="0" w:line="240" w:lineRule="auto"/>
              <w:rPr>
                <w:rFonts w:ascii="Times New Roman" w:eastAsia="Times New Roman" w:hAnsi="Times New Roman" w:cs="Times New Roman"/>
                <w:b/>
                <w:bCs/>
                <w:color w:val="000000"/>
                <w:kern w:val="0"/>
                <w:sz w:val="24"/>
                <w:szCs w:val="24"/>
                <w:lang w:eastAsia="en-IN"/>
                <w14:ligatures w14:val="none"/>
              </w:rPr>
            </w:pPr>
            <w:r w:rsidRPr="00BF2781">
              <w:rPr>
                <w:rFonts w:ascii="Times New Roman" w:eastAsia="Times New Roman" w:hAnsi="Times New Roman" w:cs="Times New Roman"/>
                <w:b/>
                <w:bCs/>
                <w:color w:val="000000"/>
                <w:kern w:val="0"/>
                <w:sz w:val="24"/>
                <w:szCs w:val="24"/>
                <w:lang w:eastAsia="en-IN"/>
                <w14:ligatures w14:val="none"/>
              </w:rPr>
              <w:t>Payment Method</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1099B285" w14:textId="77777777" w:rsidR="00C63364" w:rsidRPr="00BF2781" w:rsidRDefault="00C63364" w:rsidP="00BF2781">
            <w:pPr>
              <w:spacing w:after="0" w:line="240" w:lineRule="auto"/>
              <w:rPr>
                <w:rFonts w:ascii="Times New Roman" w:eastAsia="Times New Roman" w:hAnsi="Times New Roman" w:cs="Times New Roman"/>
                <w:b/>
                <w:bCs/>
                <w:color w:val="000000"/>
                <w:kern w:val="0"/>
                <w:sz w:val="24"/>
                <w:szCs w:val="24"/>
                <w:lang w:eastAsia="en-IN"/>
                <w14:ligatures w14:val="none"/>
              </w:rPr>
            </w:pPr>
            <w:r w:rsidRPr="00BF2781">
              <w:rPr>
                <w:rFonts w:ascii="Times New Roman" w:eastAsia="Times New Roman" w:hAnsi="Times New Roman" w:cs="Times New Roman"/>
                <w:b/>
                <w:bCs/>
                <w:color w:val="000000"/>
                <w:kern w:val="0"/>
                <w:sz w:val="24"/>
                <w:szCs w:val="24"/>
                <w:lang w:eastAsia="en-IN"/>
                <w14:ligatures w14:val="none"/>
              </w:rPr>
              <w:t>Count</w:t>
            </w:r>
          </w:p>
        </w:tc>
      </w:tr>
      <w:tr w:rsidR="00C63364" w:rsidRPr="00BF2781" w14:paraId="074F07E5" w14:textId="77777777" w:rsidTr="00BF2781">
        <w:trPr>
          <w:trHeight w:val="387"/>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2032D7B1" w14:textId="77777777" w:rsidR="00C63364" w:rsidRPr="00BF2781" w:rsidRDefault="00C63364" w:rsidP="00C63364">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Cash</w:t>
            </w:r>
          </w:p>
        </w:tc>
        <w:tc>
          <w:tcPr>
            <w:tcW w:w="1418" w:type="dxa"/>
            <w:tcBorders>
              <w:top w:val="nil"/>
              <w:left w:val="nil"/>
              <w:bottom w:val="single" w:sz="4" w:space="0" w:color="auto"/>
              <w:right w:val="single" w:sz="4" w:space="0" w:color="auto"/>
            </w:tcBorders>
            <w:shd w:val="clear" w:color="auto" w:fill="auto"/>
            <w:vAlign w:val="center"/>
            <w:hideMark/>
          </w:tcPr>
          <w:p w14:paraId="5989675C" w14:textId="77777777" w:rsidR="00C63364" w:rsidRPr="00BF2781" w:rsidRDefault="00C63364"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14</w:t>
            </w:r>
          </w:p>
        </w:tc>
      </w:tr>
      <w:tr w:rsidR="00C63364" w:rsidRPr="00BF2781" w14:paraId="0ABF39AD" w14:textId="77777777" w:rsidTr="00BF2781">
        <w:trPr>
          <w:trHeight w:val="387"/>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DEE9D00" w14:textId="77777777" w:rsidR="00C63364" w:rsidRPr="00BF2781" w:rsidRDefault="00C63364" w:rsidP="00C63364">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Credit</w:t>
            </w:r>
          </w:p>
        </w:tc>
        <w:tc>
          <w:tcPr>
            <w:tcW w:w="1418" w:type="dxa"/>
            <w:tcBorders>
              <w:top w:val="nil"/>
              <w:left w:val="nil"/>
              <w:bottom w:val="single" w:sz="4" w:space="0" w:color="auto"/>
              <w:right w:val="single" w:sz="4" w:space="0" w:color="auto"/>
            </w:tcBorders>
            <w:shd w:val="clear" w:color="auto" w:fill="auto"/>
            <w:vAlign w:val="center"/>
            <w:hideMark/>
          </w:tcPr>
          <w:p w14:paraId="460A0DC6" w14:textId="77777777" w:rsidR="00C63364" w:rsidRPr="00BF2781" w:rsidRDefault="00C63364"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18</w:t>
            </w:r>
          </w:p>
        </w:tc>
      </w:tr>
      <w:tr w:rsidR="00C63364" w:rsidRPr="00BF2781" w14:paraId="0D0D0FAA" w14:textId="77777777" w:rsidTr="00BF2781">
        <w:trPr>
          <w:trHeight w:val="387"/>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5146608" w14:textId="77777777" w:rsidR="00C63364" w:rsidRPr="00BF2781" w:rsidRDefault="00C63364" w:rsidP="00C63364">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Debit</w:t>
            </w:r>
          </w:p>
        </w:tc>
        <w:tc>
          <w:tcPr>
            <w:tcW w:w="1418" w:type="dxa"/>
            <w:tcBorders>
              <w:top w:val="nil"/>
              <w:left w:val="nil"/>
              <w:bottom w:val="single" w:sz="4" w:space="0" w:color="auto"/>
              <w:right w:val="single" w:sz="4" w:space="0" w:color="auto"/>
            </w:tcBorders>
            <w:shd w:val="clear" w:color="auto" w:fill="auto"/>
            <w:vAlign w:val="center"/>
            <w:hideMark/>
          </w:tcPr>
          <w:p w14:paraId="5A9B25FC" w14:textId="77777777" w:rsidR="00C63364" w:rsidRPr="00BF2781" w:rsidRDefault="00C63364"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23</w:t>
            </w:r>
          </w:p>
        </w:tc>
      </w:tr>
    </w:tbl>
    <w:p w14:paraId="3820BEAA" w14:textId="41612C79" w:rsidR="00C63364" w:rsidRDefault="00C63364"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r w:rsidRPr="00BF2781">
        <w:rPr>
          <w:rFonts w:ascii="Times New Roman" w:hAnsi="Times New Roman" w:cs="Times New Roman"/>
          <w:noProof/>
          <w:sz w:val="24"/>
          <w:szCs w:val="24"/>
        </w:rPr>
        <w:drawing>
          <wp:inline distT="0" distB="0" distL="0" distR="0" wp14:anchorId="47F40309" wp14:editId="71D3B4A6">
            <wp:extent cx="4142630" cy="2488759"/>
            <wp:effectExtent l="0" t="0" r="10795" b="6985"/>
            <wp:docPr id="1082641993" name="Chart 1">
              <a:extLst xmlns:a="http://schemas.openxmlformats.org/drawingml/2006/main">
                <a:ext uri="{FF2B5EF4-FFF2-40B4-BE49-F238E27FC236}">
                  <a16:creationId xmlns:a16="http://schemas.microsoft.com/office/drawing/2014/main" id="{10228D9A-9E7E-BEE8-DDDB-09A4C0C224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9AEA91"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201B2505"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4CAA5502"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3F33810C"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00FA2A3B"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6D25D842"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22641E41"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18F782E5"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495B7535"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700450FE" w14:textId="77777777" w:rsidR="009743E7"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6253C784" w14:textId="77777777" w:rsidR="009743E7" w:rsidRPr="00BF2781" w:rsidRDefault="009743E7" w:rsidP="00BF2781">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333333"/>
          <w:kern w:val="0"/>
          <w:sz w:val="24"/>
          <w:szCs w:val="24"/>
          <w:lang w:eastAsia="en-IN"/>
          <w14:ligatures w14:val="none"/>
        </w:rPr>
      </w:pPr>
    </w:p>
    <w:p w14:paraId="71832F2B" w14:textId="7243AD97" w:rsidR="00710E6C" w:rsidRPr="00BF2781" w:rsidRDefault="00710E6C" w:rsidP="00C63364">
      <w:pPr>
        <w:shd w:val="clear" w:color="auto" w:fill="FFFFFF"/>
        <w:spacing w:before="100" w:beforeAutospacing="1" w:after="100" w:afterAutospacing="1" w:line="240" w:lineRule="auto"/>
        <w:textAlignment w:val="baseline"/>
        <w:rPr>
          <w:rFonts w:ascii="Times New Roman" w:eastAsia="Times New Roman" w:hAnsi="Times New Roman" w:cs="Times New Roman"/>
          <w:b/>
          <w:bCs/>
          <w:color w:val="333333"/>
          <w:kern w:val="0"/>
          <w:sz w:val="36"/>
          <w:szCs w:val="36"/>
          <w:u w:val="single"/>
          <w:lang w:eastAsia="en-IN"/>
          <w14:ligatures w14:val="none"/>
        </w:rPr>
      </w:pPr>
      <w:r w:rsidRPr="00BF2781">
        <w:rPr>
          <w:rFonts w:ascii="Times New Roman" w:eastAsia="Times New Roman" w:hAnsi="Times New Roman" w:cs="Times New Roman"/>
          <w:b/>
          <w:bCs/>
          <w:color w:val="333333"/>
          <w:kern w:val="0"/>
          <w:sz w:val="36"/>
          <w:szCs w:val="36"/>
          <w:u w:val="single"/>
          <w:lang w:eastAsia="en-IN"/>
          <w14:ligatures w14:val="none"/>
        </w:rPr>
        <w:lastRenderedPageBreak/>
        <w:t>PREPAID CARDS</w:t>
      </w:r>
    </w:p>
    <w:p w14:paraId="01410918" w14:textId="214C1208" w:rsidR="00710E6C" w:rsidRPr="00BF2781" w:rsidRDefault="00710E6C" w:rsidP="00BF2781">
      <w:pPr>
        <w:pStyle w:val="ListParagraph"/>
        <w:numPr>
          <w:ilvl w:val="0"/>
          <w:numId w:val="4"/>
        </w:numPr>
        <w:shd w:val="clear" w:color="auto" w:fill="FFFFFF"/>
        <w:spacing w:before="100" w:beforeAutospacing="1" w:after="100" w:afterAutospacing="1" w:line="240" w:lineRule="auto"/>
        <w:textAlignment w:val="baseline"/>
        <w:rPr>
          <w:rFonts w:ascii="Times New Roman" w:hAnsi="Times New Roman" w:cs="Times New Roman"/>
          <w:color w:val="000000"/>
          <w:sz w:val="24"/>
          <w:szCs w:val="24"/>
        </w:rPr>
      </w:pPr>
      <w:r w:rsidRPr="00BF2781">
        <w:rPr>
          <w:rFonts w:ascii="Times New Roman" w:hAnsi="Times New Roman" w:cs="Times New Roman"/>
          <w:color w:val="000000"/>
          <w:sz w:val="24"/>
          <w:szCs w:val="24"/>
        </w:rPr>
        <w:t>Prepaid credit cards are relatively a new concept in India. Prepaid credit cards are similar to credit cards; only money is deposited before use and one can only make spends equivalent to the amount of money deposited in advance.</w:t>
      </w:r>
      <w:r w:rsidRPr="00BF2781">
        <w:rPr>
          <w:rFonts w:ascii="Times New Roman" w:hAnsi="Times New Roman" w:cs="Times New Roman"/>
          <w:color w:val="000000"/>
          <w:sz w:val="24"/>
          <w:szCs w:val="24"/>
        </w:rPr>
        <w:t xml:space="preserve"> </w:t>
      </w:r>
      <w:r w:rsidRPr="00BF2781">
        <w:rPr>
          <w:rFonts w:ascii="Times New Roman" w:hAnsi="Times New Roman" w:cs="Times New Roman"/>
          <w:color w:val="000000"/>
          <w:sz w:val="24"/>
          <w:szCs w:val="24"/>
        </w:rPr>
        <w:t> This makes prepaid cards apt for all the users who do not find it plausible to maintain a good credit score and thereby diminishing their prospects of owning a credit card.</w:t>
      </w:r>
    </w:p>
    <w:p w14:paraId="71F4B3B7" w14:textId="615C1D3B" w:rsidR="00710E6C" w:rsidRPr="00BF2781" w:rsidRDefault="00710E6C" w:rsidP="00BF2781">
      <w:pPr>
        <w:pStyle w:val="ListParagraph"/>
        <w:numPr>
          <w:ilvl w:val="0"/>
          <w:numId w:val="4"/>
        </w:numPr>
        <w:shd w:val="clear" w:color="auto" w:fill="FFFFFF"/>
        <w:spacing w:before="100" w:beforeAutospacing="1" w:after="100" w:afterAutospacing="1" w:line="240" w:lineRule="auto"/>
        <w:textAlignment w:val="baseline"/>
        <w:rPr>
          <w:rFonts w:ascii="Times New Roman" w:hAnsi="Times New Roman" w:cs="Times New Roman"/>
          <w:color w:val="333333"/>
          <w:sz w:val="24"/>
          <w:szCs w:val="24"/>
          <w:shd w:val="clear" w:color="auto" w:fill="FCFCFC"/>
        </w:rPr>
      </w:pPr>
      <w:r w:rsidRPr="00BF2781">
        <w:rPr>
          <w:rFonts w:ascii="Times New Roman" w:hAnsi="Times New Roman" w:cs="Times New Roman"/>
          <w:color w:val="333333"/>
          <w:sz w:val="24"/>
          <w:szCs w:val="24"/>
          <w:shd w:val="clear" w:color="auto" w:fill="FCFCFC"/>
        </w:rPr>
        <w:t>The primary difference between a regular debit card and a prepaid debit card is that the former is linked to a bank account while the latter isn’t.</w:t>
      </w:r>
    </w:p>
    <w:p w14:paraId="78E7B66D" w14:textId="63D0BEBC" w:rsidR="00E43349" w:rsidRPr="00BF2781" w:rsidRDefault="00E43349" w:rsidP="00BF2781">
      <w:pPr>
        <w:pStyle w:val="ListParagraph"/>
        <w:numPr>
          <w:ilvl w:val="0"/>
          <w:numId w:val="4"/>
        </w:numPr>
        <w:shd w:val="clear" w:color="auto" w:fill="FFFFFF"/>
        <w:spacing w:before="100" w:beforeAutospacing="1" w:after="100" w:afterAutospacing="1" w:line="240" w:lineRule="auto"/>
        <w:textAlignment w:val="baseline"/>
        <w:rPr>
          <w:rFonts w:ascii="Times New Roman" w:hAnsi="Times New Roman" w:cs="Times New Roman"/>
          <w:sz w:val="24"/>
          <w:szCs w:val="24"/>
        </w:rPr>
      </w:pPr>
      <w:r w:rsidRPr="00BF2781">
        <w:rPr>
          <w:rFonts w:ascii="Times New Roman" w:eastAsia="Times New Roman" w:hAnsi="Times New Roman" w:cs="Times New Roman"/>
          <w:color w:val="333333"/>
          <w:kern w:val="0"/>
          <w:sz w:val="24"/>
          <w:szCs w:val="24"/>
          <w:lang w:eastAsia="en-IN"/>
          <w14:ligatures w14:val="none"/>
        </w:rPr>
        <w:t xml:space="preserve">Best Prepaid Debit Cards are Bluebird by American Express, </w:t>
      </w:r>
      <w:r w:rsidRPr="00BF2781">
        <w:rPr>
          <w:rFonts w:ascii="Times New Roman" w:hAnsi="Times New Roman" w:cs="Times New Roman"/>
          <w:sz w:val="24"/>
          <w:szCs w:val="24"/>
        </w:rPr>
        <w:t>Serve American Express Prepaid Debit Account</w:t>
      </w:r>
      <w:r w:rsidRPr="00BF2781">
        <w:rPr>
          <w:rFonts w:ascii="Times New Roman" w:hAnsi="Times New Roman" w:cs="Times New Roman"/>
          <w:sz w:val="24"/>
          <w:szCs w:val="24"/>
        </w:rPr>
        <w:t xml:space="preserve">, </w:t>
      </w:r>
      <w:r w:rsidRPr="00BF2781">
        <w:rPr>
          <w:rFonts w:ascii="Times New Roman" w:hAnsi="Times New Roman" w:cs="Times New Roman"/>
          <w:sz w:val="24"/>
          <w:szCs w:val="24"/>
        </w:rPr>
        <w:t>ONE VIP Visa Prepaid Card</w:t>
      </w:r>
      <w:r w:rsidRPr="00BF2781">
        <w:rPr>
          <w:rFonts w:ascii="Times New Roman" w:hAnsi="Times New Roman" w:cs="Times New Roman"/>
          <w:sz w:val="24"/>
          <w:szCs w:val="24"/>
        </w:rPr>
        <w:t xml:space="preserve"> and many more.</w:t>
      </w:r>
    </w:p>
    <w:p w14:paraId="44F2D6E3" w14:textId="220CBE40" w:rsidR="00E43349" w:rsidRDefault="00E43349" w:rsidP="009D164E">
      <w:pPr>
        <w:pStyle w:val="ListParagraph"/>
        <w:numPr>
          <w:ilvl w:val="0"/>
          <w:numId w:val="4"/>
        </w:numPr>
        <w:shd w:val="clear" w:color="auto" w:fill="FFFFFF"/>
        <w:spacing w:before="100" w:beforeAutospacing="1" w:after="100" w:afterAutospacing="1" w:line="240" w:lineRule="auto"/>
        <w:textAlignment w:val="baseline"/>
        <w:rPr>
          <w:rFonts w:ascii="Times New Roman" w:hAnsi="Times New Roman" w:cs="Times New Roman"/>
          <w:color w:val="000000"/>
          <w:sz w:val="24"/>
          <w:szCs w:val="24"/>
          <w:shd w:val="clear" w:color="auto" w:fill="FFFFFF"/>
        </w:rPr>
      </w:pPr>
      <w:r w:rsidRPr="00BF2781">
        <w:rPr>
          <w:rFonts w:ascii="Times New Roman" w:hAnsi="Times New Roman" w:cs="Times New Roman"/>
          <w:color w:val="000000"/>
          <w:sz w:val="24"/>
          <w:szCs w:val="24"/>
          <w:shd w:val="clear" w:color="auto" w:fill="FFFFFF"/>
        </w:rPr>
        <w:t xml:space="preserve">The Global Prepaid Card Market is valued at USD </w:t>
      </w:r>
      <w:r w:rsidR="009D164E">
        <w:rPr>
          <w:rFonts w:ascii="Times New Roman" w:hAnsi="Times New Roman" w:cs="Times New Roman"/>
          <w:color w:val="000000"/>
          <w:sz w:val="24"/>
          <w:szCs w:val="24"/>
          <w:shd w:val="clear" w:color="auto" w:fill="FFFFFF"/>
        </w:rPr>
        <w:t>32.87 billion</w:t>
      </w:r>
      <w:r w:rsidRPr="00BF2781">
        <w:rPr>
          <w:rFonts w:ascii="Times New Roman" w:hAnsi="Times New Roman" w:cs="Times New Roman"/>
          <w:color w:val="000000"/>
          <w:sz w:val="24"/>
          <w:szCs w:val="24"/>
          <w:shd w:val="clear" w:color="auto" w:fill="FFFFFF"/>
        </w:rPr>
        <w:t xml:space="preserve"> in 2023 and is projected to reach a market size of USD </w:t>
      </w:r>
      <w:r w:rsidR="00561679">
        <w:rPr>
          <w:rFonts w:ascii="Times New Roman" w:hAnsi="Times New Roman" w:cs="Times New Roman"/>
          <w:color w:val="000000"/>
          <w:sz w:val="24"/>
          <w:szCs w:val="24"/>
          <w:shd w:val="clear" w:color="auto" w:fill="FFFFFF"/>
        </w:rPr>
        <w:t>61.46 bi</w:t>
      </w:r>
      <w:r w:rsidRPr="00BF2781">
        <w:rPr>
          <w:rFonts w:ascii="Times New Roman" w:hAnsi="Times New Roman" w:cs="Times New Roman"/>
          <w:color w:val="000000"/>
          <w:sz w:val="24"/>
          <w:szCs w:val="24"/>
          <w:shd w:val="clear" w:color="auto" w:fill="FFFFFF"/>
        </w:rPr>
        <w:t>llion by the end of 2030</w:t>
      </w:r>
      <w:r w:rsidR="00561679">
        <w:rPr>
          <w:rFonts w:ascii="Times New Roman" w:hAnsi="Times New Roman" w:cs="Times New Roman"/>
          <w:color w:val="000000"/>
          <w:sz w:val="24"/>
          <w:szCs w:val="24"/>
          <w:shd w:val="clear" w:color="auto" w:fill="FFFFFF"/>
        </w:rPr>
        <w:t xml:space="preserve"> with a CAGR of 8.9%</w:t>
      </w:r>
      <w:r w:rsidRPr="00BF2781">
        <w:rPr>
          <w:rFonts w:ascii="Times New Roman" w:hAnsi="Times New Roman" w:cs="Times New Roman"/>
          <w:color w:val="000000"/>
          <w:sz w:val="24"/>
          <w:szCs w:val="24"/>
          <w:shd w:val="clear" w:color="auto" w:fill="FFFFFF"/>
        </w:rPr>
        <w:t>.</w:t>
      </w:r>
    </w:p>
    <w:p w14:paraId="5E6904DE" w14:textId="64EF5750" w:rsidR="009D164E" w:rsidRPr="00561679" w:rsidRDefault="009D164E" w:rsidP="009D164E">
      <w:pPr>
        <w:pStyle w:val="ListParagraph"/>
        <w:numPr>
          <w:ilvl w:val="0"/>
          <w:numId w:val="4"/>
        </w:numPr>
        <w:shd w:val="clear" w:color="auto" w:fill="FFFFFF"/>
        <w:spacing w:before="100" w:beforeAutospacing="1" w:after="100" w:afterAutospacing="1" w:line="240" w:lineRule="auto"/>
        <w:textAlignment w:val="baseline"/>
        <w:rPr>
          <w:rFonts w:ascii="Times New Roman" w:hAnsi="Times New Roman" w:cs="Times New Roman"/>
          <w:color w:val="000000"/>
          <w:sz w:val="24"/>
          <w:szCs w:val="24"/>
          <w:shd w:val="clear" w:color="auto" w:fill="FFFFFF"/>
        </w:rPr>
      </w:pPr>
      <w:r w:rsidRPr="00561679">
        <w:rPr>
          <w:rFonts w:ascii="Times New Roman" w:hAnsi="Times New Roman" w:cs="Times New Roman"/>
          <w:color w:val="323A45"/>
          <w:sz w:val="24"/>
          <w:szCs w:val="24"/>
          <w:shd w:val="clear" w:color="auto" w:fill="FFFFFF"/>
        </w:rPr>
        <w:t>Millennials prefer prepaid cards because of benefits like ATM withdrawals and online shopping without linking to checking accounts.</w:t>
      </w:r>
    </w:p>
    <w:p w14:paraId="07102D99" w14:textId="40692D3A" w:rsidR="009D164E" w:rsidRPr="00561679" w:rsidRDefault="009D164E" w:rsidP="009D164E">
      <w:pPr>
        <w:pStyle w:val="NormalWeb"/>
        <w:numPr>
          <w:ilvl w:val="0"/>
          <w:numId w:val="4"/>
        </w:numPr>
        <w:shd w:val="clear" w:color="auto" w:fill="FFFFFF"/>
        <w:spacing w:before="0" w:beforeAutospacing="0"/>
        <w:rPr>
          <w:color w:val="323A45"/>
        </w:rPr>
      </w:pPr>
      <w:r w:rsidRPr="00561679">
        <w:rPr>
          <w:color w:val="323A45"/>
        </w:rPr>
        <w:t>According to Payments</w:t>
      </w:r>
      <w:r w:rsidR="00561679">
        <w:rPr>
          <w:color w:val="323A45"/>
        </w:rPr>
        <w:t xml:space="preserve"> </w:t>
      </w:r>
      <w:r w:rsidRPr="00561679">
        <w:rPr>
          <w:color w:val="323A45"/>
        </w:rPr>
        <w:t>Journal, websites that enable the buying or selling of gift cards saw the highest level of traffic at 16% in 2020</w:t>
      </w:r>
      <w:r w:rsidRPr="00561679">
        <w:rPr>
          <w:color w:val="323A45"/>
        </w:rPr>
        <w:t xml:space="preserve">due to lockdown and social distancing. </w:t>
      </w:r>
      <w:r w:rsidRPr="00561679">
        <w:rPr>
          <w:color w:val="323A45"/>
        </w:rPr>
        <w:t>There's still one problem: 46% of consumers aren't aware of these websites</w:t>
      </w:r>
      <w:r w:rsidR="00561679" w:rsidRPr="00561679">
        <w:rPr>
          <w:color w:val="323A45"/>
        </w:rPr>
        <w:t>.</w:t>
      </w:r>
    </w:p>
    <w:p w14:paraId="5A594B66" w14:textId="77777777" w:rsidR="00561679" w:rsidRDefault="00561679" w:rsidP="00561679">
      <w:pPr>
        <w:pStyle w:val="NormalWeb"/>
        <w:numPr>
          <w:ilvl w:val="0"/>
          <w:numId w:val="4"/>
        </w:numPr>
        <w:shd w:val="clear" w:color="auto" w:fill="FFFFFF"/>
        <w:spacing w:before="0" w:beforeAutospacing="0"/>
        <w:rPr>
          <w:color w:val="323A45"/>
        </w:rPr>
      </w:pPr>
      <w:r w:rsidRPr="00561679">
        <w:rPr>
          <w:color w:val="323A45"/>
        </w:rPr>
        <w:t>According to World Bank, nearly 1.7 billion adults across the world still do not have a bank account. Prepaid Cards can provide financial services to these people, such as ability to send and receive money, make payments and withdraw cash.</w:t>
      </w:r>
    </w:p>
    <w:p w14:paraId="182ED539" w14:textId="66AE2D15" w:rsidR="009743E7" w:rsidRPr="009743E7" w:rsidRDefault="009743E7" w:rsidP="00561679">
      <w:pPr>
        <w:pStyle w:val="NormalWeb"/>
        <w:numPr>
          <w:ilvl w:val="0"/>
          <w:numId w:val="4"/>
        </w:numPr>
        <w:shd w:val="clear" w:color="auto" w:fill="FFFFFF"/>
        <w:spacing w:before="0" w:beforeAutospacing="0"/>
        <w:rPr>
          <w:rStyle w:val="Strong"/>
          <w:b w:val="0"/>
          <w:bCs w:val="0"/>
        </w:rPr>
      </w:pPr>
      <w:r w:rsidRPr="009743E7">
        <w:rPr>
          <w:rStyle w:val="Strong"/>
          <w:b w:val="0"/>
          <w:bCs w:val="0"/>
        </w:rPr>
        <w:t>Close to 50% of prepaid card users are classified as underbanked individuals.</w:t>
      </w:r>
    </w:p>
    <w:p w14:paraId="450F1DB9" w14:textId="66340851" w:rsidR="00561679" w:rsidRDefault="00561679" w:rsidP="00561679">
      <w:pPr>
        <w:pStyle w:val="NormalWeb"/>
        <w:numPr>
          <w:ilvl w:val="0"/>
          <w:numId w:val="4"/>
        </w:numPr>
        <w:shd w:val="clear" w:color="auto" w:fill="FFFFFF"/>
        <w:spacing w:before="0" w:beforeAutospacing="0"/>
        <w:rPr>
          <w:color w:val="323A45"/>
        </w:rPr>
      </w:pPr>
      <w:r w:rsidRPr="00561679">
        <w:rPr>
          <w:color w:val="454748"/>
        </w:rPr>
        <w:t>As of August 2023, the United States Census Bureau reported a 7.5% increase in e-commerce estimates for the second quarter of 2023 compared to the second quarter of 2022. This growth in online sales, accounting for 15.4% of total sales, indicates a rising preference for prepaid cards in the online shopping landscape.</w:t>
      </w:r>
      <w:r w:rsidRPr="00561679">
        <w:rPr>
          <w:color w:val="323A45"/>
        </w:rPr>
        <w:t xml:space="preserve"> </w:t>
      </w:r>
    </w:p>
    <w:p w14:paraId="242E70F3" w14:textId="5F27BBC7" w:rsidR="009743E7" w:rsidRPr="009743E7" w:rsidRDefault="009743E7" w:rsidP="00561679">
      <w:pPr>
        <w:pStyle w:val="NormalWeb"/>
        <w:numPr>
          <w:ilvl w:val="0"/>
          <w:numId w:val="4"/>
        </w:numPr>
        <w:shd w:val="clear" w:color="auto" w:fill="FFFFFF"/>
        <w:spacing w:before="0" w:beforeAutospacing="0"/>
        <w:rPr>
          <w:rStyle w:val="Strong"/>
          <w:b w:val="0"/>
          <w:bCs w:val="0"/>
        </w:rPr>
      </w:pPr>
      <w:r w:rsidRPr="009743E7">
        <w:rPr>
          <w:rStyle w:val="Strong"/>
          <w:b w:val="0"/>
          <w:bCs w:val="0"/>
        </w:rPr>
        <w:t>In 2020, the U.S. had the largest market share in the prepaid card industry, accounting for over 40% of the global market.</w:t>
      </w:r>
    </w:p>
    <w:p w14:paraId="16F009B4" w14:textId="0ABC2C9E" w:rsidR="009743E7" w:rsidRPr="009743E7" w:rsidRDefault="009743E7" w:rsidP="00561679">
      <w:pPr>
        <w:pStyle w:val="NormalWeb"/>
        <w:numPr>
          <w:ilvl w:val="0"/>
          <w:numId w:val="4"/>
        </w:numPr>
        <w:shd w:val="clear" w:color="auto" w:fill="FFFFFF"/>
        <w:spacing w:before="0" w:beforeAutospacing="0"/>
        <w:rPr>
          <w:rStyle w:val="Strong"/>
          <w:b w:val="0"/>
          <w:bCs w:val="0"/>
        </w:rPr>
      </w:pPr>
      <w:r w:rsidRPr="009743E7">
        <w:rPr>
          <w:rStyle w:val="Strong"/>
          <w:b w:val="0"/>
          <w:bCs w:val="0"/>
        </w:rPr>
        <w:t>"Approximately 34% of prepaid card users in the U.S. use their cards for everyday purchases."</w:t>
      </w:r>
    </w:p>
    <w:tbl>
      <w:tblPr>
        <w:tblW w:w="4106" w:type="dxa"/>
        <w:jc w:val="center"/>
        <w:tblLook w:val="04A0" w:firstRow="1" w:lastRow="0" w:firstColumn="1" w:lastColumn="0" w:noHBand="0" w:noVBand="1"/>
      </w:tblPr>
      <w:tblGrid>
        <w:gridCol w:w="2263"/>
        <w:gridCol w:w="1843"/>
      </w:tblGrid>
      <w:tr w:rsidR="00BF2781" w:rsidRPr="00BF2781" w14:paraId="7714EB1A" w14:textId="77777777" w:rsidTr="00BF2781">
        <w:trPr>
          <w:trHeight w:val="864"/>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3AA383" w14:textId="77777777" w:rsidR="00BF2781" w:rsidRPr="00BF2781" w:rsidRDefault="00BF2781" w:rsidP="00BF278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F2781">
              <w:rPr>
                <w:rFonts w:ascii="Times New Roman" w:eastAsia="Times New Roman" w:hAnsi="Times New Roman" w:cs="Times New Roman"/>
                <w:b/>
                <w:bCs/>
                <w:color w:val="000000"/>
                <w:kern w:val="0"/>
                <w:sz w:val="24"/>
                <w:szCs w:val="24"/>
                <w:lang w:eastAsia="en-IN"/>
                <w14:ligatures w14:val="none"/>
              </w:rPr>
              <w:t>Region</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A9F949C" w14:textId="77777777" w:rsidR="00BF2781" w:rsidRPr="00BF2781" w:rsidRDefault="00BF2781" w:rsidP="00BF2781">
            <w:pPr>
              <w:spacing w:after="0" w:line="240" w:lineRule="auto"/>
              <w:jc w:val="center"/>
              <w:rPr>
                <w:rFonts w:ascii="Times New Roman" w:eastAsia="Times New Roman" w:hAnsi="Times New Roman" w:cs="Times New Roman"/>
                <w:b/>
                <w:bCs/>
                <w:color w:val="000000"/>
                <w:kern w:val="0"/>
                <w:sz w:val="24"/>
                <w:szCs w:val="24"/>
                <w:lang w:eastAsia="en-IN"/>
                <w14:ligatures w14:val="none"/>
              </w:rPr>
            </w:pPr>
            <w:r w:rsidRPr="00BF2781">
              <w:rPr>
                <w:rFonts w:ascii="Times New Roman" w:eastAsia="Times New Roman" w:hAnsi="Times New Roman" w:cs="Times New Roman"/>
                <w:b/>
                <w:bCs/>
                <w:color w:val="000000"/>
                <w:kern w:val="0"/>
                <w:sz w:val="24"/>
                <w:szCs w:val="24"/>
                <w:lang w:eastAsia="en-IN"/>
                <w14:ligatures w14:val="none"/>
              </w:rPr>
              <w:t>Market Share (%)</w:t>
            </w:r>
          </w:p>
        </w:tc>
      </w:tr>
      <w:tr w:rsidR="00BF2781" w:rsidRPr="00BF2781" w14:paraId="24334797" w14:textId="77777777" w:rsidTr="00BF2781">
        <w:trPr>
          <w:trHeight w:val="365"/>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88C3AC1" w14:textId="77777777" w:rsidR="00BF2781" w:rsidRPr="00BF2781" w:rsidRDefault="00BF2781"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North America</w:t>
            </w:r>
          </w:p>
        </w:tc>
        <w:tc>
          <w:tcPr>
            <w:tcW w:w="1843" w:type="dxa"/>
            <w:tcBorders>
              <w:top w:val="nil"/>
              <w:left w:val="nil"/>
              <w:bottom w:val="single" w:sz="4" w:space="0" w:color="auto"/>
              <w:right w:val="single" w:sz="4" w:space="0" w:color="auto"/>
            </w:tcBorders>
            <w:shd w:val="clear" w:color="auto" w:fill="auto"/>
            <w:vAlign w:val="center"/>
            <w:hideMark/>
          </w:tcPr>
          <w:p w14:paraId="36B6F720" w14:textId="77777777" w:rsidR="00BF2781" w:rsidRPr="00BF2781" w:rsidRDefault="00BF2781" w:rsidP="00BF278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43%</w:t>
            </w:r>
          </w:p>
        </w:tc>
      </w:tr>
      <w:tr w:rsidR="00BF2781" w:rsidRPr="00BF2781" w14:paraId="7DA8129A" w14:textId="77777777" w:rsidTr="00BF2781">
        <w:trPr>
          <w:trHeight w:val="288"/>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E4E31D6" w14:textId="77777777" w:rsidR="00BF2781" w:rsidRPr="00BF2781" w:rsidRDefault="00BF2781"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Europe</w:t>
            </w:r>
          </w:p>
        </w:tc>
        <w:tc>
          <w:tcPr>
            <w:tcW w:w="1843" w:type="dxa"/>
            <w:tcBorders>
              <w:top w:val="nil"/>
              <w:left w:val="nil"/>
              <w:bottom w:val="single" w:sz="4" w:space="0" w:color="auto"/>
              <w:right w:val="single" w:sz="4" w:space="0" w:color="auto"/>
            </w:tcBorders>
            <w:shd w:val="clear" w:color="auto" w:fill="auto"/>
            <w:vAlign w:val="center"/>
            <w:hideMark/>
          </w:tcPr>
          <w:p w14:paraId="78DAD19B" w14:textId="77777777" w:rsidR="00BF2781" w:rsidRPr="00BF2781" w:rsidRDefault="00BF2781" w:rsidP="00BF278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20%</w:t>
            </w:r>
          </w:p>
        </w:tc>
      </w:tr>
      <w:tr w:rsidR="00BF2781" w:rsidRPr="00BF2781" w14:paraId="4624D075" w14:textId="77777777" w:rsidTr="00BF2781">
        <w:trPr>
          <w:trHeight w:val="403"/>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3DEA258" w14:textId="77777777" w:rsidR="00BF2781" w:rsidRPr="00BF2781" w:rsidRDefault="00BF2781"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Asia-Pacific</w:t>
            </w:r>
          </w:p>
        </w:tc>
        <w:tc>
          <w:tcPr>
            <w:tcW w:w="1843" w:type="dxa"/>
            <w:tcBorders>
              <w:top w:val="nil"/>
              <w:left w:val="nil"/>
              <w:bottom w:val="single" w:sz="4" w:space="0" w:color="auto"/>
              <w:right w:val="single" w:sz="4" w:space="0" w:color="auto"/>
            </w:tcBorders>
            <w:shd w:val="clear" w:color="auto" w:fill="auto"/>
            <w:vAlign w:val="center"/>
            <w:hideMark/>
          </w:tcPr>
          <w:p w14:paraId="7F06E24E" w14:textId="77777777" w:rsidR="00BF2781" w:rsidRPr="00BF2781" w:rsidRDefault="00BF2781" w:rsidP="00BF278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25%</w:t>
            </w:r>
          </w:p>
        </w:tc>
      </w:tr>
      <w:tr w:rsidR="00BF2781" w:rsidRPr="00BF2781" w14:paraId="3BF89419" w14:textId="77777777" w:rsidTr="00BF2781">
        <w:trPr>
          <w:trHeight w:val="409"/>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D5DF7BE" w14:textId="77777777" w:rsidR="00BF2781" w:rsidRPr="00BF2781" w:rsidRDefault="00BF2781"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South America</w:t>
            </w:r>
          </w:p>
        </w:tc>
        <w:tc>
          <w:tcPr>
            <w:tcW w:w="1843" w:type="dxa"/>
            <w:tcBorders>
              <w:top w:val="nil"/>
              <w:left w:val="nil"/>
              <w:bottom w:val="single" w:sz="4" w:space="0" w:color="auto"/>
              <w:right w:val="single" w:sz="4" w:space="0" w:color="auto"/>
            </w:tcBorders>
            <w:shd w:val="clear" w:color="auto" w:fill="auto"/>
            <w:vAlign w:val="center"/>
            <w:hideMark/>
          </w:tcPr>
          <w:p w14:paraId="68F5E254" w14:textId="77777777" w:rsidR="00BF2781" w:rsidRPr="00BF2781" w:rsidRDefault="00BF2781" w:rsidP="00BF278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10%</w:t>
            </w:r>
          </w:p>
        </w:tc>
      </w:tr>
      <w:tr w:rsidR="00BF2781" w:rsidRPr="00BF2781" w14:paraId="27E0C1BD" w14:textId="77777777" w:rsidTr="00BF2781">
        <w:trPr>
          <w:trHeight w:val="414"/>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4A5645EB" w14:textId="77777777" w:rsidR="00BF2781" w:rsidRPr="00BF2781" w:rsidRDefault="00BF2781" w:rsidP="00BF2781">
            <w:pPr>
              <w:spacing w:after="0" w:line="240" w:lineRule="auto"/>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Middle East and Africa</w:t>
            </w:r>
          </w:p>
        </w:tc>
        <w:tc>
          <w:tcPr>
            <w:tcW w:w="1843" w:type="dxa"/>
            <w:tcBorders>
              <w:top w:val="nil"/>
              <w:left w:val="nil"/>
              <w:bottom w:val="single" w:sz="4" w:space="0" w:color="auto"/>
              <w:right w:val="single" w:sz="4" w:space="0" w:color="auto"/>
            </w:tcBorders>
            <w:shd w:val="clear" w:color="auto" w:fill="auto"/>
            <w:vAlign w:val="center"/>
            <w:hideMark/>
          </w:tcPr>
          <w:p w14:paraId="6AC5231B" w14:textId="77777777" w:rsidR="00BF2781" w:rsidRPr="00BF2781" w:rsidRDefault="00BF2781" w:rsidP="00BF2781">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BF2781">
              <w:rPr>
                <w:rFonts w:ascii="Times New Roman" w:eastAsia="Times New Roman" w:hAnsi="Times New Roman" w:cs="Times New Roman"/>
                <w:color w:val="000000"/>
                <w:kern w:val="0"/>
                <w:sz w:val="24"/>
                <w:szCs w:val="24"/>
                <w:lang w:eastAsia="en-IN"/>
                <w14:ligatures w14:val="none"/>
              </w:rPr>
              <w:t>2%</w:t>
            </w:r>
          </w:p>
        </w:tc>
      </w:tr>
    </w:tbl>
    <w:p w14:paraId="1B9235D5" w14:textId="012E7996" w:rsidR="00BF2781" w:rsidRDefault="00BF2781" w:rsidP="00BF2781">
      <w:pPr>
        <w:shd w:val="clear" w:color="auto" w:fill="FFFFFF"/>
        <w:spacing w:before="100" w:beforeAutospacing="1" w:after="100" w:afterAutospacing="1" w:line="240" w:lineRule="auto"/>
        <w:jc w:val="center"/>
        <w:textAlignment w:val="baseline"/>
        <w:rPr>
          <w:rFonts w:ascii="Segoe UI" w:hAnsi="Segoe UI" w:cs="Segoe UI"/>
          <w:b/>
          <w:bCs/>
          <w:color w:val="000000"/>
          <w:shd w:val="clear" w:color="auto" w:fill="EEF7FF"/>
        </w:rPr>
      </w:pPr>
      <w:r>
        <w:rPr>
          <w:noProof/>
        </w:rPr>
        <w:lastRenderedPageBreak/>
        <w:drawing>
          <wp:inline distT="0" distB="0" distL="0" distR="0" wp14:anchorId="6EFB0DB0" wp14:editId="3048FA7F">
            <wp:extent cx="4572000" cy="2743200"/>
            <wp:effectExtent l="0" t="0" r="0" b="0"/>
            <wp:docPr id="2050413587" name="Chart 1">
              <a:extLst xmlns:a="http://schemas.openxmlformats.org/drawingml/2006/main">
                <a:ext uri="{FF2B5EF4-FFF2-40B4-BE49-F238E27FC236}">
                  <a16:creationId xmlns:a16="http://schemas.microsoft.com/office/drawing/2014/main" id="{3EA60626-E38C-5F16-88A8-FA3894218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1E51463" w14:textId="77777777" w:rsidR="00E43349" w:rsidRPr="00C63364" w:rsidRDefault="00E43349" w:rsidP="00C63364">
      <w:pPr>
        <w:shd w:val="clear" w:color="auto" w:fill="FFFFFF"/>
        <w:spacing w:before="100" w:beforeAutospacing="1" w:after="100" w:afterAutospacing="1" w:line="240" w:lineRule="auto"/>
        <w:textAlignment w:val="baseline"/>
        <w:rPr>
          <w:rFonts w:ascii="Open Sans" w:eastAsia="Times New Roman" w:hAnsi="Open Sans" w:cs="Open Sans"/>
          <w:color w:val="333333"/>
          <w:kern w:val="0"/>
          <w:sz w:val="24"/>
          <w:szCs w:val="24"/>
          <w:lang w:eastAsia="en-IN"/>
          <w14:ligatures w14:val="none"/>
        </w:rPr>
      </w:pPr>
    </w:p>
    <w:p w14:paraId="6FFB7AD5" w14:textId="77777777" w:rsidR="00C63364" w:rsidRPr="00E740CE" w:rsidRDefault="00C63364" w:rsidP="00E740CE">
      <w:pPr>
        <w:shd w:val="clear" w:color="auto" w:fill="FFFFFF"/>
        <w:spacing w:after="300" w:line="420" w:lineRule="atLeast"/>
        <w:rPr>
          <w:rFonts w:ascii="Georgia" w:eastAsia="Times New Roman" w:hAnsi="Georgia" w:cs="Times New Roman"/>
          <w:color w:val="333333"/>
          <w:kern w:val="0"/>
          <w:sz w:val="27"/>
          <w:szCs w:val="27"/>
          <w:lang w:eastAsia="en-IN"/>
          <w14:ligatures w14:val="none"/>
        </w:rPr>
      </w:pPr>
    </w:p>
    <w:p w14:paraId="36CE0352" w14:textId="6A4EB906" w:rsidR="00E740CE" w:rsidRPr="00E740CE" w:rsidRDefault="00E740CE" w:rsidP="00E740CE">
      <w:pPr>
        <w:spacing w:after="0" w:line="240" w:lineRule="auto"/>
        <w:ind w:left="30"/>
        <w:rPr>
          <w:rFonts w:ascii="Arial" w:eastAsia="Times New Roman" w:hAnsi="Arial" w:cs="Arial"/>
          <w:i/>
          <w:iCs/>
          <w:color w:val="0000EE"/>
          <w:spacing w:val="17"/>
          <w:kern w:val="0"/>
          <w:sz w:val="24"/>
          <w:szCs w:val="24"/>
          <w:shd w:val="clear" w:color="auto" w:fill="FFFFFF"/>
          <w:lang w:eastAsia="en-IN"/>
          <w14:ligatures w14:val="none"/>
        </w:rPr>
      </w:pPr>
      <w:r w:rsidRPr="00E740CE">
        <w:rPr>
          <w:rFonts w:ascii="Times New Roman" w:eastAsia="Times New Roman" w:hAnsi="Times New Roman" w:cs="Times New Roman"/>
          <w:spacing w:val="5"/>
          <w:kern w:val="0"/>
          <w:sz w:val="24"/>
          <w:szCs w:val="24"/>
          <w:lang w:eastAsia="en-IN"/>
          <w14:ligatures w14:val="none"/>
        </w:rPr>
        <w:t xml:space="preserve"> </w:t>
      </w:r>
    </w:p>
    <w:p w14:paraId="620F94AD" w14:textId="77777777" w:rsidR="00E740CE" w:rsidRPr="00E740CE" w:rsidRDefault="00E740CE">
      <w:pPr>
        <w:rPr>
          <w:lang w:val="en-US"/>
        </w:rPr>
      </w:pPr>
    </w:p>
    <w:sectPr w:rsidR="00E740CE" w:rsidRPr="00E7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694"/>
    <w:multiLevelType w:val="hybridMultilevel"/>
    <w:tmpl w:val="B024F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07E70"/>
    <w:multiLevelType w:val="multilevel"/>
    <w:tmpl w:val="C45C8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754D6"/>
    <w:multiLevelType w:val="multilevel"/>
    <w:tmpl w:val="B68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30BE0"/>
    <w:multiLevelType w:val="hybridMultilevel"/>
    <w:tmpl w:val="66D09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7663043">
    <w:abstractNumId w:val="2"/>
  </w:num>
  <w:num w:numId="2" w16cid:durableId="764765124">
    <w:abstractNumId w:val="1"/>
  </w:num>
  <w:num w:numId="3" w16cid:durableId="1539121025">
    <w:abstractNumId w:val="3"/>
  </w:num>
  <w:num w:numId="4" w16cid:durableId="1697659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0CE"/>
    <w:rsid w:val="00001581"/>
    <w:rsid w:val="0021520A"/>
    <w:rsid w:val="00274FB7"/>
    <w:rsid w:val="00561679"/>
    <w:rsid w:val="00710E6C"/>
    <w:rsid w:val="009743E7"/>
    <w:rsid w:val="009D164E"/>
    <w:rsid w:val="00BA4436"/>
    <w:rsid w:val="00BF2781"/>
    <w:rsid w:val="00C63364"/>
    <w:rsid w:val="00E43349"/>
    <w:rsid w:val="00E74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2DED"/>
  <w15:chartTrackingRefBased/>
  <w15:docId w15:val="{9BB00A7C-F984-46D9-B5BB-6FFC2B16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E740CE"/>
  </w:style>
  <w:style w:type="paragraph" w:styleId="NormalWeb">
    <w:name w:val="Normal (Web)"/>
    <w:basedOn w:val="Normal"/>
    <w:uiPriority w:val="99"/>
    <w:unhideWhenUsed/>
    <w:rsid w:val="00E740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740CE"/>
    <w:rPr>
      <w:color w:val="0000FF"/>
      <w:u w:val="single"/>
    </w:rPr>
  </w:style>
  <w:style w:type="character" w:styleId="Strong">
    <w:name w:val="Strong"/>
    <w:basedOn w:val="DefaultParagraphFont"/>
    <w:uiPriority w:val="22"/>
    <w:qFormat/>
    <w:rsid w:val="00E740CE"/>
    <w:rPr>
      <w:b/>
      <w:bCs/>
    </w:rPr>
  </w:style>
  <w:style w:type="paragraph" w:styleId="ListParagraph">
    <w:name w:val="List Paragraph"/>
    <w:basedOn w:val="Normal"/>
    <w:uiPriority w:val="34"/>
    <w:qFormat/>
    <w:rsid w:val="00BF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42965">
      <w:bodyDiv w:val="1"/>
      <w:marLeft w:val="0"/>
      <w:marRight w:val="0"/>
      <w:marTop w:val="0"/>
      <w:marBottom w:val="0"/>
      <w:divBdr>
        <w:top w:val="none" w:sz="0" w:space="0" w:color="auto"/>
        <w:left w:val="none" w:sz="0" w:space="0" w:color="auto"/>
        <w:bottom w:val="none" w:sz="0" w:space="0" w:color="auto"/>
        <w:right w:val="none" w:sz="0" w:space="0" w:color="auto"/>
      </w:divBdr>
    </w:div>
    <w:div w:id="507794098">
      <w:bodyDiv w:val="1"/>
      <w:marLeft w:val="0"/>
      <w:marRight w:val="0"/>
      <w:marTop w:val="0"/>
      <w:marBottom w:val="0"/>
      <w:divBdr>
        <w:top w:val="none" w:sz="0" w:space="0" w:color="auto"/>
        <w:left w:val="none" w:sz="0" w:space="0" w:color="auto"/>
        <w:bottom w:val="none" w:sz="0" w:space="0" w:color="auto"/>
        <w:right w:val="none" w:sz="0" w:space="0" w:color="auto"/>
      </w:divBdr>
    </w:div>
    <w:div w:id="1056900160">
      <w:bodyDiv w:val="1"/>
      <w:marLeft w:val="0"/>
      <w:marRight w:val="0"/>
      <w:marTop w:val="0"/>
      <w:marBottom w:val="0"/>
      <w:divBdr>
        <w:top w:val="none" w:sz="0" w:space="0" w:color="auto"/>
        <w:left w:val="none" w:sz="0" w:space="0" w:color="auto"/>
        <w:bottom w:val="none" w:sz="0" w:space="0" w:color="auto"/>
        <w:right w:val="none" w:sz="0" w:space="0" w:color="auto"/>
      </w:divBdr>
    </w:div>
    <w:div w:id="1063793546">
      <w:bodyDiv w:val="1"/>
      <w:marLeft w:val="0"/>
      <w:marRight w:val="0"/>
      <w:marTop w:val="0"/>
      <w:marBottom w:val="0"/>
      <w:divBdr>
        <w:top w:val="none" w:sz="0" w:space="0" w:color="auto"/>
        <w:left w:val="none" w:sz="0" w:space="0" w:color="auto"/>
        <w:bottom w:val="none" w:sz="0" w:space="0" w:color="auto"/>
        <w:right w:val="none" w:sz="0" w:space="0" w:color="auto"/>
      </w:divBdr>
      <w:divsChild>
        <w:div w:id="465968804">
          <w:marLeft w:val="0"/>
          <w:marRight w:val="0"/>
          <w:marTop w:val="0"/>
          <w:marBottom w:val="0"/>
          <w:divBdr>
            <w:top w:val="none" w:sz="0" w:space="0" w:color="auto"/>
            <w:left w:val="none" w:sz="0" w:space="0" w:color="auto"/>
            <w:bottom w:val="none" w:sz="0" w:space="0" w:color="auto"/>
            <w:right w:val="none" w:sz="0" w:space="0" w:color="auto"/>
          </w:divBdr>
          <w:divsChild>
            <w:div w:id="118569305">
              <w:marLeft w:val="0"/>
              <w:marRight w:val="0"/>
              <w:marTop w:val="0"/>
              <w:marBottom w:val="0"/>
              <w:divBdr>
                <w:top w:val="none" w:sz="0" w:space="0" w:color="auto"/>
                <w:left w:val="none" w:sz="0" w:space="0" w:color="auto"/>
                <w:bottom w:val="none" w:sz="0" w:space="0" w:color="auto"/>
                <w:right w:val="none" w:sz="0" w:space="0" w:color="auto"/>
              </w:divBdr>
            </w:div>
          </w:divsChild>
        </w:div>
        <w:div w:id="1408576270">
          <w:marLeft w:val="0"/>
          <w:marRight w:val="0"/>
          <w:marTop w:val="0"/>
          <w:marBottom w:val="0"/>
          <w:divBdr>
            <w:top w:val="none" w:sz="0" w:space="0" w:color="auto"/>
            <w:left w:val="none" w:sz="0" w:space="0" w:color="auto"/>
            <w:bottom w:val="none" w:sz="0" w:space="0" w:color="auto"/>
            <w:right w:val="none" w:sz="0" w:space="0" w:color="auto"/>
          </w:divBdr>
          <w:divsChild>
            <w:div w:id="410587503">
              <w:marLeft w:val="0"/>
              <w:marRight w:val="0"/>
              <w:marTop w:val="0"/>
              <w:marBottom w:val="0"/>
              <w:divBdr>
                <w:top w:val="none" w:sz="0" w:space="0" w:color="auto"/>
                <w:left w:val="none" w:sz="0" w:space="0" w:color="auto"/>
                <w:bottom w:val="none" w:sz="0" w:space="0" w:color="auto"/>
                <w:right w:val="none" w:sz="0" w:space="0" w:color="auto"/>
              </w:divBdr>
              <w:divsChild>
                <w:div w:id="837813856">
                  <w:marLeft w:val="0"/>
                  <w:marRight w:val="0"/>
                  <w:marTop w:val="0"/>
                  <w:marBottom w:val="0"/>
                  <w:divBdr>
                    <w:top w:val="none" w:sz="0" w:space="0" w:color="auto"/>
                    <w:left w:val="none" w:sz="0" w:space="0" w:color="auto"/>
                    <w:bottom w:val="none" w:sz="0" w:space="0" w:color="auto"/>
                    <w:right w:val="none" w:sz="0" w:space="0" w:color="auto"/>
                  </w:divBdr>
                  <w:divsChild>
                    <w:div w:id="761730048">
                      <w:marLeft w:val="0"/>
                      <w:marRight w:val="0"/>
                      <w:marTop w:val="0"/>
                      <w:marBottom w:val="0"/>
                      <w:divBdr>
                        <w:top w:val="none" w:sz="0" w:space="0" w:color="auto"/>
                        <w:left w:val="none" w:sz="0" w:space="0" w:color="auto"/>
                        <w:bottom w:val="none" w:sz="0" w:space="0" w:color="auto"/>
                        <w:right w:val="none" w:sz="0" w:space="0" w:color="auto"/>
                      </w:divBdr>
                      <w:divsChild>
                        <w:div w:id="589194331">
                          <w:marLeft w:val="0"/>
                          <w:marRight w:val="0"/>
                          <w:marTop w:val="0"/>
                          <w:marBottom w:val="0"/>
                          <w:divBdr>
                            <w:top w:val="none" w:sz="0" w:space="0" w:color="auto"/>
                            <w:left w:val="none" w:sz="0" w:space="0" w:color="auto"/>
                            <w:bottom w:val="none" w:sz="0" w:space="0" w:color="auto"/>
                            <w:right w:val="none" w:sz="0" w:space="0" w:color="auto"/>
                          </w:divBdr>
                          <w:divsChild>
                            <w:div w:id="9025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280">
                      <w:marLeft w:val="0"/>
                      <w:marRight w:val="0"/>
                      <w:marTop w:val="0"/>
                      <w:marBottom w:val="0"/>
                      <w:divBdr>
                        <w:top w:val="none" w:sz="0" w:space="0" w:color="auto"/>
                        <w:left w:val="none" w:sz="0" w:space="0" w:color="auto"/>
                        <w:bottom w:val="none" w:sz="0" w:space="0" w:color="auto"/>
                        <w:right w:val="none" w:sz="0" w:space="0" w:color="auto"/>
                      </w:divBdr>
                    </w:div>
                    <w:div w:id="1133211207">
                      <w:marLeft w:val="0"/>
                      <w:marRight w:val="0"/>
                      <w:marTop w:val="0"/>
                      <w:marBottom w:val="0"/>
                      <w:divBdr>
                        <w:top w:val="none" w:sz="0" w:space="0" w:color="auto"/>
                        <w:left w:val="none" w:sz="0" w:space="0" w:color="auto"/>
                        <w:bottom w:val="none" w:sz="0" w:space="0" w:color="auto"/>
                        <w:right w:val="none" w:sz="0" w:space="0" w:color="auto"/>
                      </w:divBdr>
                      <w:divsChild>
                        <w:div w:id="17501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98142">
          <w:marLeft w:val="0"/>
          <w:marRight w:val="0"/>
          <w:marTop w:val="0"/>
          <w:marBottom w:val="0"/>
          <w:divBdr>
            <w:top w:val="none" w:sz="0" w:space="0" w:color="auto"/>
            <w:left w:val="none" w:sz="0" w:space="0" w:color="auto"/>
            <w:bottom w:val="none" w:sz="0" w:space="0" w:color="auto"/>
            <w:right w:val="none" w:sz="0" w:space="0" w:color="auto"/>
          </w:divBdr>
          <w:divsChild>
            <w:div w:id="15398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3340">
      <w:bodyDiv w:val="1"/>
      <w:marLeft w:val="0"/>
      <w:marRight w:val="0"/>
      <w:marTop w:val="0"/>
      <w:marBottom w:val="0"/>
      <w:divBdr>
        <w:top w:val="none" w:sz="0" w:space="0" w:color="auto"/>
        <w:left w:val="none" w:sz="0" w:space="0" w:color="auto"/>
        <w:bottom w:val="none" w:sz="0" w:space="0" w:color="auto"/>
        <w:right w:val="none" w:sz="0" w:space="0" w:color="auto"/>
      </w:divBdr>
    </w:div>
    <w:div w:id="1505366141">
      <w:bodyDiv w:val="1"/>
      <w:marLeft w:val="0"/>
      <w:marRight w:val="0"/>
      <w:marTop w:val="0"/>
      <w:marBottom w:val="0"/>
      <w:divBdr>
        <w:top w:val="none" w:sz="0" w:space="0" w:color="auto"/>
        <w:left w:val="none" w:sz="0" w:space="0" w:color="auto"/>
        <w:bottom w:val="none" w:sz="0" w:space="0" w:color="auto"/>
        <w:right w:val="none" w:sz="0" w:space="0" w:color="auto"/>
      </w:divBdr>
      <w:divsChild>
        <w:div w:id="1507213409">
          <w:marLeft w:val="0"/>
          <w:marRight w:val="0"/>
          <w:marTop w:val="0"/>
          <w:marBottom w:val="0"/>
          <w:divBdr>
            <w:top w:val="none" w:sz="0" w:space="0" w:color="auto"/>
            <w:left w:val="none" w:sz="0" w:space="0" w:color="auto"/>
            <w:bottom w:val="none" w:sz="0" w:space="0" w:color="auto"/>
            <w:right w:val="none" w:sz="0" w:space="0" w:color="auto"/>
          </w:divBdr>
          <w:divsChild>
            <w:div w:id="1530602180">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 w:id="194002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ww.forbes.com/advisor/banking/banking-trends-and-statistics/"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Count</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D21-458D-A4B3-14260B2605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D21-458D-A4B3-14260B2605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D21-458D-A4B3-14260B2605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Cash</c:v>
                </c:pt>
                <c:pt idx="1">
                  <c:v>Credit</c:v>
                </c:pt>
                <c:pt idx="2">
                  <c:v>Debit</c:v>
                </c:pt>
              </c:strCache>
            </c:strRef>
          </c:cat>
          <c:val>
            <c:numRef>
              <c:f>Sheet1!$B$2:$B$4</c:f>
              <c:numCache>
                <c:formatCode>General</c:formatCode>
                <c:ptCount val="3"/>
                <c:pt idx="0">
                  <c:v>14</c:v>
                </c:pt>
                <c:pt idx="1">
                  <c:v>18</c:v>
                </c:pt>
                <c:pt idx="2">
                  <c:v>23</c:v>
                </c:pt>
              </c:numCache>
            </c:numRef>
          </c:val>
          <c:extLst>
            <c:ext xmlns:c16="http://schemas.microsoft.com/office/drawing/2014/chart" uri="{C3380CC4-5D6E-409C-BE32-E72D297353CC}">
              <c16:uniqueId val="{00000006-DD21-458D-A4B3-14260B26050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Market Share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01-4EAA-8228-8CC6BB9855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01-4EAA-8228-8CC6BB9855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01-4EAA-8228-8CC6BB98550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01-4EAA-8228-8CC6BB98550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01-4EAA-8228-8CC6BB98550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North America</c:v>
                </c:pt>
                <c:pt idx="1">
                  <c:v>Europe</c:v>
                </c:pt>
                <c:pt idx="2">
                  <c:v>Asia-Pacific</c:v>
                </c:pt>
                <c:pt idx="3">
                  <c:v>South America</c:v>
                </c:pt>
                <c:pt idx="4">
                  <c:v>Middle East and Africa</c:v>
                </c:pt>
              </c:strCache>
            </c:strRef>
          </c:cat>
          <c:val>
            <c:numRef>
              <c:f>Sheet1!$B$2:$B$6</c:f>
              <c:numCache>
                <c:formatCode>0%</c:formatCode>
                <c:ptCount val="5"/>
                <c:pt idx="0">
                  <c:v>0.43</c:v>
                </c:pt>
                <c:pt idx="1">
                  <c:v>0.2</c:v>
                </c:pt>
                <c:pt idx="2">
                  <c:v>0.25</c:v>
                </c:pt>
                <c:pt idx="3">
                  <c:v>0.1</c:v>
                </c:pt>
                <c:pt idx="4">
                  <c:v>0.02</c:v>
                </c:pt>
              </c:numCache>
            </c:numRef>
          </c:val>
          <c:extLst>
            <c:ext xmlns:c16="http://schemas.microsoft.com/office/drawing/2014/chart" uri="{C3380CC4-5D6E-409C-BE32-E72D297353CC}">
              <c16:uniqueId val="{0000000A-EA01-4EAA-8228-8CC6BB98550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4</cp:revision>
  <dcterms:created xsi:type="dcterms:W3CDTF">2024-06-28T17:12:00Z</dcterms:created>
  <dcterms:modified xsi:type="dcterms:W3CDTF">2024-06-29T06:36:00Z</dcterms:modified>
</cp:coreProperties>
</file>