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patelmit223@gmail.com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Support Fundamentals Certification, Grow with Google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