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Analysis Report</w:t>
      </w:r>
    </w:p>
    <w:p>
      <w:r>
        <w:rPr>
          <w:b/>
          <w:sz w:val="26"/>
        </w:rPr>
        <w:t>Termination clauses –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Notice Period</w:t>
            </w:r>
          </w:p>
        </w:tc>
      </w:tr>
      <w:tr>
        <w:tc>
          <w:tcPr>
            <w:tcW w:type="dxa" w:w="2880"/>
          </w:tcPr>
          <w:p>
            <w:r>
              <w:t>Contract A</w:t>
            </w:r>
          </w:p>
        </w:tc>
        <w:tc>
          <w:tcPr>
            <w:tcW w:type="dxa" w:w="2880"/>
          </w:tcPr>
          <w:p>
            <w:r>
              <w:t>Material breach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  <w:tr>
        <w:tc>
          <w:tcPr>
            <w:tcW w:type="dxa" w:w="2880"/>
          </w:tcPr>
          <w:p>
            <w:r>
              <w:t>Contract B</w:t>
            </w:r>
          </w:p>
        </w:tc>
        <w:tc>
          <w:tcPr>
            <w:tcW w:type="dxa" w:w="2880"/>
          </w:tcPr>
          <w:p>
            <w:r>
              <w:t>Convenience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</w:tbl>
    <w:p/>
    <w:p>
      <w:r>
        <w:rPr>
          <w:b/>
          <w:sz w:val="26"/>
        </w:rPr>
        <w:t>Key takeaways</w:t>
      </w:r>
    </w:p>
    <w:p>
      <w:pPr>
        <w:pStyle w:val="ListBullet"/>
      </w:pPr>
      <w:r>
        <w:t>Material breach is the most common trigger.</w:t>
      </w:r>
    </w:p>
    <w:p>
      <w:pPr>
        <w:pStyle w:val="ListBullet"/>
      </w:pPr>
      <w:r>
        <w:t>Most contracts allow a 30-day cure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