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Termination Analysis</w:t>
      </w:r>
    </w:p>
    <w:p>
      <w:r>
        <w:rPr>
          <w:b/>
          <w:sz w:val="26"/>
        </w:rPr>
        <w:t>Termination clauses – summary by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 (excerpt)</w:t>
            </w:r>
          </w:p>
        </w:tc>
        <w:tc>
          <w:tcPr>
            <w:tcW w:type="dxa" w:w="1728"/>
          </w:tcPr>
          <w:p>
            <w:r>
              <w:t>How termination may be triggered</w:t>
            </w:r>
          </w:p>
        </w:tc>
        <w:tc>
          <w:tcPr>
            <w:tcW w:type="dxa" w:w="1728"/>
          </w:tcPr>
          <w:p>
            <w:r>
              <w:t>Notice / cure period</w:t>
            </w:r>
          </w:p>
        </w:tc>
        <w:tc>
          <w:tcPr>
            <w:tcW w:type="dxa" w:w="1728"/>
          </w:tcPr>
          <w:p>
            <w:r>
              <w:t>Key post‑termination provisions</w:t>
            </w:r>
          </w:p>
        </w:tc>
        <w:tc>
          <w:tcPr>
            <w:tcW w:type="dxa" w:w="1728"/>
          </w:tcPr>
          <w:p>
            <w:r>
              <w:t>Survival of provisions</w:t>
            </w:r>
          </w:p>
        </w:tc>
      </w:tr>
      <w:tr>
        <w:tc>
          <w:tcPr>
            <w:tcW w:type="dxa" w:w="1728"/>
          </w:tcPr>
          <w:p>
            <w:r>
              <w:t>i‑Escrow / 2TheMart (excerpt 1)</w:t>
            </w:r>
          </w:p>
        </w:tc>
        <w:tc>
          <w:tcPr>
            <w:tcW w:type="dxa" w:w="1728"/>
          </w:tcPr>
          <w:p>
            <w:r>
              <w:t>• Material breach that is not cured within 30 days after written notice. • Bankruptcy, insolvency, reorganization, receiver/ trustee appointment, assignment of assets for creditors, or cessation of business.</w:t>
            </w:r>
          </w:p>
        </w:tc>
        <w:tc>
          <w:tcPr>
            <w:tcW w:type="dxa" w:w="1728"/>
          </w:tcPr>
          <w:p>
            <w:r>
              <w:t>30 days cure period for breach; no notice required for insolvency events.</w:t>
            </w:r>
          </w:p>
        </w:tc>
        <w:tc>
          <w:tcPr>
            <w:tcW w:type="dxa" w:w="1728"/>
          </w:tcPr>
          <w:p>
            <w:r>
              <w:t>• All rights granted terminate. • i‑Escrow must pay amounts owed within 6 weeks. • Each party must remove the other’s content and marks from servers.</w:t>
            </w:r>
          </w:p>
        </w:tc>
        <w:tc>
          <w:tcPr>
            <w:tcW w:type="dxa" w:w="1728"/>
          </w:tcPr>
          <w:p>
            <w:r>
              <w:t>Sections 1, 7, 8.5, 9, 10, 11, 12 survive.</w:t>
            </w:r>
          </w:p>
        </w:tc>
      </w:tr>
      <w:tr>
        <w:tc>
          <w:tcPr>
            <w:tcW w:type="dxa" w:w="1728"/>
          </w:tcPr>
          <w:p>
            <w:r>
              <w:t>Study Alliance Agreement (excerpt 2)</w:t>
            </w:r>
          </w:p>
        </w:tc>
        <w:tc>
          <w:tcPr>
            <w:tcW w:type="dxa" w:w="1728"/>
          </w:tcPr>
          <w:p>
            <w:r>
              <w:t>• Material breach that is not cured within 30 days after notice. • Termination for convenience by either party (no cause). • Insolvency or assignment of assets for creditors (automatic).</w:t>
            </w:r>
          </w:p>
        </w:tc>
        <w:tc>
          <w:tcPr>
            <w:tcW w:type="dxa" w:w="1728"/>
          </w:tcPr>
          <w:p>
            <w:r>
              <w:t>30 days cure period for breach; 30‑day notice for convenience termination.</w:t>
            </w:r>
          </w:p>
        </w:tc>
        <w:tc>
          <w:tcPr>
            <w:tcW w:type="dxa" w:w="1728"/>
          </w:tcPr>
          <w:p>
            <w:r>
              <w:t>• Termination does not affect existing Study Orders; they continue until completion or their own termination. • Rights and obligations that are incorporated into outstanding Study Orders survive.</w:t>
            </w:r>
          </w:p>
        </w:tc>
        <w:tc>
          <w:tcPr>
            <w:tcW w:type="dxa" w:w="1728"/>
          </w:tcPr>
          <w:p>
            <w:r>
              <w:t>Sections that are incorporated into Study Orders survive; other specified sections (e.g., warranties, confidentiality) survive.</w:t>
            </w:r>
          </w:p>
        </w:tc>
      </w:tr>
      <w:tr>
        <w:tc>
          <w:tcPr>
            <w:tcW w:type="dxa" w:w="1728"/>
          </w:tcPr>
          <w:p>
            <w:r>
              <w:t>ADAMS GOLF – CONSULTANT (excerpt 3)</w:t>
            </w:r>
          </w:p>
        </w:tc>
        <w:tc>
          <w:tcPr>
            <w:tcW w:type="dxa" w:w="1728"/>
          </w:tcPr>
          <w:p>
            <w:r>
              <w:t>• Termination of the Agreement (no specific trigger listed; implied termination clause).</w:t>
            </w:r>
          </w:p>
        </w:tc>
        <w:tc>
          <w:tcPr>
            <w:tcW w:type="dxa" w:w="1728"/>
          </w:tcPr>
          <w:p>
            <w:r>
              <w:t>Not specified in the excerpt.</w:t>
            </w:r>
          </w:p>
        </w:tc>
        <w:tc>
          <w:tcPr>
            <w:tcW w:type="dxa" w:w="1728"/>
          </w:tcPr>
          <w:p>
            <w:r>
              <w:t>• ADAMS GOLF must cease using the consultant’s name/likeness in advertising within a specified number of days and on products within a specified number of months after termination.</w:t>
            </w:r>
          </w:p>
        </w:tc>
        <w:tc>
          <w:tcPr>
            <w:tcW w:type="dxa" w:w="1728"/>
          </w:tcPr>
          <w:p>
            <w:r>
              <w:t>Not specified in the excerpt.</w:t>
            </w:r>
          </w:p>
        </w:tc>
      </w:tr>
      <w:tr>
        <w:tc>
          <w:tcPr>
            <w:tcW w:type="dxa" w:w="1728"/>
          </w:tcPr>
          <w:p>
            <w:r>
              <w:t>General Service Agreement (Provider/Recipient) (excerpt 4)</w:t>
            </w:r>
          </w:p>
        </w:tc>
        <w:tc>
          <w:tcPr>
            <w:tcW w:type="dxa" w:w="1728"/>
          </w:tcPr>
          <w:p>
            <w:r>
              <w:t>• Either party may terminate at any time without cause by giving 90‑day written notice. • Material breach that is not cured within 30 days after notice.</w:t>
            </w:r>
          </w:p>
        </w:tc>
        <w:tc>
          <w:tcPr>
            <w:tcW w:type="dxa" w:w="1728"/>
          </w:tcPr>
          <w:p>
            <w:r>
              <w:t>90‑day notice for convenience; 30‑day cure for breach.</w:t>
            </w:r>
          </w:p>
        </w:tc>
        <w:tc>
          <w:tcPr>
            <w:tcW w:type="dxa" w:w="1728"/>
          </w:tcPr>
          <w:p>
            <w:r>
              <w:t>• Upon termination, the recipient must pay for services rendered and reimbursed expenses. • No right of set‑off.</w:t>
            </w:r>
          </w:p>
        </w:tc>
        <w:tc>
          <w:tcPr>
            <w:tcW w:type="dxa" w:w="1728"/>
          </w:tcPr>
          <w:p>
            <w:r>
              <w:t>Sections 3.8 (Warranty), 3.11 (Compliance), 4.6 (Warranty), 6.2 (Effect of Termination), 6.3 (No Termination Compensation), 6.4 (Accruals), 7 (Dispute Resolution), 8 (Confidentiality), 9 (Intellectual Property) survive.</w:t>
            </w:r>
          </w:p>
        </w:tc>
      </w:tr>
      <w:tr>
        <w:tc>
          <w:tcPr>
            <w:tcW w:type="dxa" w:w="1728"/>
          </w:tcPr>
          <w:p>
            <w:r>
              <w:t>PivX – Detto (excerpt 5)</w:t>
            </w:r>
          </w:p>
        </w:tc>
        <w:tc>
          <w:tcPr>
            <w:tcW w:type="dxa" w:w="1728"/>
          </w:tcPr>
          <w:p>
            <w:r>
              <w:t>• Material breach not cured within 30 days after notice. • Insolvent or assignment of the Agreement for creditors (automatic). • Convenience termination by PivX with 30‑day notice.</w:t>
            </w:r>
          </w:p>
        </w:tc>
        <w:tc>
          <w:tcPr>
            <w:tcW w:type="dxa" w:w="1728"/>
          </w:tcPr>
          <w:p>
            <w:r>
              <w:t>30‑day cure for breach; 30‑day notice for convenience.</w:t>
            </w:r>
          </w:p>
        </w:tc>
        <w:tc>
          <w:tcPr>
            <w:tcW w:type="dxa" w:w="1728"/>
          </w:tcPr>
          <w:p>
            <w:r>
              <w:t>• Detto must pay all amounts due within 30 days, return products, erase data, and provide written confirmation of compliance. • Licenses for already‑purchased copies of Qwik‑Fix Pro survive.</w:t>
            </w:r>
          </w:p>
        </w:tc>
        <w:tc>
          <w:tcPr>
            <w:tcW w:type="dxa" w:w="1728"/>
          </w:tcPr>
          <w:p>
            <w:r>
              <w:t>Sections 1.2, 2.3‑2.9, 3.6, 4, 5, 6 survive.</w:t>
            </w:r>
          </w:p>
        </w:tc>
      </w:tr>
      <w:tr>
        <w:tc>
          <w:tcPr>
            <w:tcW w:type="dxa" w:w="1728"/>
          </w:tcPr>
          <w:p>
            <w:r>
              <w:t>Strategic Alliance / Change‑of‑Control (excerpt 6)</w:t>
            </w:r>
          </w:p>
        </w:tc>
        <w:tc>
          <w:tcPr>
            <w:tcW w:type="dxa" w:w="1728"/>
          </w:tcPr>
          <w:p>
            <w:r>
              <w:t>• Assignment by a party in connection with a change of control (subject to specific termination rights). • Termination rights under the Strategic Alliance Agreement (not detailed in the excerpt).</w:t>
            </w:r>
          </w:p>
        </w:tc>
        <w:tc>
          <w:tcPr>
            <w:tcW w:type="dxa" w:w="1728"/>
          </w:tcPr>
          <w:p>
            <w:r>
              <w:t>Not specified in the excerpt.</w:t>
            </w:r>
          </w:p>
        </w:tc>
        <w:tc>
          <w:tcPr>
            <w:tcW w:type="dxa" w:w="1728"/>
          </w:tcPr>
          <w:p>
            <w:r>
              <w:t>• Assignment does not relieve the assigning party of obligations unless the assignee agrees in writing. • No other specific post‑termination obligations noted.</w:t>
            </w:r>
          </w:p>
        </w:tc>
        <w:tc>
          <w:tcPr>
            <w:tcW w:type="dxa" w:w="1728"/>
          </w:tcPr>
          <w:p>
            <w:r>
              <w:t>Not specified in the excerpt.</w:t>
            </w:r>
          </w:p>
        </w:tc>
      </w:tr>
      <w:tr>
        <w:tc>
          <w:tcPr>
            <w:tcW w:type="dxa" w:w="1728"/>
          </w:tcPr>
          <w:p>
            <w:r>
              <w:t>Study Order Termination (excerpt 7)</w:t>
            </w:r>
          </w:p>
        </w:tc>
        <w:tc>
          <w:tcPr>
            <w:tcW w:type="dxa" w:w="1728"/>
          </w:tcPr>
          <w:p>
            <w:r>
              <w:t>• Material breach of the Agreement or Study Order not cured within 30 days. • Health and safety concerns (clinical studies). • IRB requests termination (MD Anderson). • Failure to agree on a new Principal Investigator.</w:t>
            </w:r>
          </w:p>
        </w:tc>
        <w:tc>
          <w:tcPr>
            <w:tcW w:type="dxa" w:w="1728"/>
          </w:tcPr>
          <w:p>
            <w:r>
              <w:t>30‑day cure for breach; no notice period for health/safety or IRB requests.</w:t>
            </w:r>
          </w:p>
        </w:tc>
        <w:tc>
          <w:tcPr>
            <w:tcW w:type="dxa" w:w="1728"/>
          </w:tcPr>
          <w:p>
            <w:r>
              <w:t>• Wind‑down of the study to ensure safety. • Final reconciliation of data and monitoring visit. • Reasonable fees for wind‑down paid by the terminating party.</w:t>
            </w:r>
          </w:p>
        </w:tc>
        <w:tc>
          <w:tcPr>
            <w:tcW w:type="dxa" w:w="1728"/>
          </w:tcPr>
          <w:p>
            <w:r>
              <w:t>All provisions of the Study Order survive termination of the Agreement.</w:t>
            </w:r>
          </w:p>
        </w:tc>
      </w:tr>
      <w:tr>
        <w:tc>
          <w:tcPr>
            <w:tcW w:type="dxa" w:w="1728"/>
          </w:tcPr>
          <w:p>
            <w:r>
              <w:t>Limited Unilateral Termination Period (excerpt 8)</w:t>
            </w:r>
          </w:p>
        </w:tc>
        <w:tc>
          <w:tcPr>
            <w:tcW w:type="dxa" w:w="1728"/>
          </w:tcPr>
          <w:p>
            <w:r>
              <w:t>• MD Anderson may terminate without cause during the Limited Unilateral Termination Period (up to 60 days or until OGC approval).</w:t>
            </w:r>
          </w:p>
        </w:tc>
        <w:tc>
          <w:tcPr>
            <w:tcW w:type="dxa" w:w="1728"/>
          </w:tcPr>
          <w:p>
            <w:r>
              <w:t>10‑day notice during the period.</w:t>
            </w:r>
          </w:p>
        </w:tc>
        <w:tc>
          <w:tcPr>
            <w:tcW w:type="dxa" w:w="1728"/>
          </w:tcPr>
          <w:p>
            <w:r>
              <w:t>• Parties must use reasonable efforts to ensure smooth transition.</w:t>
            </w:r>
          </w:p>
        </w:tc>
        <w:tc>
          <w:tcPr>
            <w:tcW w:type="dxa" w:w="1728"/>
          </w:tcPr>
          <w:p>
            <w:r>
              <w:t>Not specified in the excerpt.</w:t>
            </w:r>
          </w:p>
        </w:tc>
      </w:tr>
    </w:tbl>
    <w:p/>
    <w:p>
      <w:r>
        <w:rPr>
          <w:b/>
          <w:sz w:val="26"/>
        </w:rPr>
        <w:t>Key take‑aways</w:t>
      </w:r>
    </w:p>
    <w:p>
      <w:pPr>
        <w:pStyle w:val="ListBullet"/>
      </w:pPr>
      <w:r>
        <w:t>Material breach is a common trigger; most contracts require a 30‑day cure period after written notice.</w:t>
      </w:r>
    </w:p>
    <w:p>
      <w:pPr>
        <w:pStyle w:val="ListBullet"/>
      </w:pPr>
      <w:r>
        <w:t>Insolvency/Bankruptcy often triggers automatic termination without notice.</w:t>
      </w:r>
    </w:p>
    <w:p>
      <w:pPr>
        <w:pStyle w:val="ListBullet"/>
      </w:pPr>
      <w:r>
        <w:t>Convenience termination is allowed in several agreements, usually with a 30‑ or 90‑day notice.</w:t>
      </w:r>
    </w:p>
    <w:p>
      <w:pPr>
        <w:pStyle w:val="ListBullet"/>
      </w:pPr>
      <w:r>
        <w:t>Post‑termination obligations vary: payment of outstanding amounts, return of materials, removal of trademarks, and survival of certain provisions (warranty, confidentiality, intellectual property, etc.).</w:t>
      </w:r>
    </w:p>
    <w:p>
      <w:pPr>
        <w:pStyle w:val="ListBullet"/>
      </w:pPr>
      <w:r>
        <w:t>Survival clauses are explicitly listed in many contracts, ensuring that critical obligations continue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