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Claims Process Guide</w:t>
      </w:r>
    </w:p>
    <w:p>
      <w:r>
        <w:t>This document explains how to file a claim.</w:t>
      </w:r>
    </w:p>
    <w:p>
      <w:pPr>
        <w:pStyle w:val="Heading1"/>
      </w:pPr>
      <w:r>
        <w:t>Step 1: Submit Your Claim</w:t>
      </w:r>
    </w:p>
    <w:p>
      <w:r>
        <w:t>Claims must be submitted within 90 days of the service date. Include your member ID and procedure details.</w:t>
      </w:r>
    </w:p>
    <w:p>
      <w:pPr>
        <w:pStyle w:val="Heading1"/>
      </w:pPr>
      <w:r>
        <w:t>Step 2: Claim Review</w:t>
      </w:r>
    </w:p>
    <w:p>
      <w:r>
        <w:t>Our team reviews claims within 10 business days. You will receive a status update by email.</w:t>
      </w:r>
    </w:p>
    <w:p>
      <w:pPr>
        <w:pStyle w:val="Heading1"/>
      </w:pPr>
      <w:r>
        <w:t>Step 3: Reimbursement</w:t>
      </w:r>
    </w:p>
    <w:p>
      <w:r>
        <w:t>Approved claims are reimbursed within 15 business days to your registered payment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