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52"/>
          <w:szCs w:val="52"/>
        </w:rPr>
        <w:t xml:space="preserve">MedGuide AI</w:t>
      </w:r>
    </w:p>
    <w:p>
      <w:pPr>
        <w:spacing w:after="40"/>
      </w:pPr>
      <w:r>
        <w:rPr>
          <w:i/>
          <w:iCs/>
          <w:color w:val="595959"/>
          <w:sz w:val="26"/>
          <w:szCs w:val="26"/>
        </w:rPr>
        <w:t xml:space="preserve">Agentic Clinical Research &amp; Validation Assistant</w:t>
      </w:r>
    </w:p>
    <w:p>
      <w:pPr>
        <w:spacing w:after="40"/>
      </w:pPr>
      <w:r>
        <w:rPr>
          <w:color w:val="595959"/>
          <w:sz w:val="22"/>
          <w:szCs w:val="22"/>
        </w:rPr>
        <w:t xml:space="preserve">Product Requirements Document — v1.0</w:t>
      </w:r>
    </w:p>
    <w:p>
      <w:pPr>
        <w:spacing w:after="400"/>
      </w:pPr>
      <w:r>
        <w:rPr>
          <w:color w:val="595959"/>
          <w:sz w:val="20"/>
          <w:szCs w:val="20"/>
        </w:rPr>
        <w:t xml:space="preserve">Prepared for: Nidhi Singh  |  AB Talks 60-Day Claude AI Challenge Capstone  |  Day 1 of 10</w:t>
      </w:r>
    </w:p>
    <w:p>
      <w:pPr>
        <w:pStyle w:val="Heading1"/>
        <w:spacing w:after="160" w:before="320"/>
      </w:pPr>
      <w:r>
        <w:rPr>
          <w:b/>
          <w:bCs/>
          <w:color w:val="1E2761"/>
          <w:sz w:val="32"/>
          <w:szCs w:val="32"/>
        </w:rPr>
        <w:t xml:space="preserve">1. Overview</w:t>
      </w:r>
    </w:p>
    <w:p>
      <w:pPr>
        <w:spacing w:after="160"/>
      </w:pPr>
      <w:r>
        <w:rPr>
          <w:sz w:val="22"/>
          <w:szCs w:val="22"/>
        </w:rPr>
        <w:t xml:space="preserve">MedGuide AI is an agentic, retrieval-augmented AI assistant for healthcare research and clinical data sanity-checking. It lets a user ask natural-language medical questions and receive answers grounded in ingested clinical guidelines and research papers, complete with source citations. In parallel, it validates submitted lab values against known reference ranges and flags anomalies in plain English. A LangGraph-based agent visibly plans and executes multi-step reasoning (search → validate → synthesize) rather than acting as a single opaque LLM call.</w:t>
      </w:r>
    </w:p>
    <w:p>
      <w:pPr>
        <w:spacing w:after="160"/>
      </w:pPr>
      <w:r>
        <w:rPr>
          <w:sz w:val="22"/>
          <w:szCs w:val="22"/>
        </w:rPr>
        <w:t xml:space="preserve">The product is built to be fully free to run (Groq LLM API, Hugging Face embeddings, Chroma vector store, Streamlit Community Cloud hosting) and is designed as a portfolio-grade demonstration of applied agentic AI in a healthcare context, directly reflecting the builder's real clinical data-validation background at ICMR.</w:t>
      </w:r>
    </w:p>
    <w:p>
      <w:pPr>
        <w:pStyle w:val="Heading1"/>
        <w:spacing w:after="160" w:before="320"/>
      </w:pPr>
      <w:r>
        <w:rPr>
          <w:b/>
          <w:bCs/>
          <w:color w:val="1E2761"/>
          <w:sz w:val="32"/>
          <w:szCs w:val="32"/>
        </w:rPr>
        <w:t xml:space="preserve">2. Problem Statement</w:t>
      </w:r>
    </w:p>
    <w:p>
      <w:pPr>
        <w:pStyle w:val="ListParagraph"/>
        <w:numPr>
          <w:ilvl w:val="0"/>
          <w:numId w:val="2"/>
        </w:numPr>
        <w:spacing w:after="80"/>
      </w:pPr>
      <w:r>
        <w:rPr>
          <w:b/>
          <w:bCs/>
          <w:sz w:val="22"/>
          <w:szCs w:val="22"/>
        </w:rPr>
        <w:t xml:space="preserve">Information is scattered and slow to verify. </w:t>
      </w:r>
      <w:r>
        <w:rPr>
          <w:sz w:val="22"/>
          <w:szCs w:val="22"/>
        </w:rPr>
        <w:t xml:space="preserve">Clinicians, researchers, and students must manually search long guideline documents or papers to answer specific questions, with no easy way to trace an answer back to its source.</w:t>
      </w:r>
    </w:p>
    <w:p>
      <w:pPr>
        <w:pStyle w:val="ListParagraph"/>
        <w:numPr>
          <w:ilvl w:val="0"/>
          <w:numId w:val="2"/>
        </w:numPr>
        <w:spacing w:after="80"/>
      </w:pPr>
      <w:r>
        <w:rPr>
          <w:b/>
          <w:bCs/>
          <w:sz w:val="22"/>
          <w:szCs w:val="22"/>
        </w:rPr>
        <w:t xml:space="preserve">Manual reference-range checking is repetitive and error-prone. </w:t>
      </w:r>
      <w:r>
        <w:rPr>
          <w:sz w:val="22"/>
          <w:szCs w:val="22"/>
        </w:rPr>
        <w:t xml:space="preserve">Validating lab results against reference ranges by hand does not scale — this was literally a manual, high-volume task in real pandemic-era operations (75,000+ records/month).</w:t>
      </w:r>
    </w:p>
    <w:p>
      <w:pPr>
        <w:pStyle w:val="ListParagraph"/>
        <w:numPr>
          <w:ilvl w:val="0"/>
          <w:numId w:val="2"/>
        </w:numPr>
        <w:spacing w:after="80"/>
      </w:pPr>
      <w:r>
        <w:rPr>
          <w:b/>
          <w:bCs/>
          <w:sz w:val="22"/>
          <w:szCs w:val="22"/>
        </w:rPr>
        <w:t xml:space="preserve">Most AI chatbots are a black box. </w:t>
      </w:r>
      <w:r>
        <w:rPr>
          <w:sz w:val="22"/>
          <w:szCs w:val="22"/>
        </w:rPr>
        <w:t xml:space="preserve">Standard chat-with-your-PDF tools give an answer with no visibility into how it was derived, which undermines trust in a clinical context.</w:t>
      </w:r>
    </w:p>
    <w:p>
      <w:pPr>
        <w:pStyle w:val="Heading1"/>
        <w:spacing w:after="160" w:before="320"/>
      </w:pPr>
      <w:r>
        <w:rPr>
          <w:b/>
          <w:bCs/>
          <w:color w:val="1E2761"/>
          <w:sz w:val="32"/>
          <w:szCs w:val="32"/>
        </w:rPr>
        <w:t xml:space="preserve">3. Target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4680"/>
      </w:tblGrid>
      <w:tr>
        <w:trPr>
          <w:tblHeader/>
        </w:trPr>
        <w:tc>
          <w:tcPr>
            <w:tcW w:type="dxa" w:w="5400"/>
            <w:shd w:fill="1E2761" w:val="clear"/>
            <w:tcMar>
              <w:top w:type="dxa" w:w="80"/>
              <w:left w:type="dxa" w:w="100"/>
              <w:bottom w:type="dxa" w:w="80"/>
              <w:right w:type="dxa" w:w="100"/>
            </w:tcMar>
          </w:tcPr>
          <w:p>
            <w:r>
              <w:rPr>
                <w:b/>
                <w:bCs/>
                <w:color w:val="FFFFFF"/>
                <w:sz w:val="20"/>
                <w:szCs w:val="20"/>
              </w:rPr>
              <w:t xml:space="preserve">User</w:t>
            </w:r>
          </w:p>
        </w:tc>
        <w:tc>
          <w:tcPr>
            <w:tcW w:type="dxa" w:w="4680"/>
            <w:shd w:fill="1E2761" w:val="clear"/>
            <w:tcMar>
              <w:top w:type="dxa" w:w="80"/>
              <w:left w:type="dxa" w:w="100"/>
              <w:bottom w:type="dxa" w:w="80"/>
              <w:right w:type="dxa" w:w="100"/>
            </w:tcMar>
          </w:tcPr>
          <w:p>
            <w:r>
              <w:rPr>
                <w:b/>
                <w:bCs/>
                <w:color w:val="FFFFFF"/>
                <w:sz w:val="20"/>
                <w:szCs w:val="20"/>
              </w:rPr>
              <w:t xml:space="preserve">Need</w:t>
            </w:r>
          </w:p>
        </w:tc>
      </w:tr>
      <w:tr>
        <w:tc>
          <w:tcPr>
            <w:tcW w:type="dxa" w:w="5400"/>
            <w:tcMar>
              <w:top w:type="dxa" w:w="80"/>
              <w:left w:type="dxa" w:w="100"/>
              <w:bottom w:type="dxa" w:w="80"/>
              <w:right w:type="dxa" w:w="100"/>
            </w:tcMar>
          </w:tcPr>
          <w:p>
            <w:r>
              <w:rPr>
                <w:sz w:val="20"/>
                <w:szCs w:val="20"/>
              </w:rPr>
              <w:t xml:space="preserve">Clinical researchers / grad students</w:t>
            </w:r>
          </w:p>
        </w:tc>
        <w:tc>
          <w:tcPr>
            <w:tcW w:type="dxa" w:w="4680"/>
            <w:tcMar>
              <w:top w:type="dxa" w:w="80"/>
              <w:left w:type="dxa" w:w="100"/>
              <w:bottom w:type="dxa" w:w="80"/>
              <w:right w:type="dxa" w:w="100"/>
            </w:tcMar>
          </w:tcPr>
          <w:p>
            <w:r>
              <w:rPr>
                <w:sz w:val="20"/>
                <w:szCs w:val="20"/>
              </w:rPr>
              <w:t xml:space="preserve">Quickly query guideline/paper content with traceable citations</w:t>
            </w:r>
          </w:p>
        </w:tc>
      </w:tr>
      <w:tr>
        <w:tc>
          <w:tcPr>
            <w:tcW w:type="dxa" w:w="5400"/>
            <w:tcMar>
              <w:top w:type="dxa" w:w="80"/>
              <w:left w:type="dxa" w:w="100"/>
              <w:bottom w:type="dxa" w:w="80"/>
              <w:right w:type="dxa" w:w="100"/>
            </w:tcMar>
          </w:tcPr>
          <w:p>
            <w:r>
              <w:rPr>
                <w:sz w:val="20"/>
                <w:szCs w:val="20"/>
              </w:rPr>
              <w:t xml:space="preserve">Healthcare-adjacent engineers &amp; recruiters (portfolio audience)</w:t>
            </w:r>
          </w:p>
        </w:tc>
        <w:tc>
          <w:tcPr>
            <w:tcW w:type="dxa" w:w="4680"/>
            <w:tcMar>
              <w:top w:type="dxa" w:w="80"/>
              <w:left w:type="dxa" w:w="100"/>
              <w:bottom w:type="dxa" w:w="80"/>
              <w:right w:type="dxa" w:w="100"/>
            </w:tcMar>
          </w:tcPr>
          <w:p>
            <w:r>
              <w:rPr>
                <w:sz w:val="20"/>
                <w:szCs w:val="20"/>
              </w:rPr>
              <w:t xml:space="preserve">See a concrete, credible example of agentic RAG applied to a real domain</w:t>
            </w:r>
          </w:p>
        </w:tc>
      </w:tr>
      <w:tr>
        <w:tc>
          <w:tcPr>
            <w:tcW w:type="dxa" w:w="5400"/>
            <w:tcMar>
              <w:top w:type="dxa" w:w="80"/>
              <w:left w:type="dxa" w:w="100"/>
              <w:bottom w:type="dxa" w:w="80"/>
              <w:right w:type="dxa" w:w="100"/>
            </w:tcMar>
          </w:tcPr>
          <w:p>
            <w:r>
              <w:rPr>
                <w:sz w:val="20"/>
                <w:szCs w:val="20"/>
              </w:rPr>
              <w:t xml:space="preserve">Lab / clinical data reviewers</w:t>
            </w:r>
          </w:p>
        </w:tc>
        <w:tc>
          <w:tcPr>
            <w:tcW w:type="dxa" w:w="4680"/>
            <w:tcMar>
              <w:top w:type="dxa" w:w="80"/>
              <w:left w:type="dxa" w:w="100"/>
              <w:bottom w:type="dxa" w:w="80"/>
              <w:right w:type="dxa" w:w="100"/>
            </w:tcMar>
          </w:tcPr>
          <w:p>
            <w:r>
              <w:rPr>
                <w:sz w:val="20"/>
                <w:szCs w:val="20"/>
              </w:rPr>
              <w:t xml:space="preserve">A fast first-pass sanity check on lab values against reference ranges</w:t>
            </w:r>
          </w:p>
        </w:tc>
      </w:tr>
    </w:tbl>
    <w:p>
      <w:pPr>
        <w:spacing w:after="200"/>
      </w:pPr>
    </w:p>
    <w:p>
      <w:pPr>
        <w:pStyle w:val="Heading1"/>
        <w:spacing w:after="160" w:before="320"/>
      </w:pPr>
      <w:r>
        <w:rPr>
          <w:b/>
          <w:bCs/>
          <w:color w:val="1E2761"/>
          <w:sz w:val="32"/>
          <w:szCs w:val="32"/>
        </w:rPr>
        <w:t xml:space="preserve">4. Goals &amp; Success Metrics</w:t>
      </w:r>
    </w:p>
    <w:p>
      <w:pPr>
        <w:pStyle w:val="Heading2"/>
        <w:spacing w:after="120" w:before="240"/>
      </w:pPr>
      <w:r>
        <w:rPr>
          <w:b/>
          <w:bCs/>
          <w:color w:val="1E2761"/>
          <w:sz w:val="24"/>
          <w:szCs w:val="24"/>
        </w:rPr>
        <w:t xml:space="preserve">4.1 Product Goals</w:t>
      </w:r>
    </w:p>
    <w:p>
      <w:pPr>
        <w:pStyle w:val="ListParagraph"/>
        <w:numPr>
          <w:ilvl w:val="0"/>
          <w:numId w:val="2"/>
        </w:numPr>
        <w:spacing w:after="80"/>
      </w:pPr>
      <w:r>
        <w:rPr>
          <w:sz w:val="22"/>
          <w:szCs w:val="22"/>
        </w:rPr>
        <w:t xml:space="preserve">Deliver accurate, cited answers to medical questions grounded only in ingested source documents (no hallucinated citations).</w:t>
      </w:r>
    </w:p>
    <w:p>
      <w:pPr>
        <w:pStyle w:val="ListParagraph"/>
        <w:numPr>
          <w:ilvl w:val="0"/>
          <w:numId w:val="2"/>
        </w:numPr>
        <w:spacing w:after="80"/>
      </w:pPr>
      <w:r>
        <w:rPr>
          <w:sz w:val="22"/>
          <w:szCs w:val="22"/>
        </w:rPr>
        <w:t xml:space="preserve">Correctly flag out-of-range lab values against a defined reference table, with a plain-English explanation.</w:t>
      </w:r>
    </w:p>
    <w:p>
      <w:pPr>
        <w:pStyle w:val="ListParagraph"/>
        <w:numPr>
          <w:ilvl w:val="0"/>
          <w:numId w:val="2"/>
        </w:numPr>
        <w:spacing w:after="80"/>
      </w:pPr>
      <w:r>
        <w:rPr>
          <w:sz w:val="22"/>
          <w:szCs w:val="22"/>
        </w:rPr>
        <w:t xml:space="preserve">Make agent reasoning visible step-by-step, not just the final answer.</w:t>
      </w:r>
    </w:p>
    <w:p>
      <w:pPr>
        <w:pStyle w:val="ListParagraph"/>
        <w:numPr>
          <w:ilvl w:val="0"/>
          <w:numId w:val="2"/>
        </w:numPr>
        <w:spacing w:after="80"/>
      </w:pPr>
      <w:r>
        <w:rPr>
          <w:sz w:val="22"/>
          <w:szCs w:val="22"/>
        </w:rPr>
        <w:t xml:space="preserve">Deploy a working, public, zero-cost live URL by Day 10.</w:t>
      </w:r>
    </w:p>
    <w:p>
      <w:pPr>
        <w:pStyle w:val="Heading2"/>
        <w:spacing w:after="120" w:before="240"/>
      </w:pPr>
      <w:r>
        <w:rPr>
          <w:b/>
          <w:bCs/>
          <w:color w:val="1E2761"/>
          <w:sz w:val="24"/>
          <w:szCs w:val="24"/>
        </w:rPr>
        <w:t xml:space="preserve">4.2 Success Metrics (Day 10 Definition of Done)</w:t>
      </w:r>
    </w:p>
    <w:p>
      <w:pPr>
        <w:pStyle w:val="ListParagraph"/>
        <w:numPr>
          <w:ilvl w:val="0"/>
          <w:numId w:val="2"/>
        </w:numPr>
        <w:spacing w:after="80"/>
      </w:pPr>
      <w:r>
        <w:rPr>
          <w:sz w:val="22"/>
          <w:szCs w:val="22"/>
        </w:rPr>
        <w:t xml:space="preserve">Live public Streamlit URL, accessible without login.</w:t>
      </w:r>
    </w:p>
    <w:p>
      <w:pPr>
        <w:pStyle w:val="ListParagraph"/>
        <w:numPr>
          <w:ilvl w:val="0"/>
          <w:numId w:val="2"/>
        </w:numPr>
        <w:spacing w:after="80"/>
      </w:pPr>
      <w:r>
        <w:rPr>
          <w:sz w:val="22"/>
          <w:szCs w:val="22"/>
        </w:rPr>
        <w:t xml:space="preserve">At least 3 ingested source documents (guidelines/papers) queryable with citations.</w:t>
      </w:r>
    </w:p>
    <w:p>
      <w:pPr>
        <w:pStyle w:val="ListParagraph"/>
        <w:numPr>
          <w:ilvl w:val="0"/>
          <w:numId w:val="2"/>
        </w:numPr>
        <w:spacing w:after="80"/>
      </w:pPr>
      <w:r>
        <w:rPr>
          <w:sz w:val="22"/>
          <w:szCs w:val="22"/>
        </w:rPr>
        <w:t xml:space="preserve">At least 5 synthetic lab test types with defined reference ranges validated correctly.</w:t>
      </w:r>
    </w:p>
    <w:p>
      <w:pPr>
        <w:pStyle w:val="ListParagraph"/>
        <w:numPr>
          <w:ilvl w:val="0"/>
          <w:numId w:val="2"/>
        </w:numPr>
        <w:spacing w:after="80"/>
      </w:pPr>
      <w:r>
        <w:rPr>
          <w:sz w:val="22"/>
          <w:szCs w:val="22"/>
        </w:rPr>
        <w:t xml:space="preserve">Visible multi-step agent trace shown in the UI for every query.</w:t>
      </w:r>
    </w:p>
    <w:p>
      <w:pPr>
        <w:pStyle w:val="ListParagraph"/>
        <w:numPr>
          <w:ilvl w:val="0"/>
          <w:numId w:val="2"/>
        </w:numPr>
        <w:spacing w:after="80"/>
      </w:pPr>
      <w:r>
        <w:rPr>
          <w:sz w:val="22"/>
          <w:szCs w:val="22"/>
        </w:rPr>
        <w:t xml:space="preserve">Public GitHub repo with README, architecture diagram, and screenshots.</w:t>
      </w:r>
    </w:p>
    <w:p>
      <w:pPr>
        <w:pStyle w:val="ListParagraph"/>
        <w:numPr>
          <w:ilvl w:val="0"/>
          <w:numId w:val="2"/>
        </w:numPr>
        <w:spacing w:after="80"/>
      </w:pPr>
      <w:r>
        <w:rPr>
          <w:sz w:val="22"/>
          <w:szCs w:val="22"/>
        </w:rPr>
        <w:t xml:space="preserve">Pitch deck and PRD available as supporting portfolio artifacts.</w:t>
      </w:r>
    </w:p>
    <w:p>
      <w:pPr>
        <w:pStyle w:val="Heading1"/>
        <w:spacing w:after="160" w:before="320"/>
      </w:pPr>
      <w:r>
        <w:rPr>
          <w:b/>
          <w:bCs/>
          <w:color w:val="1E2761"/>
          <w:sz w:val="32"/>
          <w:szCs w:val="32"/>
        </w:rPr>
        <w:t xml:space="preserve">5. Scope</w:t>
      </w:r>
    </w:p>
    <w:p>
      <w:pPr>
        <w:pStyle w:val="Heading2"/>
        <w:spacing w:after="120" w:before="240"/>
      </w:pPr>
      <w:r>
        <w:rPr>
          <w:b/>
          <w:bCs/>
          <w:color w:val="1E2761"/>
          <w:sz w:val="24"/>
          <w:szCs w:val="24"/>
        </w:rPr>
        <w:t xml:space="preserve">5.1 In Scope — v1.0</w:t>
      </w:r>
    </w:p>
    <w:p>
      <w:pPr>
        <w:pStyle w:val="ListParagraph"/>
        <w:numPr>
          <w:ilvl w:val="0"/>
          <w:numId w:val="2"/>
        </w:numPr>
        <w:spacing w:after="80"/>
      </w:pPr>
      <w:r>
        <w:rPr>
          <w:sz w:val="22"/>
          <w:szCs w:val="22"/>
        </w:rPr>
        <w:t xml:space="preserve">Streamlit chat-style UI with a visible agent step tracker (Search Guidelines → Check Lab Values → Synthesize Answer).</w:t>
      </w:r>
    </w:p>
    <w:p>
      <w:pPr>
        <w:pStyle w:val="ListParagraph"/>
        <w:numPr>
          <w:ilvl w:val="0"/>
          <w:numId w:val="2"/>
        </w:numPr>
        <w:spacing w:after="80"/>
      </w:pPr>
      <w:r>
        <w:rPr>
          <w:sz w:val="22"/>
          <w:szCs w:val="22"/>
        </w:rPr>
        <w:t xml:space="preserve">PDF ingestion pipeline: chunking + Hugging Face sentence-transformer embeddings + Chroma vector store (local/embedded).</w:t>
      </w:r>
    </w:p>
    <w:p>
      <w:pPr>
        <w:pStyle w:val="ListParagraph"/>
        <w:numPr>
          <w:ilvl w:val="0"/>
          <w:numId w:val="2"/>
        </w:numPr>
        <w:spacing w:after="80"/>
      </w:pPr>
      <w:r>
        <w:rPr>
          <w:sz w:val="22"/>
          <w:szCs w:val="22"/>
        </w:rPr>
        <w:t xml:space="preserve">RAG Q&amp;A over ingested public clinical guidelines and research papers with inline source citations.</w:t>
      </w:r>
    </w:p>
    <w:p>
      <w:pPr>
        <w:pStyle w:val="ListParagraph"/>
        <w:numPr>
          <w:ilvl w:val="0"/>
          <w:numId w:val="2"/>
        </w:numPr>
        <w:spacing w:after="80"/>
      </w:pPr>
      <w:r>
        <w:rPr>
          <w:sz w:val="22"/>
          <w:szCs w:val="22"/>
        </w:rPr>
        <w:t xml:space="preserve">Lab value validation tool: structured lookup against a reference-range table, with anomaly flagging and explanation.</w:t>
      </w:r>
    </w:p>
    <w:p>
      <w:pPr>
        <w:pStyle w:val="ListParagraph"/>
        <w:numPr>
          <w:ilvl w:val="0"/>
          <w:numId w:val="2"/>
        </w:numPr>
        <w:spacing w:after="80"/>
      </w:pPr>
      <w:r>
        <w:rPr>
          <w:sz w:val="22"/>
          <w:szCs w:val="22"/>
        </w:rPr>
        <w:t xml:space="preserve">LangGraph agent graph with at least two distinct tools (retriever tool, validator tool) and conditional routing.</w:t>
      </w:r>
    </w:p>
    <w:p>
      <w:pPr>
        <w:pStyle w:val="ListParagraph"/>
        <w:numPr>
          <w:ilvl w:val="0"/>
          <w:numId w:val="2"/>
        </w:numPr>
        <w:spacing w:after="80"/>
      </w:pPr>
      <w:r>
        <w:rPr>
          <w:sz w:val="22"/>
          <w:szCs w:val="22"/>
        </w:rPr>
        <w:t xml:space="preserve">Groq LLM (free tier) as the reasoning/generation engine.</w:t>
      </w:r>
    </w:p>
    <w:p>
      <w:pPr>
        <w:pStyle w:val="ListParagraph"/>
        <w:numPr>
          <w:ilvl w:val="0"/>
          <w:numId w:val="2"/>
        </w:numPr>
        <w:spacing w:after="80"/>
      </w:pPr>
      <w:r>
        <w:rPr>
          <w:sz w:val="22"/>
          <w:szCs w:val="22"/>
        </w:rPr>
        <w:t xml:space="preserve">Basic error handling: missing API key, empty query, unparseable PDF, out-of-vocabulary lab test.</w:t>
      </w:r>
    </w:p>
    <w:p>
      <w:pPr>
        <w:pStyle w:val="ListParagraph"/>
        <w:numPr>
          <w:ilvl w:val="0"/>
          <w:numId w:val="2"/>
        </w:numPr>
        <w:spacing w:after="80"/>
      </w:pPr>
      <w:r>
        <w:rPr>
          <w:sz w:val="22"/>
          <w:szCs w:val="22"/>
        </w:rPr>
        <w:t xml:space="preserve">Deployment on Streamlit Community Cloud with secrets management for the Groq API key.</w:t>
      </w:r>
    </w:p>
    <w:p>
      <w:pPr>
        <w:pStyle w:val="ListParagraph"/>
        <w:numPr>
          <w:ilvl w:val="0"/>
          <w:numId w:val="2"/>
        </w:numPr>
        <w:spacing w:after="80"/>
      </w:pPr>
      <w:r>
        <w:rPr>
          <w:sz w:val="22"/>
          <w:szCs w:val="22"/>
        </w:rPr>
        <w:t xml:space="preserve">Public GitHub repository with a professional README (setup, architecture, screenshots, demo link).</w:t>
      </w:r>
    </w:p>
    <w:p>
      <w:pPr>
        <w:pStyle w:val="Heading2"/>
        <w:spacing w:after="120" w:before="240"/>
      </w:pPr>
      <w:r>
        <w:rPr>
          <w:b/>
          <w:bCs/>
          <w:color w:val="1E2761"/>
          <w:sz w:val="24"/>
          <w:szCs w:val="24"/>
        </w:rPr>
        <w:t xml:space="preserve">5.2 Explicitly Out of Scope — v1.0</w:t>
      </w:r>
    </w:p>
    <w:p>
      <w:pPr>
        <w:pStyle w:val="ListParagraph"/>
        <w:numPr>
          <w:ilvl w:val="0"/>
          <w:numId w:val="2"/>
        </w:numPr>
        <w:spacing w:after="80"/>
      </w:pPr>
      <w:r>
        <w:rPr>
          <w:sz w:val="22"/>
          <w:szCs w:val="22"/>
        </w:rPr>
        <w:t xml:space="preserve">Real patient data or PHI of any kind — synthetic/sample data only.</w:t>
      </w:r>
    </w:p>
    <w:p>
      <w:pPr>
        <w:pStyle w:val="ListParagraph"/>
        <w:numPr>
          <w:ilvl w:val="0"/>
          <w:numId w:val="2"/>
        </w:numPr>
        <w:spacing w:after="80"/>
      </w:pPr>
      <w:r>
        <w:rPr>
          <w:sz w:val="22"/>
          <w:szCs w:val="22"/>
        </w:rPr>
        <w:t xml:space="preserve">User accounts, authentication, or per-user session persistence.</w:t>
      </w:r>
    </w:p>
    <w:p>
      <w:pPr>
        <w:pStyle w:val="ListParagraph"/>
        <w:numPr>
          <w:ilvl w:val="0"/>
          <w:numId w:val="2"/>
        </w:numPr>
        <w:spacing w:after="80"/>
      </w:pPr>
      <w:r>
        <w:rPr>
          <w:sz w:val="22"/>
          <w:szCs w:val="22"/>
        </w:rPr>
        <w:t xml:space="preserve">Chat history stored across sessions or across users.</w:t>
      </w:r>
    </w:p>
    <w:p>
      <w:pPr>
        <w:pStyle w:val="ListParagraph"/>
        <w:numPr>
          <w:ilvl w:val="0"/>
          <w:numId w:val="2"/>
        </w:numPr>
        <w:spacing w:after="80"/>
      </w:pPr>
      <w:r>
        <w:rPr>
          <w:sz w:val="22"/>
          <w:szCs w:val="22"/>
        </w:rPr>
        <w:t xml:space="preserve">Mobile or native app packaging.</w:t>
      </w:r>
    </w:p>
    <w:p>
      <w:pPr>
        <w:pStyle w:val="ListParagraph"/>
        <w:numPr>
          <w:ilvl w:val="0"/>
          <w:numId w:val="2"/>
        </w:numPr>
        <w:spacing w:after="80"/>
      </w:pPr>
      <w:r>
        <w:rPr>
          <w:sz w:val="22"/>
          <w:szCs w:val="22"/>
        </w:rPr>
        <w:t xml:space="preserve">Fine-tuning or training any model.</w:t>
      </w:r>
    </w:p>
    <w:p>
      <w:pPr>
        <w:pStyle w:val="ListParagraph"/>
        <w:numPr>
          <w:ilvl w:val="0"/>
          <w:numId w:val="2"/>
        </w:numPr>
        <w:spacing w:after="80"/>
      </w:pPr>
      <w:r>
        <w:rPr>
          <w:sz w:val="22"/>
          <w:szCs w:val="22"/>
        </w:rPr>
        <w:t xml:space="preserve">Multi-language support (English only).</w:t>
      </w:r>
    </w:p>
    <w:p>
      <w:pPr>
        <w:pStyle w:val="ListParagraph"/>
        <w:numPr>
          <w:ilvl w:val="0"/>
          <w:numId w:val="2"/>
        </w:numPr>
        <w:spacing w:after="80"/>
      </w:pPr>
      <w:r>
        <w:rPr>
          <w:sz w:val="22"/>
          <w:szCs w:val="22"/>
        </w:rPr>
        <w:t xml:space="preserve">Paid vector databases (e.g., Pinecone) or paid LLM APIs.</w:t>
      </w:r>
    </w:p>
    <w:p>
      <w:pPr>
        <w:pStyle w:val="ListParagraph"/>
        <w:numPr>
          <w:ilvl w:val="0"/>
          <w:numId w:val="2"/>
        </w:numPr>
        <w:spacing w:after="80"/>
      </w:pPr>
      <w:r>
        <w:rPr>
          <w:sz w:val="22"/>
          <w:szCs w:val="22"/>
        </w:rPr>
        <w:t xml:space="preserve">Voice input or output.</w:t>
      </w:r>
    </w:p>
    <w:p>
      <w:pPr>
        <w:pStyle w:val="ListParagraph"/>
        <w:numPr>
          <w:ilvl w:val="0"/>
          <w:numId w:val="2"/>
        </w:numPr>
        <w:spacing w:after="80"/>
      </w:pPr>
      <w:r>
        <w:rPr>
          <w:sz w:val="22"/>
          <w:szCs w:val="22"/>
        </w:rPr>
        <w:t xml:space="preserve">Any claim of regulatory/clinical compliance (HIPAA, FDA, etc.) — the product is explicitly a research/demo tool, not a medical device.</w:t>
      </w:r>
    </w:p>
    <w:p>
      <w:pPr>
        <w:pStyle w:val="Heading1"/>
        <w:spacing w:after="160" w:before="320"/>
      </w:pPr>
      <w:r>
        <w:rPr>
          <w:b/>
          <w:bCs/>
          <w:color w:val="1E2761"/>
          <w:sz w:val="32"/>
          <w:szCs w:val="32"/>
        </w:rPr>
        <w:t xml:space="preserve">6. Key Features (v1.0)</w:t>
      </w:r>
    </w:p>
    <w:p>
      <w:pPr>
        <w:pStyle w:val="Heading2"/>
        <w:spacing w:after="120" w:before="240"/>
      </w:pPr>
      <w:r>
        <w:rPr>
          <w:b/>
          <w:bCs/>
          <w:color w:val="1E2761"/>
          <w:sz w:val="24"/>
          <w:szCs w:val="24"/>
        </w:rPr>
        <w:t xml:space="preserve">6.1 Agentic Research Q&amp;A</w:t>
      </w:r>
    </w:p>
    <w:p>
      <w:pPr>
        <w:pStyle w:val="ListParagraph"/>
        <w:numPr>
          <w:ilvl w:val="0"/>
          <w:numId w:val="2"/>
        </w:numPr>
        <w:spacing w:after="80"/>
      </w:pPr>
      <w:r>
        <w:rPr>
          <w:sz w:val="22"/>
          <w:szCs w:val="22"/>
        </w:rPr>
        <w:t xml:space="preserve">User asks a free-text medical/clinical question.</w:t>
      </w:r>
    </w:p>
    <w:p>
      <w:pPr>
        <w:pStyle w:val="ListParagraph"/>
        <w:numPr>
          <w:ilvl w:val="0"/>
          <w:numId w:val="2"/>
        </w:numPr>
        <w:spacing w:after="80"/>
      </w:pPr>
      <w:r>
        <w:rPr>
          <w:sz w:val="22"/>
          <w:szCs w:val="22"/>
        </w:rPr>
        <w:t xml:space="preserve">Agent retrieves relevant chunks from the Chroma vector store built from ingested guideline/paper PDFs.</w:t>
      </w:r>
    </w:p>
    <w:p>
      <w:pPr>
        <w:pStyle w:val="ListParagraph"/>
        <w:numPr>
          <w:ilvl w:val="0"/>
          <w:numId w:val="2"/>
        </w:numPr>
        <w:spacing w:after="80"/>
      </w:pPr>
      <w:r>
        <w:rPr>
          <w:sz w:val="22"/>
          <w:szCs w:val="22"/>
        </w:rPr>
        <w:t xml:space="preserve">Agent synthesizes an answer that cites which source document(s) informed it.</w:t>
      </w:r>
    </w:p>
    <w:p>
      <w:pPr>
        <w:pStyle w:val="Heading2"/>
        <w:spacing w:after="120" w:before="240"/>
      </w:pPr>
      <w:r>
        <w:rPr>
          <w:b/>
          <w:bCs/>
          <w:color w:val="1E2761"/>
          <w:sz w:val="24"/>
          <w:szCs w:val="24"/>
        </w:rPr>
        <w:t xml:space="preserve">6.2 Lab Value Validation</w:t>
      </w:r>
    </w:p>
    <w:p>
      <w:pPr>
        <w:pStyle w:val="ListParagraph"/>
        <w:numPr>
          <w:ilvl w:val="0"/>
          <w:numId w:val="2"/>
        </w:numPr>
        <w:spacing w:after="80"/>
      </w:pPr>
      <w:r>
        <w:rPr>
          <w:sz w:val="22"/>
          <w:szCs w:val="22"/>
        </w:rPr>
        <w:t xml:space="preserve">User submits one or more lab test names + values (via form or in natural language).</w:t>
      </w:r>
    </w:p>
    <w:p>
      <w:pPr>
        <w:pStyle w:val="ListParagraph"/>
        <w:numPr>
          <w:ilvl w:val="0"/>
          <w:numId w:val="2"/>
        </w:numPr>
        <w:spacing w:after="80"/>
      </w:pPr>
      <w:r>
        <w:rPr>
          <w:sz w:val="22"/>
          <w:szCs w:val="22"/>
        </w:rPr>
        <w:t xml:space="preserve">Agent looks up each value against a reference-range table.</w:t>
      </w:r>
    </w:p>
    <w:p>
      <w:pPr>
        <w:pStyle w:val="ListParagraph"/>
        <w:numPr>
          <w:ilvl w:val="0"/>
          <w:numId w:val="2"/>
        </w:numPr>
        <w:spacing w:after="80"/>
      </w:pPr>
      <w:r>
        <w:rPr>
          <w:sz w:val="22"/>
          <w:szCs w:val="22"/>
        </w:rPr>
        <w:t xml:space="preserve">Agent flags any value outside the normal range, with a short plain-English explanation of what that might indicate — framed as informational, not diagnostic.</w:t>
      </w:r>
    </w:p>
    <w:p>
      <w:pPr>
        <w:pStyle w:val="Heading2"/>
        <w:spacing w:after="120" w:before="240"/>
      </w:pPr>
      <w:r>
        <w:rPr>
          <w:b/>
          <w:bCs/>
          <w:color w:val="1E2761"/>
          <w:sz w:val="24"/>
          <w:szCs w:val="24"/>
        </w:rPr>
        <w:t xml:space="preserve">6.3 Visible Agent Reasoning</w:t>
      </w:r>
    </w:p>
    <w:p>
      <w:pPr>
        <w:pStyle w:val="ListParagraph"/>
        <w:numPr>
          <w:ilvl w:val="0"/>
          <w:numId w:val="2"/>
        </w:numPr>
        <w:spacing w:after="80"/>
      </w:pPr>
      <w:r>
        <w:rPr>
          <w:sz w:val="22"/>
          <w:szCs w:val="22"/>
        </w:rPr>
        <w:t xml:space="preserve">UI shows discrete steps as the agent works: e.g. '🔍 Searching guidelines...', '🧪 Checking lab values...', '✍️ Synthesizing answer...'.</w:t>
      </w:r>
    </w:p>
    <w:p>
      <w:pPr>
        <w:pStyle w:val="ListParagraph"/>
        <w:numPr>
          <w:ilvl w:val="0"/>
          <w:numId w:val="2"/>
        </w:numPr>
        <w:spacing w:after="80"/>
      </w:pPr>
      <w:r>
        <w:rPr>
          <w:sz w:val="22"/>
          <w:szCs w:val="22"/>
        </w:rPr>
        <w:t xml:space="preserve">Final answer is shown with clear separation between cited research content and validation results.</w:t>
      </w:r>
    </w:p>
    <w:p>
      <w:pPr>
        <w:pStyle w:val="Heading1"/>
        <w:spacing w:after="160" w:before="320"/>
      </w:pPr>
      <w:r>
        <w:rPr>
          <w:b/>
          <w:bCs/>
          <w:color w:val="1E2761"/>
          <w:sz w:val="32"/>
          <w:szCs w:val="32"/>
        </w:rPr>
        <w:t xml:space="preserve">7. Technical Approach (Locked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shd w:fill="1E2761" w:val="clear"/>
            <w:tcMar>
              <w:top w:type="dxa" w:w="80"/>
              <w:left w:type="dxa" w:w="100"/>
              <w:bottom w:type="dxa" w:w="80"/>
              <w:right w:type="dxa" w:w="100"/>
            </w:tcMar>
          </w:tcPr>
          <w:p>
            <w:r>
              <w:rPr>
                <w:b/>
                <w:bCs/>
                <w:color w:val="FFFFFF"/>
                <w:sz w:val="20"/>
                <w:szCs w:val="20"/>
              </w:rPr>
              <w:t xml:space="preserve">Layer</w:t>
            </w:r>
          </w:p>
        </w:tc>
        <w:tc>
          <w:tcPr>
            <w:tcW w:type="dxa" w:w="3600"/>
            <w:shd w:fill="1E2761" w:val="clear"/>
            <w:tcMar>
              <w:top w:type="dxa" w:w="80"/>
              <w:left w:type="dxa" w:w="100"/>
              <w:bottom w:type="dxa" w:w="80"/>
              <w:right w:type="dxa" w:w="100"/>
            </w:tcMar>
          </w:tcPr>
          <w:p>
            <w:r>
              <w:rPr>
                <w:b/>
                <w:bCs/>
                <w:color w:val="FFFFFF"/>
                <w:sz w:val="20"/>
                <w:szCs w:val="20"/>
              </w:rPr>
              <w:t xml:space="preserve">Choice</w:t>
            </w:r>
          </w:p>
        </w:tc>
        <w:tc>
          <w:tcPr>
            <w:tcW w:type="dxa" w:w="4280"/>
            <w:shd w:fill="1E2761" w:val="clear"/>
            <w:tcMar>
              <w:top w:type="dxa" w:w="80"/>
              <w:left w:type="dxa" w:w="100"/>
              <w:bottom w:type="dxa" w:w="80"/>
              <w:right w:type="dxa" w:w="100"/>
            </w:tcMar>
          </w:tcPr>
          <w:p>
            <w:r>
              <w:rPr>
                <w:b/>
                <w:bCs/>
                <w:color w:val="FFFFFF"/>
                <w:sz w:val="20"/>
                <w:szCs w:val="20"/>
              </w:rPr>
              <w:t xml:space="preserve">Why</w:t>
            </w:r>
          </w:p>
        </w:tc>
      </w:tr>
      <w:tr>
        <w:tc>
          <w:tcPr>
            <w:tcW w:type="dxa" w:w="2200"/>
            <w:tcMar>
              <w:top w:type="dxa" w:w="80"/>
              <w:left w:type="dxa" w:w="100"/>
              <w:bottom w:type="dxa" w:w="80"/>
              <w:right w:type="dxa" w:w="100"/>
            </w:tcMar>
          </w:tcPr>
          <w:p>
            <w:r>
              <w:rPr>
                <w:sz w:val="20"/>
                <w:szCs w:val="20"/>
              </w:rPr>
              <w:t xml:space="preserve">LLM</w:t>
            </w:r>
          </w:p>
        </w:tc>
        <w:tc>
          <w:tcPr>
            <w:tcW w:type="dxa" w:w="3600"/>
            <w:tcMar>
              <w:top w:type="dxa" w:w="80"/>
              <w:left w:type="dxa" w:w="100"/>
              <w:bottom w:type="dxa" w:w="80"/>
              <w:right w:type="dxa" w:w="100"/>
            </w:tcMar>
          </w:tcPr>
          <w:p>
            <w:r>
              <w:rPr>
                <w:sz w:val="20"/>
                <w:szCs w:val="20"/>
              </w:rPr>
              <w:t xml:space="preserve">Groq API (free tier)</w:t>
            </w:r>
          </w:p>
        </w:tc>
        <w:tc>
          <w:tcPr>
            <w:tcW w:type="dxa" w:w="4280"/>
            <w:tcMar>
              <w:top w:type="dxa" w:w="80"/>
              <w:left w:type="dxa" w:w="100"/>
              <w:bottom w:type="dxa" w:w="80"/>
              <w:right w:type="dxa" w:w="100"/>
            </w:tcMar>
          </w:tcPr>
          <w:p>
            <w:r>
              <w:rPr>
                <w:sz w:val="20"/>
                <w:szCs w:val="20"/>
              </w:rPr>
              <w:t xml:space="preserve">Already available, fast inference, zero cost</w:t>
            </w:r>
          </w:p>
        </w:tc>
      </w:tr>
      <w:tr>
        <w:tc>
          <w:tcPr>
            <w:tcW w:type="dxa" w:w="2200"/>
            <w:tcMar>
              <w:top w:type="dxa" w:w="80"/>
              <w:left w:type="dxa" w:w="100"/>
              <w:bottom w:type="dxa" w:w="80"/>
              <w:right w:type="dxa" w:w="100"/>
            </w:tcMar>
          </w:tcPr>
          <w:p>
            <w:r>
              <w:rPr>
                <w:sz w:val="20"/>
                <w:szCs w:val="20"/>
              </w:rPr>
              <w:t xml:space="preserve">Orchestration</w:t>
            </w:r>
          </w:p>
        </w:tc>
        <w:tc>
          <w:tcPr>
            <w:tcW w:type="dxa" w:w="3600"/>
            <w:tcMar>
              <w:top w:type="dxa" w:w="80"/>
              <w:left w:type="dxa" w:w="100"/>
              <w:bottom w:type="dxa" w:w="80"/>
              <w:right w:type="dxa" w:w="100"/>
            </w:tcMar>
          </w:tcPr>
          <w:p>
            <w:r>
              <w:rPr>
                <w:sz w:val="20"/>
                <w:szCs w:val="20"/>
              </w:rPr>
              <w:t xml:space="preserve">LangChain + LangGraph</w:t>
            </w:r>
          </w:p>
        </w:tc>
        <w:tc>
          <w:tcPr>
            <w:tcW w:type="dxa" w:w="4280"/>
            <w:tcMar>
              <w:top w:type="dxa" w:w="80"/>
              <w:left w:type="dxa" w:w="100"/>
              <w:bottom w:type="dxa" w:w="80"/>
              <w:right w:type="dxa" w:w="100"/>
            </w:tcMar>
          </w:tcPr>
          <w:p>
            <w:r>
              <w:rPr>
                <w:sz w:val="20"/>
                <w:szCs w:val="20"/>
              </w:rPr>
              <w:t xml:space="preserve">Matches existing skill set; enables visible multi-step agent</w:t>
            </w:r>
          </w:p>
        </w:tc>
      </w:tr>
      <w:tr>
        <w:tc>
          <w:tcPr>
            <w:tcW w:type="dxa" w:w="2200"/>
            <w:tcMar>
              <w:top w:type="dxa" w:w="80"/>
              <w:left w:type="dxa" w:w="100"/>
              <w:bottom w:type="dxa" w:w="80"/>
              <w:right w:type="dxa" w:w="100"/>
            </w:tcMar>
          </w:tcPr>
          <w:p>
            <w:r>
              <w:rPr>
                <w:sz w:val="20"/>
                <w:szCs w:val="20"/>
              </w:rPr>
              <w:t xml:space="preserve">Embeddings</w:t>
            </w:r>
          </w:p>
        </w:tc>
        <w:tc>
          <w:tcPr>
            <w:tcW w:type="dxa" w:w="3600"/>
            <w:tcMar>
              <w:top w:type="dxa" w:w="80"/>
              <w:left w:type="dxa" w:w="100"/>
              <w:bottom w:type="dxa" w:w="80"/>
              <w:right w:type="dxa" w:w="100"/>
            </w:tcMar>
          </w:tcPr>
          <w:p>
            <w:r>
              <w:rPr>
                <w:sz w:val="20"/>
                <w:szCs w:val="20"/>
              </w:rPr>
              <w:t xml:space="preserve">Hugging Face sentence-transformers (local)</w:t>
            </w:r>
          </w:p>
        </w:tc>
        <w:tc>
          <w:tcPr>
            <w:tcW w:type="dxa" w:w="4280"/>
            <w:tcMar>
              <w:top w:type="dxa" w:w="80"/>
              <w:left w:type="dxa" w:w="100"/>
              <w:bottom w:type="dxa" w:w="80"/>
              <w:right w:type="dxa" w:w="100"/>
            </w:tcMar>
          </w:tcPr>
          <w:p>
            <w:r>
              <w:rPr>
                <w:sz w:val="20"/>
                <w:szCs w:val="20"/>
              </w:rPr>
              <w:t xml:space="preserve">Free, no external API cost</w:t>
            </w:r>
          </w:p>
        </w:tc>
      </w:tr>
      <w:tr>
        <w:tc>
          <w:tcPr>
            <w:tcW w:type="dxa" w:w="2200"/>
            <w:tcMar>
              <w:top w:type="dxa" w:w="80"/>
              <w:left w:type="dxa" w:w="100"/>
              <w:bottom w:type="dxa" w:w="80"/>
              <w:right w:type="dxa" w:w="100"/>
            </w:tcMar>
          </w:tcPr>
          <w:p>
            <w:r>
              <w:rPr>
                <w:sz w:val="20"/>
                <w:szCs w:val="20"/>
              </w:rPr>
              <w:t xml:space="preserve">Vector store</w:t>
            </w:r>
          </w:p>
        </w:tc>
        <w:tc>
          <w:tcPr>
            <w:tcW w:type="dxa" w:w="3600"/>
            <w:tcMar>
              <w:top w:type="dxa" w:w="80"/>
              <w:left w:type="dxa" w:w="100"/>
              <w:bottom w:type="dxa" w:w="80"/>
              <w:right w:type="dxa" w:w="100"/>
            </w:tcMar>
          </w:tcPr>
          <w:p>
            <w:r>
              <w:rPr>
                <w:sz w:val="20"/>
                <w:szCs w:val="20"/>
              </w:rPr>
              <w:t xml:space="preserve">Chroma (embedded, in-process)</w:t>
            </w:r>
          </w:p>
        </w:tc>
        <w:tc>
          <w:tcPr>
            <w:tcW w:type="dxa" w:w="4280"/>
            <w:tcMar>
              <w:top w:type="dxa" w:w="80"/>
              <w:left w:type="dxa" w:w="100"/>
              <w:bottom w:type="dxa" w:w="80"/>
              <w:right w:type="dxa" w:w="100"/>
            </w:tcMar>
          </w:tcPr>
          <w:p>
            <w:r>
              <w:rPr>
                <w:sz w:val="20"/>
                <w:szCs w:val="20"/>
              </w:rPr>
              <w:t xml:space="preserve">Free, zero external signup, supports metadata filtering</w:t>
            </w:r>
          </w:p>
        </w:tc>
      </w:tr>
      <w:tr>
        <w:tc>
          <w:tcPr>
            <w:tcW w:type="dxa" w:w="2200"/>
            <w:tcMar>
              <w:top w:type="dxa" w:w="80"/>
              <w:left w:type="dxa" w:w="100"/>
              <w:bottom w:type="dxa" w:w="80"/>
              <w:right w:type="dxa" w:w="100"/>
            </w:tcMar>
          </w:tcPr>
          <w:p>
            <w:r>
              <w:rPr>
                <w:sz w:val="20"/>
                <w:szCs w:val="20"/>
              </w:rPr>
              <w:t xml:space="preserve">Frontend</w:t>
            </w:r>
          </w:p>
        </w:tc>
        <w:tc>
          <w:tcPr>
            <w:tcW w:type="dxa" w:w="3600"/>
            <w:tcMar>
              <w:top w:type="dxa" w:w="80"/>
              <w:left w:type="dxa" w:w="100"/>
              <w:bottom w:type="dxa" w:w="80"/>
              <w:right w:type="dxa" w:w="100"/>
            </w:tcMar>
          </w:tcPr>
          <w:p>
            <w:r>
              <w:rPr>
                <w:sz w:val="20"/>
                <w:szCs w:val="20"/>
              </w:rPr>
              <w:t xml:space="preserve">Streamlit</w:t>
            </w:r>
          </w:p>
        </w:tc>
        <w:tc>
          <w:tcPr>
            <w:tcW w:type="dxa" w:w="4280"/>
            <w:tcMar>
              <w:top w:type="dxa" w:w="80"/>
              <w:left w:type="dxa" w:w="100"/>
              <w:bottom w:type="dxa" w:w="80"/>
              <w:right w:type="dxa" w:w="100"/>
            </w:tcMar>
          </w:tcPr>
          <w:p>
            <w:r>
              <w:rPr>
                <w:sz w:val="20"/>
                <w:szCs w:val="20"/>
              </w:rPr>
              <w:t xml:space="preserve">Fast to build a clean chat UI in Python</w:t>
            </w:r>
          </w:p>
        </w:tc>
      </w:tr>
      <w:tr>
        <w:tc>
          <w:tcPr>
            <w:tcW w:type="dxa" w:w="2200"/>
            <w:tcMar>
              <w:top w:type="dxa" w:w="80"/>
              <w:left w:type="dxa" w:w="100"/>
              <w:bottom w:type="dxa" w:w="80"/>
              <w:right w:type="dxa" w:w="100"/>
            </w:tcMar>
          </w:tcPr>
          <w:p>
            <w:r>
              <w:rPr>
                <w:sz w:val="20"/>
                <w:szCs w:val="20"/>
              </w:rPr>
              <w:t xml:space="preserve">Hosting</w:t>
            </w:r>
          </w:p>
        </w:tc>
        <w:tc>
          <w:tcPr>
            <w:tcW w:type="dxa" w:w="3600"/>
            <w:tcMar>
              <w:top w:type="dxa" w:w="80"/>
              <w:left w:type="dxa" w:w="100"/>
              <w:bottom w:type="dxa" w:w="80"/>
              <w:right w:type="dxa" w:w="100"/>
            </w:tcMar>
          </w:tcPr>
          <w:p>
            <w:r>
              <w:rPr>
                <w:sz w:val="20"/>
                <w:szCs w:val="20"/>
              </w:rPr>
              <w:t xml:space="preserve">Streamlit Community Cloud</w:t>
            </w:r>
          </w:p>
        </w:tc>
        <w:tc>
          <w:tcPr>
            <w:tcW w:type="dxa" w:w="4280"/>
            <w:tcMar>
              <w:top w:type="dxa" w:w="80"/>
              <w:left w:type="dxa" w:w="100"/>
              <w:bottom w:type="dxa" w:w="80"/>
              <w:right w:type="dxa" w:w="100"/>
            </w:tcMar>
          </w:tcPr>
          <w:p>
            <w:r>
              <w:rPr>
                <w:sz w:val="20"/>
                <w:szCs w:val="20"/>
              </w:rPr>
              <w:t xml:space="preserve">Free, deploys directly from GitHub</w:t>
            </w:r>
          </w:p>
        </w:tc>
      </w:tr>
      <w:tr>
        <w:tc>
          <w:tcPr>
            <w:tcW w:type="dxa" w:w="2200"/>
            <w:tcMar>
              <w:top w:type="dxa" w:w="80"/>
              <w:left w:type="dxa" w:w="100"/>
              <w:bottom w:type="dxa" w:w="80"/>
              <w:right w:type="dxa" w:w="100"/>
            </w:tcMar>
          </w:tcPr>
          <w:p>
            <w:r>
              <w:rPr>
                <w:sz w:val="20"/>
                <w:szCs w:val="20"/>
              </w:rPr>
              <w:t xml:space="preserve">Secrets</w:t>
            </w:r>
          </w:p>
        </w:tc>
        <w:tc>
          <w:tcPr>
            <w:tcW w:type="dxa" w:w="3600"/>
            <w:tcMar>
              <w:top w:type="dxa" w:w="80"/>
              <w:left w:type="dxa" w:w="100"/>
              <w:bottom w:type="dxa" w:w="80"/>
              <w:right w:type="dxa" w:w="100"/>
            </w:tcMar>
          </w:tcPr>
          <w:p>
            <w:r>
              <w:rPr>
                <w:sz w:val="20"/>
                <w:szCs w:val="20"/>
              </w:rPr>
              <w:t xml:space="preserve">Streamlit secrets / dotenv</w:t>
            </w:r>
          </w:p>
        </w:tc>
        <w:tc>
          <w:tcPr>
            <w:tcW w:type="dxa" w:w="4280"/>
            <w:tcMar>
              <w:top w:type="dxa" w:w="80"/>
              <w:left w:type="dxa" w:w="100"/>
              <w:bottom w:type="dxa" w:w="80"/>
              <w:right w:type="dxa" w:w="100"/>
            </w:tcMar>
          </w:tcPr>
          <w:p>
            <w:r>
              <w:rPr>
                <w:sz w:val="20"/>
                <w:szCs w:val="20"/>
              </w:rPr>
              <w:t xml:space="preserve">Keeps Groq API key out of source control</w:t>
            </w:r>
          </w:p>
        </w:tc>
      </w:tr>
      <w:tr>
        <w:tc>
          <w:tcPr>
            <w:tcW w:type="dxa" w:w="2200"/>
            <w:tcMar>
              <w:top w:type="dxa" w:w="80"/>
              <w:left w:type="dxa" w:w="100"/>
              <w:bottom w:type="dxa" w:w="80"/>
              <w:right w:type="dxa" w:w="100"/>
            </w:tcMar>
          </w:tcPr>
          <w:p>
            <w:r>
              <w:rPr>
                <w:sz w:val="20"/>
                <w:szCs w:val="20"/>
              </w:rPr>
              <w:t xml:space="preserve">Version control</w:t>
            </w:r>
          </w:p>
        </w:tc>
        <w:tc>
          <w:tcPr>
            <w:tcW w:type="dxa" w:w="3600"/>
            <w:tcMar>
              <w:top w:type="dxa" w:w="80"/>
              <w:left w:type="dxa" w:w="100"/>
              <w:bottom w:type="dxa" w:w="80"/>
              <w:right w:type="dxa" w:w="100"/>
            </w:tcMar>
          </w:tcPr>
          <w:p>
            <w:r>
              <w:rPr>
                <w:sz w:val="20"/>
                <w:szCs w:val="20"/>
              </w:rPr>
              <w:t xml:space="preserve">Git + GitHub</w:t>
            </w:r>
          </w:p>
        </w:tc>
        <w:tc>
          <w:tcPr>
            <w:tcW w:type="dxa" w:w="4280"/>
            <w:tcMar>
              <w:top w:type="dxa" w:w="80"/>
              <w:left w:type="dxa" w:w="100"/>
              <w:bottom w:type="dxa" w:w="80"/>
              <w:right w:type="dxa" w:w="100"/>
            </w:tcMar>
          </w:tcPr>
          <w:p>
            <w:r>
              <w:rPr>
                <w:sz w:val="20"/>
                <w:szCs w:val="20"/>
              </w:rPr>
              <w:t xml:space="preserve">Required for deployment and portfolio visibility</w:t>
            </w:r>
          </w:p>
        </w:tc>
      </w:tr>
    </w:tbl>
    <w:p>
      <w:pPr>
        <w:spacing w:after="200"/>
      </w:pPr>
    </w:p>
    <w:p>
      <w:pPr>
        <w:spacing w:after="160"/>
      </w:pPr>
      <w:r>
        <w:rPr>
          <w:sz w:val="22"/>
          <w:szCs w:val="22"/>
        </w:rPr>
        <w:t xml:space="preserve">Full day-by-day technical breakdown, file structure, and implementation steps are documented separately in the Implementation Blueprint (Days 2–10), which serves as the single source of truth for the build phase.</w:t>
      </w:r>
    </w:p>
    <w:p>
      <w:pPr>
        <w:pStyle w:val="Heading1"/>
        <w:spacing w:after="160" w:before="320"/>
      </w:pPr>
      <w:r>
        <w:rPr>
          <w:b/>
          <w:bCs/>
          <w:color w:val="1E2761"/>
          <w:sz w:val="32"/>
          <w:szCs w:val="32"/>
        </w:rPr>
        <w:t xml:space="preserve">8.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E2761" w:val="clear"/>
            <w:tcMar>
              <w:top w:type="dxa" w:w="80"/>
              <w:left w:type="dxa" w:w="100"/>
              <w:bottom w:type="dxa" w:w="80"/>
              <w:right w:type="dxa" w:w="100"/>
            </w:tcMar>
          </w:tcPr>
          <w:p>
            <w:r>
              <w:rPr>
                <w:b/>
                <w:bCs/>
                <w:color w:val="FFFFFF"/>
                <w:sz w:val="20"/>
                <w:szCs w:val="20"/>
              </w:rPr>
              <w:t xml:space="preserve">Risk</w:t>
            </w:r>
          </w:p>
        </w:tc>
        <w:tc>
          <w:tcPr>
            <w:tcW w:type="dxa" w:w="5880"/>
            <w:shd w:fill="1E2761" w:val="clear"/>
            <w:tcMar>
              <w:top w:type="dxa" w:w="80"/>
              <w:left w:type="dxa" w:w="100"/>
              <w:bottom w:type="dxa" w:w="80"/>
              <w:right w:type="dxa" w:w="100"/>
            </w:tcMar>
          </w:tcPr>
          <w:p>
            <w:r>
              <w:rPr>
                <w:b/>
                <w:bCs/>
                <w:color w:val="FFFFFF"/>
                <w:sz w:val="20"/>
                <w:szCs w:val="20"/>
              </w:rPr>
              <w:t xml:space="preserve">Mitigation</w:t>
            </w:r>
          </w:p>
        </w:tc>
      </w:tr>
      <w:tr>
        <w:tc>
          <w:tcPr>
            <w:tcW w:type="dxa" w:w="4200"/>
            <w:tcMar>
              <w:top w:type="dxa" w:w="80"/>
              <w:left w:type="dxa" w:w="100"/>
              <w:bottom w:type="dxa" w:w="80"/>
              <w:right w:type="dxa" w:w="100"/>
            </w:tcMar>
          </w:tcPr>
          <w:p>
            <w:r>
              <w:rPr>
                <w:sz w:val="20"/>
                <w:szCs w:val="20"/>
              </w:rPr>
              <w:t xml:space="preserve">Agent hallucinates citations</w:t>
            </w:r>
          </w:p>
        </w:tc>
        <w:tc>
          <w:tcPr>
            <w:tcW w:type="dxa" w:w="5880"/>
            <w:tcMar>
              <w:top w:type="dxa" w:w="80"/>
              <w:left w:type="dxa" w:w="100"/>
              <w:bottom w:type="dxa" w:w="80"/>
              <w:right w:type="dxa" w:w="100"/>
            </w:tcMar>
          </w:tcPr>
          <w:p>
            <w:r>
              <w:rPr>
                <w:sz w:val="20"/>
                <w:szCs w:val="20"/>
              </w:rPr>
              <w:t xml:space="preserve">Constrain answer generation to retrieved context only; explicitly instruct the model to say 'not found in sources' when applicable</w:t>
            </w:r>
          </w:p>
        </w:tc>
      </w:tr>
      <w:tr>
        <w:tc>
          <w:tcPr>
            <w:tcW w:type="dxa" w:w="4200"/>
            <w:tcMar>
              <w:top w:type="dxa" w:w="80"/>
              <w:left w:type="dxa" w:w="100"/>
              <w:bottom w:type="dxa" w:w="80"/>
              <w:right w:type="dxa" w:w="100"/>
            </w:tcMar>
          </w:tcPr>
          <w:p>
            <w:r>
              <w:rPr>
                <w:sz w:val="20"/>
                <w:szCs w:val="20"/>
              </w:rPr>
              <w:t xml:space="preserve">Free-tier rate limits (Groq) interrupt demo</w:t>
            </w:r>
          </w:p>
        </w:tc>
        <w:tc>
          <w:tcPr>
            <w:tcW w:type="dxa" w:w="5880"/>
            <w:tcMar>
              <w:top w:type="dxa" w:w="80"/>
              <w:left w:type="dxa" w:w="100"/>
              <w:bottom w:type="dxa" w:w="80"/>
              <w:right w:type="dxa" w:w="100"/>
            </w:tcMar>
          </w:tcPr>
          <w:p>
            <w:r>
              <w:rPr>
                <w:sz w:val="20"/>
                <w:szCs w:val="20"/>
              </w:rPr>
              <w:t xml:space="preserve">Add retry/backoff and a clear on-screen message; keep demo queries lightweight</w:t>
            </w:r>
          </w:p>
        </w:tc>
      </w:tr>
      <w:tr>
        <w:tc>
          <w:tcPr>
            <w:tcW w:type="dxa" w:w="4200"/>
            <w:tcMar>
              <w:top w:type="dxa" w:w="80"/>
              <w:left w:type="dxa" w:w="100"/>
              <w:bottom w:type="dxa" w:w="80"/>
              <w:right w:type="dxa" w:w="100"/>
            </w:tcMar>
          </w:tcPr>
          <w:p>
            <w:r>
              <w:rPr>
                <w:sz w:val="20"/>
                <w:szCs w:val="20"/>
              </w:rPr>
              <w:t xml:space="preserve">Streamlit Cloud cold-start delay</w:t>
            </w:r>
          </w:p>
        </w:tc>
        <w:tc>
          <w:tcPr>
            <w:tcW w:type="dxa" w:w="5880"/>
            <w:tcMar>
              <w:top w:type="dxa" w:w="80"/>
              <w:left w:type="dxa" w:w="100"/>
              <w:bottom w:type="dxa" w:w="80"/>
              <w:right w:type="dxa" w:w="100"/>
            </w:tcMar>
          </w:tcPr>
          <w:p>
            <w:r>
              <w:rPr>
                <w:sz w:val="20"/>
                <w:szCs w:val="20"/>
              </w:rPr>
              <w:t xml:space="preserve">Note expected first-load delay in README; keep dependencies minimal</w:t>
            </w:r>
          </w:p>
        </w:tc>
      </w:tr>
      <w:tr>
        <w:tc>
          <w:tcPr>
            <w:tcW w:type="dxa" w:w="4200"/>
            <w:tcMar>
              <w:top w:type="dxa" w:w="80"/>
              <w:left w:type="dxa" w:w="100"/>
              <w:bottom w:type="dxa" w:w="80"/>
              <w:right w:type="dxa" w:w="100"/>
            </w:tcMar>
          </w:tcPr>
          <w:p>
            <w:r>
              <w:rPr>
                <w:sz w:val="20"/>
                <w:szCs w:val="20"/>
              </w:rPr>
              <w:t xml:space="preserve">Local embedding model slow on first run</w:t>
            </w:r>
          </w:p>
        </w:tc>
        <w:tc>
          <w:tcPr>
            <w:tcW w:type="dxa" w:w="5880"/>
            <w:tcMar>
              <w:top w:type="dxa" w:w="80"/>
              <w:left w:type="dxa" w:w="100"/>
              <w:bottom w:type="dxa" w:w="80"/>
              <w:right w:type="dxa" w:w="100"/>
            </w:tcMar>
          </w:tcPr>
          <w:p>
            <w:r>
              <w:rPr>
                <w:sz w:val="20"/>
                <w:szCs w:val="20"/>
              </w:rPr>
              <w:t xml:space="preserve">Pre-download/cache the model during setup, not during a live demo</w:t>
            </w:r>
          </w:p>
        </w:tc>
      </w:tr>
      <w:tr>
        <w:tc>
          <w:tcPr>
            <w:tcW w:type="dxa" w:w="4200"/>
            <w:tcMar>
              <w:top w:type="dxa" w:w="80"/>
              <w:left w:type="dxa" w:w="100"/>
              <w:bottom w:type="dxa" w:w="80"/>
              <w:right w:type="dxa" w:w="100"/>
            </w:tcMar>
          </w:tcPr>
          <w:p>
            <w:r>
              <w:rPr>
                <w:sz w:val="20"/>
                <w:szCs w:val="20"/>
              </w:rPr>
              <w:t xml:space="preserve">Scope creep beyond 3-4 hrs/day</w:t>
            </w:r>
          </w:p>
        </w:tc>
        <w:tc>
          <w:tcPr>
            <w:tcW w:type="dxa" w:w="5880"/>
            <w:tcMar>
              <w:top w:type="dxa" w:w="80"/>
              <w:left w:type="dxa" w:w="100"/>
              <w:bottom w:type="dxa" w:w="80"/>
              <w:right w:type="dxa" w:w="100"/>
            </w:tcMar>
          </w:tcPr>
          <w:p>
            <w:r>
              <w:rPr>
                <w:sz w:val="20"/>
                <w:szCs w:val="20"/>
              </w:rPr>
              <w:t xml:space="preserve">Blueprint enforces daily scope caps and an explicit 'cut list' if behind schedule</w:t>
            </w:r>
          </w:p>
        </w:tc>
      </w:tr>
    </w:tbl>
    <w:p>
      <w:pPr>
        <w:spacing w:after="200"/>
      </w:pPr>
    </w:p>
    <w:p>
      <w:pPr>
        <w:pStyle w:val="Heading1"/>
        <w:spacing w:after="160" w:before="320"/>
      </w:pPr>
      <w:r>
        <w:rPr>
          <w:b/>
          <w:bCs/>
          <w:color w:val="1E2761"/>
          <w:sz w:val="32"/>
          <w:szCs w:val="32"/>
        </w:rPr>
        <w:t xml:space="preserve">9. Assumptions &amp; Constraints</w:t>
      </w:r>
    </w:p>
    <w:p>
      <w:pPr>
        <w:pStyle w:val="ListParagraph"/>
        <w:numPr>
          <w:ilvl w:val="0"/>
          <w:numId w:val="2"/>
        </w:numPr>
        <w:spacing w:after="80"/>
      </w:pPr>
      <w:r>
        <w:rPr>
          <w:sz w:val="22"/>
          <w:szCs w:val="22"/>
        </w:rPr>
        <w:t xml:space="preserve">Builder has ~3–4 focused hours/day for 10 consecutive days.</w:t>
      </w:r>
    </w:p>
    <w:p>
      <w:pPr>
        <w:pStyle w:val="ListParagraph"/>
        <w:numPr>
          <w:ilvl w:val="0"/>
          <w:numId w:val="2"/>
        </w:numPr>
        <w:spacing w:after="80"/>
      </w:pPr>
      <w:r>
        <w:rPr>
          <w:sz w:val="22"/>
          <w:szCs w:val="22"/>
        </w:rPr>
        <w:t xml:space="preserve">Builder has a working Groq API key already.</w:t>
      </w:r>
    </w:p>
    <w:p>
      <w:pPr>
        <w:pStyle w:val="ListParagraph"/>
        <w:numPr>
          <w:ilvl w:val="0"/>
          <w:numId w:val="2"/>
        </w:numPr>
        <w:spacing w:after="80"/>
      </w:pPr>
      <w:r>
        <w:rPr>
          <w:sz w:val="22"/>
          <w:szCs w:val="22"/>
        </w:rPr>
        <w:t xml:space="preserve">Builder is new to Git/GitHub — Day 2 includes guided setup.</w:t>
      </w:r>
    </w:p>
    <w:p>
      <w:pPr>
        <w:pStyle w:val="ListParagraph"/>
        <w:numPr>
          <w:ilvl w:val="0"/>
          <w:numId w:val="2"/>
        </w:numPr>
        <w:spacing w:after="80"/>
      </w:pPr>
      <w:r>
        <w:rPr>
          <w:sz w:val="22"/>
          <w:szCs w:val="22"/>
        </w:rPr>
        <w:t xml:space="preserve">Zero budget: every tool/service used must have a genuinely free tier.</w:t>
      </w:r>
    </w:p>
    <w:p>
      <w:pPr>
        <w:pStyle w:val="ListParagraph"/>
        <w:numPr>
          <w:ilvl w:val="0"/>
          <w:numId w:val="2"/>
        </w:numPr>
        <w:spacing w:after="80"/>
      </w:pPr>
      <w:r>
        <w:rPr>
          <w:sz w:val="22"/>
          <w:szCs w:val="22"/>
        </w:rPr>
        <w:t xml:space="preserve">All demo data (guidelines/papers) must be public and freely redistributable; all lab data must be synthetic.</w:t>
      </w:r>
    </w:p>
    <w:p>
      <w:pPr>
        <w:pStyle w:val="Heading1"/>
        <w:spacing w:after="160" w:before="320"/>
      </w:pPr>
      <w:r>
        <w:rPr>
          <w:b/>
          <w:bCs/>
          <w:color w:val="1E2761"/>
          <w:sz w:val="32"/>
          <w:szCs w:val="32"/>
        </w:rPr>
        <w:t xml:space="preserve">10. Appendix: Glossary</w:t>
      </w:r>
    </w:p>
    <w:p>
      <w:pPr>
        <w:pStyle w:val="ListParagraph"/>
        <w:numPr>
          <w:ilvl w:val="0"/>
          <w:numId w:val="2"/>
        </w:numPr>
        <w:spacing w:after="80"/>
      </w:pPr>
      <w:r>
        <w:rPr>
          <w:sz w:val="22"/>
          <w:szCs w:val="22"/>
        </w:rPr>
        <w:t xml:space="preserve">RAG (Retrieval-Augmented Generation): retrieving relevant text chunks from a knowledge base and feeding them to an LLM to ground its answer.</w:t>
      </w:r>
    </w:p>
    <w:p>
      <w:pPr>
        <w:pStyle w:val="ListParagraph"/>
        <w:numPr>
          <w:ilvl w:val="0"/>
          <w:numId w:val="2"/>
        </w:numPr>
        <w:spacing w:after="80"/>
      </w:pPr>
      <w:r>
        <w:rPr>
          <w:sz w:val="22"/>
          <w:szCs w:val="22"/>
        </w:rPr>
        <w:t xml:space="preserve">Agent: an LLM-driven system that can plan, choose between tools, and execute multi-step tasks rather than answering in one shot.</w:t>
      </w:r>
    </w:p>
    <w:p>
      <w:pPr>
        <w:pStyle w:val="ListParagraph"/>
        <w:numPr>
          <w:ilvl w:val="0"/>
          <w:numId w:val="2"/>
        </w:numPr>
        <w:spacing w:after="80"/>
      </w:pPr>
      <w:r>
        <w:rPr>
          <w:sz w:val="22"/>
          <w:szCs w:val="22"/>
        </w:rPr>
        <w:t xml:space="preserve">LangGraph: a LangChain library for building agents as explicit state graphs with nodes and conditional edges.</w:t>
      </w:r>
    </w:p>
    <w:p>
      <w:pPr>
        <w:pStyle w:val="ListParagraph"/>
        <w:numPr>
          <w:ilvl w:val="0"/>
          <w:numId w:val="2"/>
        </w:numPr>
        <w:spacing w:after="80"/>
      </w:pPr>
      <w:r>
        <w:rPr>
          <w:sz w:val="22"/>
          <w:szCs w:val="22"/>
        </w:rPr>
        <w:t xml:space="preserve">Embedding: a numeric vector representation of text used for similarity search.</w:t>
      </w:r>
    </w:p>
    <w:p>
      <w:pPr>
        <w:pStyle w:val="ListParagraph"/>
        <w:numPr>
          <w:ilvl w:val="0"/>
          <w:numId w:val="2"/>
        </w:numPr>
        <w:spacing w:after="80"/>
      </w:pPr>
      <w:r>
        <w:rPr>
          <w:sz w:val="22"/>
          <w:szCs w:val="22"/>
        </w:rPr>
        <w:t xml:space="preserve">Vector store: a database optimized for storing and searching embeddings (here, Chroma).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2026-07-20T19:54:13.231Z</dcterms:created>
  <dcterms:modified xsi:type="dcterms:W3CDTF">2026-07-20T19:54:13.281Z</dcterms:modified>
</cp:coreProperties>
</file>

<file path=docProps/custom.xml><?xml version="1.0" encoding="utf-8"?>
<Properties xmlns="http://schemas.openxmlformats.org/officeDocument/2006/custom-properties" xmlns:vt="http://schemas.openxmlformats.org/officeDocument/2006/docPropsVTypes"/>
</file>