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9B621" w14:textId="04981C25" w:rsidR="00AC22FA" w:rsidRPr="00E3011C" w:rsidRDefault="78F4842A" w:rsidP="009D6507">
      <w:pPr>
        <w:spacing w:after="0" w:line="360" w:lineRule="auto"/>
        <w:ind w:firstLine="709"/>
        <w:jc w:val="both"/>
        <w:rPr>
          <w:rFonts w:cstheme="minorHAnsi"/>
        </w:rPr>
      </w:pPr>
      <w:bookmarkStart w:id="0" w:name="_GoBack"/>
      <w:bookmarkEnd w:id="0"/>
      <w:r w:rsidRPr="00E3011C">
        <w:rPr>
          <w:rFonts w:cstheme="minorHAnsi"/>
        </w:rPr>
        <w:t>Os procedimentos de análise dos itens e de cálculo das proficiências no Enem</w:t>
      </w:r>
      <w:r w:rsidR="00612971">
        <w:rPr>
          <w:rFonts w:cstheme="minorHAnsi"/>
        </w:rPr>
        <w:t xml:space="preserve"> e no Saeb</w:t>
      </w:r>
      <w:r w:rsidRPr="00E3011C">
        <w:rPr>
          <w:rFonts w:cstheme="minorHAnsi"/>
        </w:rPr>
        <w:t xml:space="preserve"> têm como base a Teoria de Resposta ao Item (TRI). Os conceitos básicos da teoria psicométrica baseada no item tiveram início com o trabalho de </w:t>
      </w:r>
      <w:proofErr w:type="spellStart"/>
      <w:r w:rsidRPr="00E3011C">
        <w:rPr>
          <w:rFonts w:cstheme="minorHAnsi"/>
        </w:rPr>
        <w:t>Lawley</w:t>
      </w:r>
      <w:proofErr w:type="spellEnd"/>
      <w:r w:rsidRPr="00E3011C">
        <w:rPr>
          <w:rFonts w:cstheme="minorHAnsi"/>
        </w:rPr>
        <w:t xml:space="preserve"> (1943) e foram posteriormente complementados com os trabalhados desenvolvidos por </w:t>
      </w:r>
      <w:proofErr w:type="spellStart"/>
      <w:r w:rsidRPr="00E3011C">
        <w:rPr>
          <w:rFonts w:cstheme="minorHAnsi"/>
        </w:rPr>
        <w:t>Lord</w:t>
      </w:r>
      <w:proofErr w:type="spellEnd"/>
      <w:r w:rsidRPr="00E3011C">
        <w:rPr>
          <w:rFonts w:cstheme="minorHAnsi"/>
        </w:rPr>
        <w:t xml:space="preserve"> (1952). Todavia, o crescimento do uso da teoria somente veio a ocorrer nas décadas de 70 e 80 com o desenvolvimento de </w:t>
      </w:r>
      <w:r w:rsidRPr="00E3011C">
        <w:rPr>
          <w:rFonts w:cstheme="minorHAnsi"/>
          <w:i/>
          <w:iCs/>
        </w:rPr>
        <w:t xml:space="preserve">softwares </w:t>
      </w:r>
      <w:r w:rsidRPr="00E3011C">
        <w:rPr>
          <w:rFonts w:cstheme="minorHAnsi"/>
        </w:rPr>
        <w:t>que permitiram a implementação dos modelos matemáticos relacionados à TRI. Na década de 90, houve uma expansão no uso da TRI em testes de avaliação educacional e, atualmente, a maioria dos programas de avaliação em larga escala no mundo tem como base esta teoria (</w:t>
      </w:r>
      <w:proofErr w:type="spellStart"/>
      <w:r w:rsidRPr="00E3011C">
        <w:rPr>
          <w:rFonts w:cstheme="minorHAnsi"/>
        </w:rPr>
        <w:t>Yen</w:t>
      </w:r>
      <w:proofErr w:type="spellEnd"/>
      <w:r w:rsidRPr="00E3011C">
        <w:rPr>
          <w:rFonts w:cstheme="minorHAnsi"/>
        </w:rPr>
        <w:t xml:space="preserve"> &amp; </w:t>
      </w:r>
      <w:proofErr w:type="spellStart"/>
      <w:r w:rsidRPr="00E3011C">
        <w:rPr>
          <w:rFonts w:cstheme="minorHAnsi"/>
        </w:rPr>
        <w:t>Fitzpatrick</w:t>
      </w:r>
      <w:proofErr w:type="spellEnd"/>
      <w:r w:rsidRPr="00E3011C">
        <w:rPr>
          <w:rFonts w:cstheme="minorHAnsi"/>
        </w:rPr>
        <w:t xml:space="preserve">, 2006). </w:t>
      </w:r>
    </w:p>
    <w:p w14:paraId="7DDCE567" w14:textId="7C7E01A3" w:rsidR="00A73A3F" w:rsidRPr="00DD74E8" w:rsidRDefault="0011609D" w:rsidP="00DD74E8">
      <w:pPr>
        <w:autoSpaceDE w:val="0"/>
        <w:autoSpaceDN w:val="0"/>
        <w:adjustRightInd w:val="0"/>
        <w:spacing w:after="0" w:line="360" w:lineRule="auto"/>
        <w:ind w:firstLine="709"/>
        <w:jc w:val="both"/>
        <w:rPr>
          <w:rFonts w:cstheme="minorHAnsi"/>
        </w:rPr>
      </w:pPr>
      <w:r w:rsidRPr="00DD74E8">
        <w:rPr>
          <w:rFonts w:cstheme="minorHAnsi"/>
        </w:rPr>
        <w:t>A TRI é considerada a forma mais avançada de se mensurar um traço-latente (no caso, conhecimento). No Enem</w:t>
      </w:r>
      <w:r w:rsidR="00612971">
        <w:rPr>
          <w:rFonts w:cstheme="minorHAnsi"/>
        </w:rPr>
        <w:t xml:space="preserve"> e no Saeb</w:t>
      </w:r>
      <w:r w:rsidRPr="00DD74E8">
        <w:rPr>
          <w:rFonts w:cstheme="minorHAnsi"/>
        </w:rPr>
        <w:t>, o cálculo da proficiência a partir do uso da TRI permite acrescentar outros aspectos além do quantitativo de acertos (utilizado na Teoria Clássica dos Testes, TCT), tais como os parâmetros dos itens e o padrão de resposta do participante. Assim, duas pessoas com a mesma quantidade de acertos na prova são avaliadas de forma distintas a depender de quais itens estão certos e errados e podem, assim, ter habilidades diferentes.</w:t>
      </w:r>
      <w:r w:rsidR="00A73A3F" w:rsidRPr="00DD74E8">
        <w:rPr>
          <w:rFonts w:cstheme="minorHAnsi"/>
        </w:rPr>
        <w:t xml:space="preserve"> Assim, </w:t>
      </w:r>
      <w:r w:rsidR="00A73A3F" w:rsidRPr="00DD74E8">
        <w:rPr>
          <w:rFonts w:cstheme="minorHAnsi"/>
          <w:bCs/>
        </w:rPr>
        <w:t>a estimação da proficiência está relacionada ao número de acertos, aos parâmetros dos itens e ao padrão de respostas</w:t>
      </w:r>
      <w:r w:rsidR="00A73A3F" w:rsidRPr="00DD74E8">
        <w:rPr>
          <w:rFonts w:cstheme="minorHAnsi"/>
        </w:rPr>
        <w:t>.</w:t>
      </w:r>
      <w:r w:rsidR="00DD74E8" w:rsidRPr="00DD74E8">
        <w:rPr>
          <w:rFonts w:cstheme="minorHAnsi"/>
        </w:rPr>
        <w:t xml:space="preserve"> Entretanto, os parâmetros dos itens não podem ser interpretados como pesos, e está errada a inferência de que a divulgação dos parâmetros possibilitaria a reprodução dos cálculos a partir de simples ponderações</w:t>
      </w:r>
      <w:r w:rsidR="00DD74E8">
        <w:rPr>
          <w:rFonts w:cstheme="minorHAnsi"/>
        </w:rPr>
        <w:t>.</w:t>
      </w:r>
    </w:p>
    <w:p w14:paraId="1E59A352" w14:textId="07C7CD1A" w:rsidR="009A2580" w:rsidRPr="00E3011C" w:rsidRDefault="78F4842A" w:rsidP="009D6507">
      <w:pPr>
        <w:spacing w:after="0" w:line="360" w:lineRule="auto"/>
        <w:ind w:firstLine="709"/>
        <w:jc w:val="both"/>
        <w:rPr>
          <w:rFonts w:cstheme="minorHAnsi"/>
        </w:rPr>
      </w:pPr>
      <w:r w:rsidRPr="00E3011C">
        <w:rPr>
          <w:rFonts w:cstheme="minorHAnsi"/>
        </w:rPr>
        <w:t>Todas as etapas de análise dos dados de respostas dos participantes e cálculo de suas notas são realizadas de forma independente entre as equipes do Inep e o consórcio aplicador, no caso de 2019</w:t>
      </w:r>
      <w:r w:rsidR="00612971">
        <w:rPr>
          <w:rFonts w:cstheme="minorHAnsi"/>
        </w:rPr>
        <w:t>, com o Enem</w:t>
      </w:r>
      <w:r w:rsidRPr="00E3011C">
        <w:rPr>
          <w:rFonts w:cstheme="minorHAnsi"/>
        </w:rPr>
        <w:t xml:space="preserve">, as empresas </w:t>
      </w:r>
      <w:proofErr w:type="spellStart"/>
      <w:r w:rsidRPr="00E3011C">
        <w:rPr>
          <w:rFonts w:cstheme="minorHAnsi"/>
        </w:rPr>
        <w:t>Cesgranrio</w:t>
      </w:r>
      <w:proofErr w:type="spellEnd"/>
      <w:r w:rsidRPr="00E3011C">
        <w:rPr>
          <w:rFonts w:cstheme="minorHAnsi"/>
        </w:rPr>
        <w:t xml:space="preserve"> e Fundação Getúlio Vargas</w:t>
      </w:r>
      <w:r w:rsidR="00612971">
        <w:rPr>
          <w:rFonts w:cstheme="minorHAnsi"/>
        </w:rPr>
        <w:t xml:space="preserve">, e no Saeb somente a </w:t>
      </w:r>
      <w:proofErr w:type="spellStart"/>
      <w:r w:rsidR="00612971">
        <w:rPr>
          <w:rFonts w:cstheme="minorHAnsi"/>
        </w:rPr>
        <w:t>Cesgranrio</w:t>
      </w:r>
      <w:proofErr w:type="spellEnd"/>
      <w:r w:rsidRPr="00E3011C">
        <w:rPr>
          <w:rFonts w:cstheme="minorHAnsi"/>
        </w:rPr>
        <w:t xml:space="preserve">. Realiza-se conferências ao final de cada etapa de análise objetivando verificar se os resultados obtidos internamente pelas equipes do Inep e, em segunda instância, os resultados produzidos pelas equipes técnicas do consórcio estão idênticos. Considera-se uma etapa concluída apenas após serem constatados que os resultados obtidos pelos grupos (Inep e empresas contratadas) são os mesmos. Os resultados são divulgados apenas quando há 100% de concordância nos valores obtidos pelas equipes técnicas. </w:t>
      </w:r>
      <w:proofErr w:type="gramStart"/>
      <w:r w:rsidRPr="00E3011C">
        <w:rPr>
          <w:rFonts w:cstheme="minorHAnsi"/>
        </w:rPr>
        <w:t>Essa  conferência</w:t>
      </w:r>
      <w:proofErr w:type="gramEnd"/>
      <w:r w:rsidRPr="00E3011C">
        <w:rPr>
          <w:rFonts w:cstheme="minorHAnsi"/>
        </w:rPr>
        <w:t xml:space="preserve"> </w:t>
      </w:r>
      <w:r w:rsidR="008D0A01">
        <w:rPr>
          <w:rFonts w:cstheme="minorHAnsi"/>
        </w:rPr>
        <w:t xml:space="preserve">com o Consórcio </w:t>
      </w:r>
      <w:r w:rsidRPr="00E3011C">
        <w:rPr>
          <w:rFonts w:cstheme="minorHAnsi"/>
        </w:rPr>
        <w:t xml:space="preserve">juntamente ao rigor científico dos métodos estatísticos utilizados garantem a confiabilidade dos resultados. </w:t>
      </w:r>
    </w:p>
    <w:p w14:paraId="257BBD31" w14:textId="5A8C2B7E" w:rsidR="001069BB" w:rsidRPr="00E3011C" w:rsidRDefault="001069BB" w:rsidP="009D6507">
      <w:pPr>
        <w:spacing w:after="0" w:line="360" w:lineRule="auto"/>
        <w:ind w:firstLine="709"/>
        <w:jc w:val="both"/>
        <w:rPr>
          <w:rFonts w:cstheme="minorHAnsi"/>
        </w:rPr>
      </w:pPr>
      <w:r w:rsidRPr="00E3011C">
        <w:rPr>
          <w:rFonts w:cstheme="minorHAnsi"/>
        </w:rPr>
        <w:t xml:space="preserve">Para cada participante do Enem são calculadas quatro proficiências, uma para cada área de conhecimento. </w:t>
      </w:r>
      <w:r w:rsidR="00CB29DC">
        <w:rPr>
          <w:rFonts w:cstheme="minorHAnsi"/>
        </w:rPr>
        <w:t xml:space="preserve">No Saeb, são apenas duas proficiências (língua portuguesa e matemática), para estudantes do quinto, nono e terceiro ano do ensino médio. </w:t>
      </w:r>
      <w:r w:rsidRPr="00E3011C">
        <w:rPr>
          <w:rFonts w:cstheme="minorHAnsi"/>
        </w:rPr>
        <w:t xml:space="preserve">O procedimento de correção das provas objetivas inicia-se com a leitura dos cartões-resposta para a produção de uma base de dados. Vários procedimentos de controle são realizados pelo consórcio contratado com vistas </w:t>
      </w:r>
      <w:r w:rsidRPr="00E3011C">
        <w:rPr>
          <w:rFonts w:cstheme="minorHAnsi"/>
        </w:rPr>
        <w:lastRenderedPageBreak/>
        <w:t>a garantir que a leitura dos cartões seja fidedigna. Após estes procedimentos, a base de dados é consolidada e encaminhada para a equipe de análise de dados.</w:t>
      </w:r>
    </w:p>
    <w:p w14:paraId="6FDB40DA" w14:textId="69591EB4" w:rsidR="007159D9" w:rsidRDefault="78F4842A" w:rsidP="009D6507">
      <w:pPr>
        <w:spacing w:after="0" w:line="360" w:lineRule="auto"/>
        <w:ind w:firstLine="709"/>
        <w:jc w:val="both"/>
        <w:rPr>
          <w:rFonts w:cstheme="minorHAnsi"/>
        </w:rPr>
      </w:pPr>
      <w:r w:rsidRPr="00E3011C">
        <w:rPr>
          <w:rFonts w:cstheme="minorHAnsi"/>
        </w:rPr>
        <w:t>A equipe de análise psicométrica tem acesso às informações das provas, tais como estrutura e itens, apenas após sua aplicação e divulgação dos gabaritos. De posse das estruturas dos testes, inicia-se a montagem dos arquivos que serão utilizados</w:t>
      </w:r>
      <w:r w:rsidR="008D0A01">
        <w:rPr>
          <w:rFonts w:cstheme="minorHAnsi"/>
        </w:rPr>
        <w:t xml:space="preserve"> nas análises da TRI</w:t>
      </w:r>
      <w:r w:rsidRPr="00E3011C">
        <w:rPr>
          <w:rFonts w:cstheme="minorHAnsi"/>
        </w:rPr>
        <w:t xml:space="preserve"> </w:t>
      </w:r>
      <w:r w:rsidR="008D0A01">
        <w:rPr>
          <w:rFonts w:cstheme="minorHAnsi"/>
        </w:rPr>
        <w:t>no programa</w:t>
      </w:r>
      <w:r w:rsidRPr="00E3011C">
        <w:rPr>
          <w:rFonts w:cstheme="minorHAnsi"/>
        </w:rPr>
        <w:t xml:space="preserve"> </w:t>
      </w:r>
      <w:proofErr w:type="spellStart"/>
      <w:r w:rsidRPr="00E3011C">
        <w:rPr>
          <w:rFonts w:cstheme="minorHAnsi"/>
        </w:rPr>
        <w:t>Bilog</w:t>
      </w:r>
      <w:proofErr w:type="spellEnd"/>
      <w:r w:rsidRPr="00E3011C">
        <w:rPr>
          <w:rFonts w:cstheme="minorHAnsi"/>
        </w:rPr>
        <w:t xml:space="preserve">-MG. </w:t>
      </w:r>
    </w:p>
    <w:p w14:paraId="47FCF0C0" w14:textId="77777777" w:rsidR="00F7709F" w:rsidRPr="00E3011C" w:rsidRDefault="00F7709F" w:rsidP="009D6507">
      <w:pPr>
        <w:spacing w:after="0" w:line="360" w:lineRule="auto"/>
        <w:ind w:firstLine="709"/>
        <w:jc w:val="both"/>
        <w:rPr>
          <w:rFonts w:cstheme="minorHAnsi"/>
        </w:rPr>
      </w:pPr>
    </w:p>
    <w:p w14:paraId="289F9EC7" w14:textId="77777777" w:rsidR="00DB3A31" w:rsidRPr="00E3011C" w:rsidRDefault="00DB3A31" w:rsidP="009D6507">
      <w:pPr>
        <w:spacing w:after="0" w:line="360" w:lineRule="auto"/>
        <w:ind w:firstLine="709"/>
        <w:jc w:val="both"/>
        <w:rPr>
          <w:rFonts w:cstheme="minorHAnsi"/>
          <w:lang w:val="en-US"/>
        </w:rPr>
      </w:pPr>
    </w:p>
    <w:p w14:paraId="0E9AF883" w14:textId="77777777" w:rsidR="00DB3A31" w:rsidRPr="00E3011C" w:rsidRDefault="004D3266" w:rsidP="009D6507">
      <w:pPr>
        <w:spacing w:after="0" w:line="360" w:lineRule="auto"/>
        <w:ind w:firstLine="709"/>
        <w:jc w:val="both"/>
        <w:rPr>
          <w:rFonts w:cstheme="minorHAnsi"/>
          <w:b/>
          <w:lang w:val="en-US"/>
        </w:rPr>
      </w:pPr>
      <w:proofErr w:type="spellStart"/>
      <w:r w:rsidRPr="00E3011C">
        <w:rPr>
          <w:rFonts w:cstheme="minorHAnsi"/>
          <w:b/>
          <w:lang w:val="en-US"/>
        </w:rPr>
        <w:t>Análise</w:t>
      </w:r>
      <w:proofErr w:type="spellEnd"/>
      <w:r w:rsidRPr="00E3011C">
        <w:rPr>
          <w:rFonts w:cstheme="minorHAnsi"/>
          <w:b/>
          <w:lang w:val="en-US"/>
        </w:rPr>
        <w:t xml:space="preserve"> </w:t>
      </w:r>
      <w:proofErr w:type="spellStart"/>
      <w:r w:rsidRPr="00E3011C">
        <w:rPr>
          <w:rFonts w:cstheme="minorHAnsi"/>
          <w:b/>
          <w:lang w:val="en-US"/>
        </w:rPr>
        <w:t>por</w:t>
      </w:r>
      <w:proofErr w:type="spellEnd"/>
      <w:r w:rsidRPr="00E3011C">
        <w:rPr>
          <w:rFonts w:cstheme="minorHAnsi"/>
          <w:b/>
          <w:lang w:val="en-US"/>
        </w:rPr>
        <w:t xml:space="preserve"> </w:t>
      </w:r>
      <w:proofErr w:type="spellStart"/>
      <w:r w:rsidRPr="00E3011C">
        <w:rPr>
          <w:rFonts w:cstheme="minorHAnsi"/>
          <w:b/>
          <w:lang w:val="en-US"/>
        </w:rPr>
        <w:t>meio</w:t>
      </w:r>
      <w:proofErr w:type="spellEnd"/>
      <w:r w:rsidRPr="00E3011C">
        <w:rPr>
          <w:rFonts w:cstheme="minorHAnsi"/>
          <w:b/>
          <w:lang w:val="en-US"/>
        </w:rPr>
        <w:t xml:space="preserve"> da TRI</w:t>
      </w:r>
    </w:p>
    <w:p w14:paraId="29456CF7" w14:textId="0F9D47AD" w:rsidR="002D6720" w:rsidRPr="00E3011C" w:rsidRDefault="00FE656F" w:rsidP="009D6507">
      <w:pPr>
        <w:autoSpaceDE w:val="0"/>
        <w:autoSpaceDN w:val="0"/>
        <w:adjustRightInd w:val="0"/>
        <w:spacing w:after="0" w:line="360" w:lineRule="auto"/>
        <w:ind w:firstLine="709"/>
        <w:jc w:val="both"/>
        <w:rPr>
          <w:rFonts w:cstheme="minorHAnsi"/>
        </w:rPr>
      </w:pPr>
      <w:r w:rsidRPr="00E3011C">
        <w:rPr>
          <w:rFonts w:cstheme="minorHAnsi"/>
        </w:rPr>
        <w:t>A TRI modela a probabilidade de um indivíduo responder corretamente a um item como função dos parâmetros do item e da proficiência (habilidade) do respondente. Essa relação é expressa por meio de uma função monotônica crescente que indica que quanto maior a proficiência do avaliado, maior será a sua probabilidade de acertar o item</w:t>
      </w:r>
      <w:r w:rsidR="002D6720" w:rsidRPr="00E3011C">
        <w:rPr>
          <w:rFonts w:cstheme="minorHAnsi"/>
        </w:rPr>
        <w:t>.</w:t>
      </w:r>
      <w:r w:rsidRPr="00E3011C">
        <w:rPr>
          <w:rFonts w:cstheme="minorHAnsi"/>
        </w:rPr>
        <w:t xml:space="preserve"> </w:t>
      </w:r>
    </w:p>
    <w:p w14:paraId="677200EA" w14:textId="52A8E364" w:rsidR="0062124B" w:rsidRPr="00E3011C" w:rsidRDefault="0062124B" w:rsidP="009D6507">
      <w:pPr>
        <w:spacing w:after="0" w:line="360" w:lineRule="auto"/>
        <w:ind w:firstLine="709"/>
        <w:jc w:val="both"/>
        <w:rPr>
          <w:rFonts w:cstheme="minorHAnsi"/>
        </w:rPr>
      </w:pPr>
      <w:r w:rsidRPr="00E3011C">
        <w:rPr>
          <w:rFonts w:cstheme="minorHAnsi"/>
        </w:rPr>
        <w:t xml:space="preserve">O modelo utilizado no </w:t>
      </w:r>
      <w:r w:rsidR="001E095A" w:rsidRPr="00E3011C">
        <w:rPr>
          <w:rFonts w:cstheme="minorHAnsi"/>
        </w:rPr>
        <w:t>E</w:t>
      </w:r>
      <w:r w:rsidR="001E095A">
        <w:rPr>
          <w:rFonts w:cstheme="minorHAnsi"/>
        </w:rPr>
        <w:t xml:space="preserve">nem e no Saeb </w:t>
      </w:r>
      <w:r w:rsidRPr="00E3011C">
        <w:rPr>
          <w:rFonts w:cstheme="minorHAnsi"/>
        </w:rPr>
        <w:t>para itens de múltipla escolha é o logístico de 3 parâmetros definido por:</w:t>
      </w:r>
    </w:p>
    <w:p w14:paraId="1B9A1243" w14:textId="77777777" w:rsidR="0062124B" w:rsidRPr="00E3011C" w:rsidRDefault="0062124B" w:rsidP="009D6507">
      <w:pPr>
        <w:spacing w:after="0" w:line="360" w:lineRule="auto"/>
        <w:ind w:firstLine="709"/>
        <w:jc w:val="both"/>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=1</m:t>
              </m:r>
            </m:e>
            <m:e>
              <m:r>
                <m:rPr>
                  <m:sty m:val="p"/>
                </m:rPr>
                <w:rPr>
                  <w:rFonts w:ascii="Cambria Math" w:hAnsi="Cambria Math" w:cstheme="minorHAnsi"/>
                </w:rPr>
                <m:t>θ,</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j</m:t>
                  </m:r>
                </m:sub>
              </m:sSub>
            </m:e>
          </m:d>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j</m:t>
                  </m:r>
                </m:sub>
              </m:sSub>
              <m:r>
                <w:rPr>
                  <w:rFonts w:ascii="Cambria Math" w:hAnsi="Cambria Math" w:cstheme="minorHAnsi"/>
                </w:rPr>
                <m:t>)</m:t>
              </m:r>
            </m:num>
            <m:den>
              <m:r>
                <w:rPr>
                  <w:rFonts w:ascii="Cambria Math" w:hAnsi="Cambria Math" w:cstheme="minorHAnsi"/>
                </w:rPr>
                <m:t>1+exp</m:t>
              </m:r>
              <m:d>
                <m:dPr>
                  <m:begChr m:val="["/>
                  <m:endChr m:val="]"/>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j</m:t>
                      </m:r>
                    </m:sub>
                  </m:sSub>
                  <m:r>
                    <w:rPr>
                      <w:rFonts w:ascii="Cambria Math" w:hAnsi="Cambria Math" w:cstheme="minorHAnsi"/>
                    </w:rPr>
                    <m:t>(θ-</m:t>
                  </m:r>
                  <m:sSub>
                    <m:sSubPr>
                      <m:ctrlPr>
                        <w:rPr>
                          <w:rFonts w:ascii="Cambria Math" w:hAnsi="Cambria Math" w:cstheme="minorHAnsi"/>
                        </w:rPr>
                      </m:ctrlPr>
                    </m:sSubPr>
                    <m:e>
                      <m:r>
                        <w:rPr>
                          <w:rFonts w:ascii="Cambria Math" w:hAnsi="Cambria Math" w:cstheme="minorHAnsi"/>
                        </w:rPr>
                        <m:t>b</m:t>
                      </m:r>
                    </m:e>
                    <m:sub>
                      <m:r>
                        <w:rPr>
                          <w:rFonts w:ascii="Cambria Math" w:hAnsi="Cambria Math" w:cstheme="minorHAnsi"/>
                        </w:rPr>
                        <m:t>j</m:t>
                      </m:r>
                    </m:sub>
                  </m:sSub>
                  <m:r>
                    <w:rPr>
                      <w:rFonts w:ascii="Cambria Math" w:hAnsi="Cambria Math" w:cstheme="minorHAnsi"/>
                    </w:rPr>
                    <m:t>)</m:t>
                  </m:r>
                </m:e>
              </m:d>
            </m:den>
          </m:f>
        </m:oMath>
      </m:oMathPara>
    </w:p>
    <w:p w14:paraId="00BB547C" w14:textId="77777777" w:rsidR="0062124B" w:rsidRPr="00E3011C" w:rsidRDefault="0062124B" w:rsidP="009D6507">
      <w:pPr>
        <w:spacing w:after="0" w:line="360" w:lineRule="auto"/>
        <w:ind w:firstLine="709"/>
        <w:jc w:val="both"/>
        <w:rPr>
          <w:rFonts w:cstheme="minorHAnsi"/>
        </w:rPr>
      </w:pPr>
      <w:r w:rsidRPr="00E3011C">
        <w:rPr>
          <w:rFonts w:cstheme="minorHAnsi"/>
        </w:rPr>
        <w:t>Em que:</w:t>
      </w:r>
    </w:p>
    <w:p w14:paraId="2DA4B8BE" w14:textId="77777777" w:rsidR="0062124B" w:rsidRPr="00E3011C" w:rsidRDefault="0062124B" w:rsidP="009D6507">
      <w:pPr>
        <w:spacing w:after="0" w:line="360" w:lineRule="auto"/>
        <w:ind w:firstLine="709"/>
        <w:jc w:val="both"/>
        <w:rPr>
          <w:rFonts w:cstheme="minorHAnsi"/>
        </w:rPr>
      </w:pPr>
      <w:proofErr w:type="spellStart"/>
      <w:r w:rsidRPr="00E3011C">
        <w:rPr>
          <w:rFonts w:cstheme="minorHAnsi"/>
        </w:rPr>
        <w:t>x</w:t>
      </w:r>
      <w:r w:rsidRPr="00E3011C">
        <w:rPr>
          <w:rFonts w:cstheme="minorHAnsi"/>
          <w:vertAlign w:val="subscript"/>
        </w:rPr>
        <w:t>j</w:t>
      </w:r>
      <w:proofErr w:type="spellEnd"/>
      <w:r w:rsidRPr="00E3011C">
        <w:rPr>
          <w:rFonts w:cstheme="minorHAnsi"/>
        </w:rPr>
        <w:t xml:space="preserve"> é a resposta ao item j, </w:t>
      </w:r>
    </w:p>
    <w:p w14:paraId="2350247F" w14:textId="77777777" w:rsidR="0062124B" w:rsidRPr="00E3011C" w:rsidRDefault="0062124B" w:rsidP="009D6507">
      <w:pPr>
        <w:spacing w:after="0" w:line="360" w:lineRule="auto"/>
        <w:ind w:firstLine="709"/>
        <w:jc w:val="both"/>
        <w:rPr>
          <w:rFonts w:cstheme="minorHAnsi"/>
        </w:rPr>
      </w:pPr>
      <w:proofErr w:type="spellStart"/>
      <w:r w:rsidRPr="00E3011C">
        <w:rPr>
          <w:rFonts w:cstheme="minorHAnsi"/>
        </w:rPr>
        <w:t>x</w:t>
      </w:r>
      <w:r w:rsidRPr="00E3011C">
        <w:rPr>
          <w:rFonts w:cstheme="minorHAnsi"/>
          <w:vertAlign w:val="subscript"/>
        </w:rPr>
        <w:t>j</w:t>
      </w:r>
      <w:proofErr w:type="spellEnd"/>
      <w:r w:rsidRPr="00E3011C">
        <w:rPr>
          <w:rFonts w:cstheme="minorHAnsi"/>
        </w:rPr>
        <w:t xml:space="preserve"> = 1 se a resposta é correta </w:t>
      </w:r>
    </w:p>
    <w:p w14:paraId="5494E873" w14:textId="77777777" w:rsidR="0062124B" w:rsidRPr="00E3011C" w:rsidRDefault="0062124B" w:rsidP="009D6507">
      <w:pPr>
        <w:spacing w:after="0" w:line="360" w:lineRule="auto"/>
        <w:ind w:firstLine="709"/>
        <w:jc w:val="both"/>
        <w:rPr>
          <w:rFonts w:cstheme="minorHAnsi"/>
        </w:rPr>
      </w:pPr>
      <w:proofErr w:type="spellStart"/>
      <w:r w:rsidRPr="00E3011C">
        <w:rPr>
          <w:rFonts w:cstheme="minorHAnsi"/>
        </w:rPr>
        <w:t>x</w:t>
      </w:r>
      <w:r w:rsidRPr="00E3011C">
        <w:rPr>
          <w:rFonts w:cstheme="minorHAnsi"/>
          <w:vertAlign w:val="subscript"/>
        </w:rPr>
        <w:t>j</w:t>
      </w:r>
      <w:proofErr w:type="spellEnd"/>
      <w:r w:rsidRPr="00E3011C">
        <w:rPr>
          <w:rFonts w:cstheme="minorHAnsi"/>
        </w:rPr>
        <w:t xml:space="preserve"> = 0 se a resposta não é correta</w:t>
      </w:r>
    </w:p>
    <w:p w14:paraId="6FA670D5" w14:textId="68E3782E" w:rsidR="0062124B" w:rsidRPr="00E3011C" w:rsidRDefault="0062124B" w:rsidP="009D6507">
      <w:pPr>
        <w:spacing w:after="0" w:line="360" w:lineRule="auto"/>
        <w:ind w:firstLine="709"/>
        <w:jc w:val="both"/>
        <w:rPr>
          <w:rFonts w:cstheme="minorHAnsi"/>
        </w:rPr>
      </w:pPr>
      <w:proofErr w:type="spellStart"/>
      <w:r w:rsidRPr="00E3011C">
        <w:rPr>
          <w:rFonts w:cstheme="minorHAnsi"/>
        </w:rPr>
        <w:t>a</w:t>
      </w:r>
      <w:r w:rsidRPr="00E3011C">
        <w:rPr>
          <w:rFonts w:cstheme="minorHAnsi"/>
          <w:vertAlign w:val="subscript"/>
        </w:rPr>
        <w:t>j</w:t>
      </w:r>
      <w:proofErr w:type="spellEnd"/>
      <w:r w:rsidRPr="00E3011C">
        <w:rPr>
          <w:rFonts w:cstheme="minorHAnsi"/>
        </w:rPr>
        <w:t xml:space="preserve">, onde </w:t>
      </w:r>
      <w:proofErr w:type="spellStart"/>
      <w:r w:rsidRPr="00E3011C">
        <w:rPr>
          <w:rFonts w:cstheme="minorHAnsi"/>
        </w:rPr>
        <w:t>a</w:t>
      </w:r>
      <w:r w:rsidRPr="00E3011C">
        <w:rPr>
          <w:rFonts w:cstheme="minorHAnsi"/>
          <w:vertAlign w:val="subscript"/>
        </w:rPr>
        <w:t>j</w:t>
      </w:r>
      <w:proofErr w:type="spellEnd"/>
      <w:r w:rsidRPr="00E3011C">
        <w:rPr>
          <w:rFonts w:cstheme="minorHAnsi"/>
        </w:rPr>
        <w:t xml:space="preserve"> &gt; 0, é o parâmetro de inclinação do item j, também chamado de parâmetro de discriminação do item;</w:t>
      </w:r>
    </w:p>
    <w:p w14:paraId="5F4396DC" w14:textId="68C68363" w:rsidR="0062124B" w:rsidRPr="00E3011C" w:rsidRDefault="0062124B" w:rsidP="009D6507">
      <w:pPr>
        <w:spacing w:after="0" w:line="360" w:lineRule="auto"/>
        <w:ind w:firstLine="709"/>
        <w:jc w:val="both"/>
        <w:rPr>
          <w:rFonts w:cstheme="minorHAnsi"/>
        </w:rPr>
      </w:pPr>
      <w:proofErr w:type="spellStart"/>
      <w:r w:rsidRPr="00E3011C">
        <w:rPr>
          <w:rFonts w:cstheme="minorHAnsi"/>
        </w:rPr>
        <w:t>b</w:t>
      </w:r>
      <w:r w:rsidRPr="00E3011C">
        <w:rPr>
          <w:rFonts w:cstheme="minorHAnsi"/>
          <w:vertAlign w:val="subscript"/>
        </w:rPr>
        <w:t>j</w:t>
      </w:r>
      <w:proofErr w:type="spellEnd"/>
      <w:r w:rsidRPr="00E3011C">
        <w:rPr>
          <w:rFonts w:cstheme="minorHAnsi"/>
        </w:rPr>
        <w:t xml:space="preserve"> é o parâmetro de posição do item, também chamado de parâmetro de dificuldade;</w:t>
      </w:r>
    </w:p>
    <w:p w14:paraId="3EFF5CF3" w14:textId="22AB6274" w:rsidR="0062124B" w:rsidRPr="00E3011C" w:rsidRDefault="0062124B" w:rsidP="009D6507">
      <w:pPr>
        <w:spacing w:after="0" w:line="360" w:lineRule="auto"/>
        <w:ind w:firstLine="709"/>
        <w:jc w:val="both"/>
        <w:rPr>
          <w:rFonts w:cstheme="minorHAnsi"/>
        </w:rPr>
      </w:pPr>
      <w:proofErr w:type="spellStart"/>
      <w:r w:rsidRPr="00E3011C">
        <w:rPr>
          <w:rFonts w:cstheme="minorHAnsi"/>
        </w:rPr>
        <w:t>c</w:t>
      </w:r>
      <w:r w:rsidRPr="00E3011C">
        <w:rPr>
          <w:rFonts w:cstheme="minorHAnsi"/>
          <w:vertAlign w:val="subscript"/>
        </w:rPr>
        <w:t>j</w:t>
      </w:r>
      <w:proofErr w:type="spellEnd"/>
      <w:r w:rsidRPr="00E3011C">
        <w:rPr>
          <w:rFonts w:cstheme="minorHAnsi"/>
        </w:rPr>
        <w:t xml:space="preserve">, onde 0 &lt; </w:t>
      </w:r>
      <w:proofErr w:type="spellStart"/>
      <w:r w:rsidRPr="00E3011C">
        <w:rPr>
          <w:rFonts w:cstheme="minorHAnsi"/>
        </w:rPr>
        <w:t>c</w:t>
      </w:r>
      <w:r w:rsidRPr="00E3011C">
        <w:rPr>
          <w:rFonts w:cstheme="minorHAnsi"/>
          <w:vertAlign w:val="subscript"/>
        </w:rPr>
        <w:t>j</w:t>
      </w:r>
      <w:proofErr w:type="spellEnd"/>
      <w:r w:rsidRPr="00E3011C">
        <w:rPr>
          <w:rFonts w:cstheme="minorHAnsi"/>
        </w:rPr>
        <w:t xml:space="preserve"> &lt; 1, é o parâmetro da assíntota inferior do item j, refletindo as chances de um examinando de proficiência muito baixa selecionar a opção correta; e</w:t>
      </w:r>
    </w:p>
    <w:p w14:paraId="659DA6C0" w14:textId="63A076CE" w:rsidR="0062124B" w:rsidRPr="00E3011C" w:rsidRDefault="0062124B" w:rsidP="009D6507">
      <w:pPr>
        <w:spacing w:after="0" w:line="360" w:lineRule="auto"/>
        <w:ind w:firstLine="709"/>
        <w:jc w:val="both"/>
        <w:rPr>
          <w:rFonts w:cstheme="minorHAnsi"/>
        </w:rPr>
      </w:pPr>
      <w:proofErr w:type="spellStart"/>
      <w:r w:rsidRPr="00E3011C">
        <w:rPr>
          <w:rFonts w:cstheme="minorHAnsi"/>
        </w:rPr>
        <w:t>θ</w:t>
      </w:r>
      <w:r w:rsidRPr="00E3011C">
        <w:rPr>
          <w:rFonts w:cstheme="minorHAnsi"/>
          <w:vertAlign w:val="subscript"/>
        </w:rPr>
        <w:t>i</w:t>
      </w:r>
      <w:proofErr w:type="spellEnd"/>
      <w:r w:rsidRPr="00E3011C">
        <w:rPr>
          <w:rFonts w:cstheme="minorHAnsi"/>
        </w:rPr>
        <w:t xml:space="preserve"> é o traço latente do indivíduo</w:t>
      </w:r>
    </w:p>
    <w:p w14:paraId="6C12F0BC" w14:textId="789DA2F5" w:rsidR="003F6733" w:rsidRPr="00E3011C" w:rsidRDefault="003F6733" w:rsidP="009D6507">
      <w:pPr>
        <w:spacing w:after="0" w:line="360" w:lineRule="auto"/>
        <w:ind w:firstLine="709"/>
        <w:jc w:val="both"/>
        <w:rPr>
          <w:rFonts w:cstheme="minorHAnsi"/>
        </w:rPr>
      </w:pPr>
    </w:p>
    <w:p w14:paraId="2DAA4619" w14:textId="5263F0A7" w:rsidR="003F6733" w:rsidRPr="00E3011C" w:rsidRDefault="78F4842A" w:rsidP="009D6507">
      <w:pPr>
        <w:spacing w:after="0" w:line="360" w:lineRule="auto"/>
        <w:ind w:firstLine="709"/>
        <w:jc w:val="both"/>
        <w:rPr>
          <w:rFonts w:cstheme="minorHAnsi"/>
        </w:rPr>
      </w:pPr>
      <w:r w:rsidRPr="00E3011C">
        <w:rPr>
          <w:rFonts w:cstheme="minorHAnsi"/>
        </w:rPr>
        <w:t>Primeiramente, a estimação dos parâmetros dos itens, também chamada de calibração, é realizada. Os parâmetros utilizados são:</w:t>
      </w:r>
    </w:p>
    <w:p w14:paraId="784FF2D6" w14:textId="77777777" w:rsidR="003F6733" w:rsidRPr="00E3011C" w:rsidRDefault="003F6733" w:rsidP="009D6507">
      <w:pPr>
        <w:pStyle w:val="citacao"/>
        <w:spacing w:before="0" w:beforeAutospacing="0" w:after="0" w:afterAutospacing="0" w:line="360" w:lineRule="auto"/>
        <w:ind w:firstLine="709"/>
        <w:jc w:val="both"/>
        <w:rPr>
          <w:rFonts w:asciiTheme="minorHAnsi" w:hAnsiTheme="minorHAnsi" w:cstheme="minorHAnsi"/>
          <w:color w:val="000000"/>
          <w:sz w:val="22"/>
          <w:szCs w:val="22"/>
        </w:rPr>
      </w:pPr>
      <w:r w:rsidRPr="00E3011C">
        <w:rPr>
          <w:rFonts w:asciiTheme="minorHAnsi" w:hAnsiTheme="minorHAnsi" w:cstheme="minorHAnsi"/>
          <w:color w:val="000000"/>
          <w:sz w:val="22"/>
          <w:szCs w:val="22"/>
        </w:rPr>
        <w:t>a) parâmetro de discriminação: é o poder de discriminação que cada questão possui para diferenciar os participantes que dominam dos participantes que não dominam a habilidade avaliada naquela questão (item);</w:t>
      </w:r>
    </w:p>
    <w:p w14:paraId="2E240011" w14:textId="77777777" w:rsidR="003F6733" w:rsidRPr="00E3011C" w:rsidRDefault="003F6733" w:rsidP="009D6507">
      <w:pPr>
        <w:pStyle w:val="citacao"/>
        <w:spacing w:before="0" w:beforeAutospacing="0" w:after="0" w:afterAutospacing="0" w:line="360" w:lineRule="auto"/>
        <w:ind w:firstLine="709"/>
        <w:jc w:val="both"/>
        <w:rPr>
          <w:rFonts w:asciiTheme="minorHAnsi" w:hAnsiTheme="minorHAnsi" w:cstheme="minorHAnsi"/>
          <w:color w:val="000000"/>
          <w:sz w:val="22"/>
          <w:szCs w:val="22"/>
        </w:rPr>
      </w:pPr>
      <w:r w:rsidRPr="00E3011C">
        <w:rPr>
          <w:rFonts w:asciiTheme="minorHAnsi" w:hAnsiTheme="minorHAnsi" w:cstheme="minorHAnsi"/>
          <w:color w:val="000000"/>
          <w:sz w:val="22"/>
          <w:szCs w:val="22"/>
        </w:rPr>
        <w:t xml:space="preserve">b) parâmetro de dificuldade: associado à dificuldade da habilidade avaliada na questão, quanto maior seu valor, mais difícil é a questão. Ele é expresso na mesma escala da proficiência. </w:t>
      </w:r>
      <w:r w:rsidRPr="00E3011C">
        <w:rPr>
          <w:rFonts w:asciiTheme="minorHAnsi" w:hAnsiTheme="minorHAnsi" w:cstheme="minorHAnsi"/>
          <w:color w:val="000000"/>
          <w:sz w:val="22"/>
          <w:szCs w:val="22"/>
        </w:rPr>
        <w:lastRenderedPageBreak/>
        <w:t>Em uma prova de qualidade, devemos ter questões de diferentes níveis de dificuldade para avaliar adequadamente os participantes em todos os níveis de conhecimento;</w:t>
      </w:r>
    </w:p>
    <w:p w14:paraId="36235DA0" w14:textId="77777777" w:rsidR="003F6733" w:rsidRPr="00E3011C" w:rsidRDefault="003F6733" w:rsidP="009D6507">
      <w:pPr>
        <w:pStyle w:val="citacao"/>
        <w:spacing w:before="0" w:beforeAutospacing="0" w:after="0" w:afterAutospacing="0" w:line="360" w:lineRule="auto"/>
        <w:ind w:firstLine="709"/>
        <w:jc w:val="both"/>
        <w:rPr>
          <w:rFonts w:asciiTheme="minorHAnsi" w:hAnsiTheme="minorHAnsi" w:cstheme="minorHAnsi"/>
          <w:color w:val="000000"/>
          <w:sz w:val="22"/>
          <w:szCs w:val="22"/>
        </w:rPr>
      </w:pPr>
      <w:r w:rsidRPr="00E3011C">
        <w:rPr>
          <w:rFonts w:asciiTheme="minorHAnsi" w:hAnsiTheme="minorHAnsi" w:cstheme="minorHAnsi"/>
          <w:color w:val="000000"/>
          <w:sz w:val="22"/>
          <w:szCs w:val="22"/>
        </w:rPr>
        <w:t>c) parâmetro de acerto casual: em provas de múltipla escolha, um participante que não domina a habilidade avaliada em uma determinada questão da prova pode responder corretamente a esse item por acerto casual. Assim, esse parâmetro representa a probabilidade de um participante acertar a questão não dominando a habilidade exigida.</w:t>
      </w:r>
    </w:p>
    <w:p w14:paraId="6C1E4642" w14:textId="6977C38A" w:rsidR="003547BC" w:rsidRPr="00E3011C" w:rsidRDefault="003547BC" w:rsidP="009D6507">
      <w:pPr>
        <w:autoSpaceDE w:val="0"/>
        <w:autoSpaceDN w:val="0"/>
        <w:adjustRightInd w:val="0"/>
        <w:spacing w:after="0" w:line="360" w:lineRule="auto"/>
        <w:ind w:firstLine="709"/>
        <w:jc w:val="both"/>
        <w:rPr>
          <w:rFonts w:cstheme="minorHAnsi"/>
        </w:rPr>
      </w:pPr>
      <w:r w:rsidRPr="00E3011C">
        <w:rPr>
          <w:rFonts w:cstheme="minorHAnsi"/>
        </w:rPr>
        <w:t>O BILOG-MG implementa uma extensão da TRI para múltiplos grupos de examinandos não equivalentes, o que permite estimar os parâmetros de itens de uma mesma área</w:t>
      </w:r>
      <w:r w:rsidR="00612971">
        <w:rPr>
          <w:rFonts w:cstheme="minorHAnsi"/>
        </w:rPr>
        <w:t>, tanto n</w:t>
      </w:r>
      <w:r w:rsidRPr="00E3011C">
        <w:rPr>
          <w:rFonts w:cstheme="minorHAnsi"/>
        </w:rPr>
        <w:t>o</w:t>
      </w:r>
      <w:r w:rsidR="00612971">
        <w:rPr>
          <w:rFonts w:cstheme="minorHAnsi"/>
        </w:rPr>
        <w:t xml:space="preserve"> </w:t>
      </w:r>
      <w:r w:rsidR="008D0A01">
        <w:rPr>
          <w:rFonts w:cstheme="minorHAnsi"/>
        </w:rPr>
        <w:t xml:space="preserve">Enem </w:t>
      </w:r>
      <w:r w:rsidR="00612971">
        <w:rPr>
          <w:rFonts w:cstheme="minorHAnsi"/>
        </w:rPr>
        <w:t xml:space="preserve">quanto no Saeb, </w:t>
      </w:r>
      <w:r w:rsidRPr="00E3011C">
        <w:rPr>
          <w:rFonts w:cstheme="minorHAnsi"/>
        </w:rPr>
        <w:t xml:space="preserve">conjuntamente e em uma mesma escala (por exemplo, </w:t>
      </w:r>
      <w:r w:rsidR="008D0A01">
        <w:rPr>
          <w:rFonts w:cstheme="minorHAnsi"/>
        </w:rPr>
        <w:t xml:space="preserve">vários </w:t>
      </w:r>
      <w:r w:rsidR="008D0A01" w:rsidRPr="00E3011C">
        <w:rPr>
          <w:rFonts w:cstheme="minorHAnsi"/>
        </w:rPr>
        <w:t>pré-testes do E</w:t>
      </w:r>
      <w:r w:rsidR="008D0A01">
        <w:rPr>
          <w:rFonts w:cstheme="minorHAnsi"/>
        </w:rPr>
        <w:t>nem</w:t>
      </w:r>
      <w:r w:rsidR="008D0A01" w:rsidRPr="00E3011C">
        <w:rPr>
          <w:rFonts w:cstheme="minorHAnsi"/>
        </w:rPr>
        <w:t xml:space="preserve"> </w:t>
      </w:r>
      <w:r w:rsidR="008D0A01">
        <w:rPr>
          <w:rFonts w:cstheme="minorHAnsi"/>
        </w:rPr>
        <w:t xml:space="preserve"> e a </w:t>
      </w:r>
      <w:r w:rsidRPr="00E3011C">
        <w:rPr>
          <w:rFonts w:cstheme="minorHAnsi"/>
        </w:rPr>
        <w:t>aplicaç</w:t>
      </w:r>
      <w:r w:rsidR="008D0A01">
        <w:rPr>
          <w:rFonts w:cstheme="minorHAnsi"/>
        </w:rPr>
        <w:t>ão</w:t>
      </w:r>
      <w:r w:rsidRPr="00E3011C">
        <w:rPr>
          <w:rFonts w:cstheme="minorHAnsi"/>
        </w:rPr>
        <w:t xml:space="preserve"> </w:t>
      </w:r>
      <w:r w:rsidR="008D0A01">
        <w:rPr>
          <w:rFonts w:cstheme="minorHAnsi"/>
        </w:rPr>
        <w:t>do</w:t>
      </w:r>
      <w:r w:rsidRPr="00E3011C">
        <w:rPr>
          <w:rFonts w:cstheme="minorHAnsi"/>
        </w:rPr>
        <w:t xml:space="preserve"> </w:t>
      </w:r>
      <w:r w:rsidR="00612971" w:rsidRPr="00E3011C">
        <w:rPr>
          <w:rFonts w:cstheme="minorHAnsi"/>
        </w:rPr>
        <w:t>E</w:t>
      </w:r>
      <w:r w:rsidR="00612971">
        <w:rPr>
          <w:rFonts w:cstheme="minorHAnsi"/>
        </w:rPr>
        <w:t>nem</w:t>
      </w:r>
      <w:r w:rsidR="00612971" w:rsidRPr="00E3011C">
        <w:rPr>
          <w:rFonts w:cstheme="minorHAnsi"/>
        </w:rPr>
        <w:t xml:space="preserve"> </w:t>
      </w:r>
      <w:r w:rsidR="00D94A42">
        <w:rPr>
          <w:rFonts w:cstheme="minorHAnsi"/>
        </w:rPr>
        <w:t>daquela edição</w:t>
      </w:r>
      <w:r w:rsidR="008D0A01">
        <w:rPr>
          <w:rFonts w:cstheme="minorHAnsi"/>
        </w:rPr>
        <w:t xml:space="preserve">, </w:t>
      </w:r>
      <w:r w:rsidR="008D0A01" w:rsidRPr="00E3011C">
        <w:rPr>
          <w:rFonts w:cstheme="minorHAnsi"/>
        </w:rPr>
        <w:t xml:space="preserve">diferentes aplicações do </w:t>
      </w:r>
      <w:r w:rsidR="008D0A01">
        <w:rPr>
          <w:rFonts w:cstheme="minorHAnsi"/>
        </w:rPr>
        <w:t>SAEB</w:t>
      </w:r>
      <w:r w:rsidR="008D0A01" w:rsidRPr="00E3011C">
        <w:rPr>
          <w:rFonts w:cstheme="minorHAnsi"/>
        </w:rPr>
        <w:t xml:space="preserve"> e pré-testes do </w:t>
      </w:r>
      <w:r w:rsidR="008D0A01">
        <w:rPr>
          <w:rFonts w:cstheme="minorHAnsi"/>
        </w:rPr>
        <w:t>SAEB</w:t>
      </w:r>
      <w:r w:rsidRPr="00E3011C">
        <w:rPr>
          <w:rFonts w:cstheme="minorHAnsi"/>
        </w:rPr>
        <w:t>). Para a estimação dos parâmetros, utiliza-se o procedimento de estimação pela máxima verossimilhança marginal.</w:t>
      </w:r>
    </w:p>
    <w:p w14:paraId="2A20FAA8" w14:textId="1C1049D7" w:rsidR="00064876" w:rsidRDefault="00064876" w:rsidP="00064876">
      <w:pPr>
        <w:spacing w:after="0" w:line="360" w:lineRule="auto"/>
        <w:ind w:firstLine="709"/>
        <w:jc w:val="both"/>
        <w:rPr>
          <w:rFonts w:cstheme="minorHAnsi"/>
        </w:rPr>
      </w:pPr>
      <w:r w:rsidRPr="00E3011C">
        <w:rPr>
          <w:rFonts w:cstheme="minorHAnsi"/>
        </w:rPr>
        <w:t xml:space="preserve">O primeiro passo para análise via TRI se dá pela construção dos arquivos que serão utilizados no software </w:t>
      </w:r>
      <w:proofErr w:type="spellStart"/>
      <w:r w:rsidRPr="00E3011C">
        <w:rPr>
          <w:rFonts w:cstheme="minorHAnsi"/>
        </w:rPr>
        <w:t>Bilog</w:t>
      </w:r>
      <w:proofErr w:type="spellEnd"/>
      <w:r w:rsidRPr="00E3011C">
        <w:rPr>
          <w:rFonts w:cstheme="minorHAnsi"/>
        </w:rPr>
        <w:t>-MG</w:t>
      </w:r>
      <w:r w:rsidR="009C3B80">
        <w:rPr>
          <w:rFonts w:cstheme="minorHAnsi"/>
        </w:rPr>
        <w:t>, sendo eles: arquivos de bases de dados, arquivo de programação, arquivo de parâmetros, a também o arquivo de gabaritos</w:t>
      </w:r>
      <w:r w:rsidRPr="00E3011C">
        <w:rPr>
          <w:rFonts w:cstheme="minorHAnsi"/>
        </w:rPr>
        <w:t xml:space="preserve">. </w:t>
      </w:r>
      <w:r w:rsidR="009C3B80">
        <w:rPr>
          <w:rFonts w:cstheme="minorHAnsi"/>
        </w:rPr>
        <w:t>Todos o</w:t>
      </w:r>
      <w:r w:rsidRPr="00E3011C">
        <w:rPr>
          <w:rFonts w:cstheme="minorHAnsi"/>
        </w:rPr>
        <w:t>s arquivos são construídos de modo padronizado, com normas previamente estabelecidas</w:t>
      </w:r>
      <w:r>
        <w:rPr>
          <w:rFonts w:cstheme="minorHAnsi"/>
        </w:rPr>
        <w:t>, separadamente pelas</w:t>
      </w:r>
      <w:r w:rsidRPr="00E3011C">
        <w:rPr>
          <w:rFonts w:cstheme="minorHAnsi"/>
        </w:rPr>
        <w:t xml:space="preserve"> equipes de análise,</w:t>
      </w:r>
      <w:r>
        <w:rPr>
          <w:rFonts w:cstheme="minorHAnsi"/>
        </w:rPr>
        <w:t xml:space="preserve"> conferidas e</w:t>
      </w:r>
      <w:r w:rsidRPr="00E3011C">
        <w:rPr>
          <w:rFonts w:cstheme="minorHAnsi"/>
        </w:rPr>
        <w:t xml:space="preserve"> alinhadas, </w:t>
      </w:r>
      <w:r>
        <w:rPr>
          <w:rFonts w:cstheme="minorHAnsi"/>
        </w:rPr>
        <w:t>posteriormente</w:t>
      </w:r>
      <w:r w:rsidRPr="00E3011C">
        <w:rPr>
          <w:rFonts w:cstheme="minorHAnsi"/>
        </w:rPr>
        <w:t>, via teleconferência.</w:t>
      </w:r>
      <w:r w:rsidR="009C3B80">
        <w:rPr>
          <w:rFonts w:cstheme="minorHAnsi"/>
        </w:rPr>
        <w:t xml:space="preserve"> </w:t>
      </w:r>
      <w:r w:rsidRPr="00E3011C">
        <w:rPr>
          <w:rFonts w:cstheme="minorHAnsi"/>
        </w:rPr>
        <w:t xml:space="preserve"> </w:t>
      </w:r>
    </w:p>
    <w:p w14:paraId="6A7410D1" w14:textId="1933B9E7" w:rsidR="00AB16B2" w:rsidRDefault="00064876" w:rsidP="00064876">
      <w:pPr>
        <w:spacing w:after="0" w:line="360" w:lineRule="auto"/>
        <w:ind w:firstLine="709"/>
        <w:jc w:val="both"/>
        <w:rPr>
          <w:rFonts w:cstheme="minorHAnsi"/>
        </w:rPr>
      </w:pPr>
      <w:r w:rsidRPr="00E3011C">
        <w:rPr>
          <w:rFonts w:cstheme="minorHAnsi"/>
        </w:rPr>
        <w:t xml:space="preserve">As bases de dados com as respostas dos examinandos </w:t>
      </w:r>
      <w:r>
        <w:rPr>
          <w:rFonts w:cstheme="minorHAnsi"/>
        </w:rPr>
        <w:t xml:space="preserve">sem identificação de respondentes </w:t>
      </w:r>
      <w:r w:rsidRPr="00E3011C">
        <w:rPr>
          <w:rFonts w:cstheme="minorHAnsi"/>
        </w:rPr>
        <w:t>são preparadas em formato apropriado para utilização do software</w:t>
      </w:r>
      <w:r>
        <w:rPr>
          <w:rFonts w:cstheme="minorHAnsi"/>
        </w:rPr>
        <w:t xml:space="preserve"> e inclui, não só as respostas do</w:t>
      </w:r>
      <w:r w:rsidR="009C3B80">
        <w:rPr>
          <w:rFonts w:cstheme="minorHAnsi"/>
        </w:rPr>
        <w:t>s</w:t>
      </w:r>
      <w:r>
        <w:rPr>
          <w:rFonts w:cstheme="minorHAnsi"/>
        </w:rPr>
        <w:t xml:space="preserve"> examinandos d</w:t>
      </w:r>
      <w:r w:rsidR="009C3B80">
        <w:rPr>
          <w:rFonts w:cstheme="minorHAnsi"/>
        </w:rPr>
        <w:t>a</w:t>
      </w:r>
      <w:r>
        <w:rPr>
          <w:rFonts w:cstheme="minorHAnsi"/>
        </w:rPr>
        <w:t xml:space="preserve"> </w:t>
      </w:r>
      <w:r w:rsidR="009C3B80">
        <w:rPr>
          <w:rFonts w:cstheme="minorHAnsi"/>
        </w:rPr>
        <w:t>aplicação</w:t>
      </w:r>
      <w:r>
        <w:rPr>
          <w:rFonts w:cstheme="minorHAnsi"/>
        </w:rPr>
        <w:t xml:space="preserve"> atual,</w:t>
      </w:r>
      <w:r w:rsidR="009C3B80">
        <w:rPr>
          <w:rFonts w:cstheme="minorHAnsi"/>
        </w:rPr>
        <w:t xml:space="preserve"> como também</w:t>
      </w:r>
      <w:r>
        <w:rPr>
          <w:rFonts w:cstheme="minorHAnsi"/>
        </w:rPr>
        <w:t xml:space="preserve"> respostas de grupos de respondentes de pré-testes</w:t>
      </w:r>
      <w:r w:rsidRPr="00E3011C">
        <w:rPr>
          <w:rFonts w:cstheme="minorHAnsi"/>
        </w:rPr>
        <w:t xml:space="preserve">. </w:t>
      </w:r>
    </w:p>
    <w:p w14:paraId="3EB0728E" w14:textId="5BBB4CE4" w:rsidR="00AB16B2" w:rsidRDefault="009C3B80" w:rsidP="00064876">
      <w:pPr>
        <w:spacing w:after="0" w:line="360" w:lineRule="auto"/>
        <w:ind w:firstLine="709"/>
        <w:jc w:val="both"/>
        <w:rPr>
          <w:rFonts w:cstheme="minorHAnsi"/>
        </w:rPr>
      </w:pPr>
      <w:r>
        <w:rPr>
          <w:rFonts w:cstheme="minorHAnsi"/>
        </w:rPr>
        <w:t>Assim como ocorre com relação aos arquivos de bases de dados, o</w:t>
      </w:r>
      <w:r w:rsidR="00064876">
        <w:rPr>
          <w:rFonts w:cstheme="minorHAnsi"/>
        </w:rPr>
        <w:t xml:space="preserve"> arquivo de programação, extensão .</w:t>
      </w:r>
      <w:proofErr w:type="spellStart"/>
      <w:r w:rsidR="00064876">
        <w:rPr>
          <w:rFonts w:cstheme="minorHAnsi"/>
        </w:rPr>
        <w:t>blm</w:t>
      </w:r>
      <w:proofErr w:type="spellEnd"/>
      <w:r w:rsidR="00064876">
        <w:rPr>
          <w:rFonts w:cstheme="minorHAnsi"/>
        </w:rPr>
        <w:t>, é preparado contemplando informações do grupo de itens do  exame</w:t>
      </w:r>
      <w:r w:rsidR="005E4B5F">
        <w:rPr>
          <w:rFonts w:cstheme="minorHAnsi"/>
        </w:rPr>
        <w:t>/avaliação</w:t>
      </w:r>
      <w:r w:rsidR="00064876">
        <w:rPr>
          <w:rFonts w:cstheme="minorHAnsi"/>
        </w:rPr>
        <w:t xml:space="preserve"> atual, bem como de pré-testes, de forma a garantir que os resultados calculados estejam em uma mesma escala, característica que permite sua comparabilidade entre testes diferente</w:t>
      </w:r>
      <w:r>
        <w:rPr>
          <w:rFonts w:cstheme="minorHAnsi"/>
        </w:rPr>
        <w:t>s</w:t>
      </w:r>
      <w:r w:rsidR="00064876">
        <w:rPr>
          <w:rFonts w:cstheme="minorHAnsi"/>
        </w:rPr>
        <w:t xml:space="preserve"> (Prova 1, Prova de reaplicação/ Pessoas Privadas de Liberdade (PPL</w:t>
      </w:r>
      <w:r w:rsidR="001E095A">
        <w:rPr>
          <w:rFonts w:cstheme="minorHAnsi"/>
        </w:rPr>
        <w:t xml:space="preserve"> </w:t>
      </w:r>
      <w:r w:rsidR="005E4B5F">
        <w:rPr>
          <w:rFonts w:cstheme="minorHAnsi"/>
        </w:rPr>
        <w:t>),</w:t>
      </w:r>
      <w:r w:rsidR="001E095A">
        <w:rPr>
          <w:rFonts w:cstheme="minorHAnsi"/>
        </w:rPr>
        <w:t>no caso do Enem</w:t>
      </w:r>
      <w:r w:rsidR="005E4B5F">
        <w:rPr>
          <w:rFonts w:cstheme="minorHAnsi"/>
        </w:rPr>
        <w:t>; entre séries, no caso do SAEB</w:t>
      </w:r>
      <w:r w:rsidR="00064876">
        <w:rPr>
          <w:rFonts w:cstheme="minorHAnsi"/>
        </w:rPr>
        <w:t xml:space="preserve">) e entre anos de aplicações. </w:t>
      </w:r>
    </w:p>
    <w:p w14:paraId="4E3CCB9C" w14:textId="323F8B21" w:rsidR="00064876" w:rsidRPr="00E3011C" w:rsidRDefault="00064876" w:rsidP="00064876">
      <w:pPr>
        <w:spacing w:after="0" w:line="360" w:lineRule="auto"/>
        <w:ind w:firstLine="709"/>
        <w:jc w:val="both"/>
        <w:rPr>
          <w:rFonts w:cstheme="minorHAnsi"/>
        </w:rPr>
      </w:pPr>
      <w:r>
        <w:rPr>
          <w:rFonts w:cstheme="minorHAnsi"/>
        </w:rPr>
        <w:t>Os arquivos com parâmetros dos itens (</w:t>
      </w:r>
      <w:proofErr w:type="gramStart"/>
      <w:r>
        <w:rPr>
          <w:rFonts w:cstheme="minorHAnsi"/>
        </w:rPr>
        <w:t>extensão .</w:t>
      </w:r>
      <w:proofErr w:type="spellStart"/>
      <w:r>
        <w:rPr>
          <w:rFonts w:cstheme="minorHAnsi"/>
        </w:rPr>
        <w:t>prm</w:t>
      </w:r>
      <w:proofErr w:type="spellEnd"/>
      <w:proofErr w:type="gramEnd"/>
      <w:r>
        <w:rPr>
          <w:rFonts w:cstheme="minorHAnsi"/>
        </w:rPr>
        <w:t>) são preparados, em primeira instância, apenas com aqueles</w:t>
      </w:r>
      <w:r w:rsidR="005E4B5F">
        <w:rPr>
          <w:rFonts w:cstheme="minorHAnsi"/>
        </w:rPr>
        <w:t xml:space="preserve"> </w:t>
      </w:r>
      <w:r>
        <w:rPr>
          <w:rFonts w:cstheme="minorHAnsi"/>
        </w:rPr>
        <w:t xml:space="preserve">que já foram previamente estimados, </w:t>
      </w:r>
      <w:r w:rsidR="00AB16B2">
        <w:rPr>
          <w:rFonts w:cstheme="minorHAnsi"/>
        </w:rPr>
        <w:t xml:space="preserve">e em segunda etapa, com os parâmetros de todos os itens calibrados. </w:t>
      </w:r>
    </w:p>
    <w:p w14:paraId="5AA64DA8" w14:textId="7DAFFC84" w:rsidR="00064876" w:rsidRDefault="00AB16B2" w:rsidP="009D6507">
      <w:pPr>
        <w:autoSpaceDE w:val="0"/>
        <w:autoSpaceDN w:val="0"/>
        <w:adjustRightInd w:val="0"/>
        <w:spacing w:after="0" w:line="360" w:lineRule="auto"/>
        <w:ind w:firstLine="709"/>
        <w:jc w:val="both"/>
        <w:rPr>
          <w:rFonts w:cstheme="minorHAnsi"/>
        </w:rPr>
      </w:pPr>
      <w:r>
        <w:rPr>
          <w:rFonts w:cstheme="minorHAnsi"/>
        </w:rPr>
        <w:t xml:space="preserve">A primeira etapa é a de calibração dos itens que ainda não apresentam parâmetros </w:t>
      </w:r>
      <w:proofErr w:type="spellStart"/>
      <w:r>
        <w:rPr>
          <w:rFonts w:cstheme="minorHAnsi"/>
        </w:rPr>
        <w:t>pré</w:t>
      </w:r>
      <w:proofErr w:type="spellEnd"/>
      <w:r>
        <w:rPr>
          <w:rFonts w:cstheme="minorHAnsi"/>
        </w:rPr>
        <w:t>-estimados. Calculam-se</w:t>
      </w:r>
      <w:r w:rsidR="001E49E3">
        <w:rPr>
          <w:rFonts w:cstheme="minorHAnsi"/>
        </w:rPr>
        <w:t xml:space="preserve"> </w:t>
      </w:r>
      <w:r>
        <w:rPr>
          <w:rFonts w:cstheme="minorHAnsi"/>
        </w:rPr>
        <w:t xml:space="preserve">os parâmetros a, b e c, todos na mesma escala dos demais itens com características </w:t>
      </w:r>
      <w:proofErr w:type="spellStart"/>
      <w:r>
        <w:rPr>
          <w:rFonts w:cstheme="minorHAnsi"/>
        </w:rPr>
        <w:t>pré</w:t>
      </w:r>
      <w:proofErr w:type="spellEnd"/>
      <w:r>
        <w:rPr>
          <w:rFonts w:cstheme="minorHAnsi"/>
        </w:rPr>
        <w:t>-estimadas</w:t>
      </w:r>
      <w:r w:rsidR="001E49E3">
        <w:rPr>
          <w:rFonts w:cstheme="minorHAnsi"/>
        </w:rPr>
        <w:t>.</w:t>
      </w:r>
      <w:r>
        <w:rPr>
          <w:rFonts w:cstheme="minorHAnsi"/>
        </w:rPr>
        <w:t xml:space="preserve"> </w:t>
      </w:r>
      <w:r w:rsidR="001E49E3">
        <w:rPr>
          <w:rFonts w:cstheme="minorHAnsi"/>
        </w:rPr>
        <w:t>V</w:t>
      </w:r>
      <w:r>
        <w:rPr>
          <w:rFonts w:cstheme="minorHAnsi"/>
        </w:rPr>
        <w:t>erifica-se</w:t>
      </w:r>
      <w:r w:rsidR="001E49E3">
        <w:rPr>
          <w:rFonts w:cstheme="minorHAnsi"/>
        </w:rPr>
        <w:t xml:space="preserve"> também</w:t>
      </w:r>
      <w:r>
        <w:rPr>
          <w:rFonts w:cstheme="minorHAnsi"/>
        </w:rPr>
        <w:t xml:space="preserve"> o ajuste dos dados ao modelo e o funcionamento diferencial dos itens (DIF)</w:t>
      </w:r>
      <w:r w:rsidR="002C0B8C">
        <w:rPr>
          <w:rFonts w:cstheme="minorHAnsi"/>
        </w:rPr>
        <w:t xml:space="preserve"> dos itens comuns aos pré-testes</w:t>
      </w:r>
      <w:r>
        <w:rPr>
          <w:rFonts w:cstheme="minorHAnsi"/>
        </w:rPr>
        <w:t>.</w:t>
      </w:r>
    </w:p>
    <w:p w14:paraId="057283DB" w14:textId="27E5B8ED" w:rsidR="00A90FB0" w:rsidRDefault="78F4842A" w:rsidP="009D6507">
      <w:pPr>
        <w:autoSpaceDE w:val="0"/>
        <w:autoSpaceDN w:val="0"/>
        <w:adjustRightInd w:val="0"/>
        <w:spacing w:after="0" w:line="360" w:lineRule="auto"/>
        <w:ind w:firstLine="709"/>
        <w:jc w:val="both"/>
        <w:rPr>
          <w:rFonts w:cstheme="minorHAnsi"/>
        </w:rPr>
      </w:pPr>
      <w:r w:rsidRPr="00E3011C">
        <w:rPr>
          <w:rFonts w:cstheme="minorHAnsi"/>
        </w:rPr>
        <w:lastRenderedPageBreak/>
        <w:t xml:space="preserve">Um item apresenta DIF se respondentes de mesma </w:t>
      </w:r>
      <w:proofErr w:type="spellStart"/>
      <w:r w:rsidRPr="00E3011C">
        <w:rPr>
          <w:rFonts w:cstheme="minorHAnsi"/>
        </w:rPr>
        <w:t>proficiência</w:t>
      </w:r>
      <w:proofErr w:type="spellEnd"/>
      <w:r w:rsidRPr="00E3011C">
        <w:rPr>
          <w:rFonts w:cstheme="minorHAnsi"/>
        </w:rPr>
        <w:t xml:space="preserve"> em dois grupos diferentes apresentam um comportamento diferente de resposta para aquele item. Em termos de análise, considera-se que há DIF quando o máximo das diferenças absolutas entre as proporções esperadas de resposta (obtidas a partir do </w:t>
      </w:r>
      <w:proofErr w:type="gramStart"/>
      <w:r w:rsidRPr="00E3011C">
        <w:rPr>
          <w:rFonts w:cstheme="minorHAnsi"/>
        </w:rPr>
        <w:t xml:space="preserve">arquivo </w:t>
      </w:r>
      <w:r w:rsidRPr="00E3011C">
        <w:rPr>
          <w:rFonts w:cstheme="minorHAnsi"/>
          <w:i/>
          <w:iCs/>
        </w:rPr>
        <w:t>.EXP</w:t>
      </w:r>
      <w:proofErr w:type="gramEnd"/>
      <w:r w:rsidRPr="00E3011C">
        <w:rPr>
          <w:rFonts w:cstheme="minorHAnsi"/>
          <w:i/>
          <w:iCs/>
        </w:rPr>
        <w:t xml:space="preserve"> </w:t>
      </w:r>
      <w:r w:rsidRPr="00E3011C">
        <w:rPr>
          <w:rFonts w:cstheme="minorHAnsi"/>
        </w:rPr>
        <w:t xml:space="preserve">do software </w:t>
      </w:r>
      <w:proofErr w:type="spellStart"/>
      <w:r w:rsidRPr="00E3011C">
        <w:rPr>
          <w:rFonts w:cstheme="minorHAnsi"/>
        </w:rPr>
        <w:t>Bilog</w:t>
      </w:r>
      <w:proofErr w:type="spellEnd"/>
      <w:r w:rsidRPr="00E3011C">
        <w:rPr>
          <w:rFonts w:cstheme="minorHAnsi"/>
        </w:rPr>
        <w:t xml:space="preserve">-MG) para os dois grupos excede 0,15 dentro do intervalo compreendido entre os percentis 5 e 95. </w:t>
      </w:r>
      <w:r w:rsidR="001E095A">
        <w:rPr>
          <w:rFonts w:cstheme="minorHAnsi"/>
        </w:rPr>
        <w:t>Tanto n</w:t>
      </w:r>
      <w:r w:rsidRPr="00E3011C">
        <w:rPr>
          <w:rFonts w:cstheme="minorHAnsi"/>
        </w:rPr>
        <w:t>o Enem</w:t>
      </w:r>
      <w:r w:rsidR="001E095A">
        <w:rPr>
          <w:rFonts w:cstheme="minorHAnsi"/>
        </w:rPr>
        <w:t xml:space="preserve"> quanto no Saeb</w:t>
      </w:r>
      <w:r w:rsidRPr="00E3011C">
        <w:rPr>
          <w:rFonts w:cstheme="minorHAnsi"/>
        </w:rPr>
        <w:t>, verifica-se se um item estimado no pré-teste apresenta o mesmo comportamento de parâmetros que esse mesmo item aplicado no exame</w:t>
      </w:r>
      <w:r w:rsidR="005E4B5F">
        <w:rPr>
          <w:rFonts w:cstheme="minorHAnsi"/>
        </w:rPr>
        <w:t>/avaliação.</w:t>
      </w:r>
      <w:r w:rsidRPr="00E3011C">
        <w:rPr>
          <w:rFonts w:cstheme="minorHAnsi"/>
        </w:rPr>
        <w:t xml:space="preserve">  Itens com comportamentos semelhantes são mantidos como itens comuns, aspecto fundamental para uma boa equalização dos resultados à</w:t>
      </w:r>
      <w:r w:rsidR="001E095A">
        <w:rPr>
          <w:rFonts w:cstheme="minorHAnsi"/>
        </w:rPr>
        <w:t>s</w:t>
      </w:r>
      <w:r w:rsidRPr="00E3011C">
        <w:rPr>
          <w:rFonts w:cstheme="minorHAnsi"/>
        </w:rPr>
        <w:t xml:space="preserve"> escala</w:t>
      </w:r>
      <w:r w:rsidR="001E095A">
        <w:rPr>
          <w:rFonts w:cstheme="minorHAnsi"/>
        </w:rPr>
        <w:t>s</w:t>
      </w:r>
      <w:r w:rsidRPr="00E3011C">
        <w:rPr>
          <w:rFonts w:cstheme="minorHAnsi"/>
        </w:rPr>
        <w:t xml:space="preserve"> do Enem</w:t>
      </w:r>
      <w:r w:rsidR="001E095A">
        <w:rPr>
          <w:rFonts w:cstheme="minorHAnsi"/>
        </w:rPr>
        <w:t xml:space="preserve"> e do Saeb</w:t>
      </w:r>
      <w:r w:rsidRPr="00E3011C">
        <w:rPr>
          <w:rFonts w:cstheme="minorHAnsi"/>
        </w:rPr>
        <w:t>. Itens com comportamentos diferenciais para grupos de respondentes com mesma proficiência são considerados itens novos e assumem-se os parâmetros estimados independentemente.</w:t>
      </w:r>
    </w:p>
    <w:p w14:paraId="4D67FAA3" w14:textId="7A2D33AC" w:rsidR="00320BB6" w:rsidRPr="00E3011C" w:rsidRDefault="002C0B8C" w:rsidP="009D6507">
      <w:pPr>
        <w:autoSpaceDE w:val="0"/>
        <w:autoSpaceDN w:val="0"/>
        <w:adjustRightInd w:val="0"/>
        <w:spacing w:after="0" w:line="360" w:lineRule="auto"/>
        <w:ind w:firstLine="709"/>
        <w:jc w:val="both"/>
        <w:rPr>
          <w:rFonts w:cstheme="minorHAnsi"/>
        </w:rPr>
      </w:pPr>
      <w:r>
        <w:rPr>
          <w:rFonts w:cstheme="minorHAnsi"/>
        </w:rPr>
        <w:t>Os itens que apresentaram problemas de ajuste ou DIF são des</w:t>
      </w:r>
      <w:r w:rsidR="001E49E3">
        <w:rPr>
          <w:rFonts w:cstheme="minorHAnsi"/>
        </w:rPr>
        <w:t>a</w:t>
      </w:r>
      <w:r>
        <w:rPr>
          <w:rFonts w:cstheme="minorHAnsi"/>
        </w:rPr>
        <w:t>fixados e considerados como novos e seus parâmetros r</w:t>
      </w:r>
      <w:r w:rsidR="001E49E3">
        <w:rPr>
          <w:rFonts w:cstheme="minorHAnsi"/>
        </w:rPr>
        <w:t>e</w:t>
      </w:r>
      <w:r>
        <w:rPr>
          <w:rFonts w:cstheme="minorHAnsi"/>
        </w:rPr>
        <w:t>estimados em uma versão 2 de calibração. Os resultados dessa rodada de calibração são “input” para a estimação das proficiências dos participantes do Enem</w:t>
      </w:r>
      <w:r w:rsidR="001B136F">
        <w:rPr>
          <w:rFonts w:cstheme="minorHAnsi"/>
        </w:rPr>
        <w:t>/SAEB</w:t>
      </w:r>
      <w:r>
        <w:rPr>
          <w:rFonts w:cstheme="minorHAnsi"/>
        </w:rPr>
        <w:t>.</w:t>
      </w:r>
      <w:r w:rsidR="78F4842A" w:rsidRPr="00E3011C">
        <w:rPr>
          <w:rFonts w:cstheme="minorHAnsi"/>
        </w:rPr>
        <w:t xml:space="preserve">  </w:t>
      </w:r>
    </w:p>
    <w:p w14:paraId="0F2B2D57" w14:textId="33244226" w:rsidR="00056D08" w:rsidRPr="00E3011C" w:rsidRDefault="00056D08" w:rsidP="009D6507">
      <w:pPr>
        <w:autoSpaceDE w:val="0"/>
        <w:autoSpaceDN w:val="0"/>
        <w:adjustRightInd w:val="0"/>
        <w:spacing w:after="0" w:line="360" w:lineRule="auto"/>
        <w:ind w:firstLine="709"/>
        <w:jc w:val="both"/>
        <w:rPr>
          <w:rFonts w:cstheme="minorHAnsi"/>
        </w:rPr>
      </w:pPr>
      <w:r w:rsidRPr="00E3011C">
        <w:rPr>
          <w:rFonts w:cstheme="minorHAnsi"/>
        </w:rPr>
        <w:t xml:space="preserve">Após a obtenção dos parâmetros calibrados na escala do </w:t>
      </w:r>
      <w:r w:rsidR="001E095A">
        <w:rPr>
          <w:rFonts w:cstheme="minorHAnsi"/>
        </w:rPr>
        <w:t>Enem e do Saeb</w:t>
      </w:r>
      <w:r w:rsidRPr="00E3011C">
        <w:rPr>
          <w:rFonts w:cstheme="minorHAnsi"/>
        </w:rPr>
        <w:t>, calcula-se a proficiência de todos os examinandos</w:t>
      </w:r>
      <w:r w:rsidR="00D0522D" w:rsidRPr="00E3011C">
        <w:rPr>
          <w:rFonts w:cstheme="minorHAnsi"/>
        </w:rPr>
        <w:t xml:space="preserve">, tendo como base os parâmetros dos itens e as respostas do participante. </w:t>
      </w:r>
      <w:r w:rsidR="00E40606" w:rsidRPr="00E3011C">
        <w:rPr>
          <w:rFonts w:cstheme="minorHAnsi"/>
        </w:rPr>
        <w:t xml:space="preserve">O método para cálculo da proficiência é o </w:t>
      </w:r>
      <w:proofErr w:type="spellStart"/>
      <w:r w:rsidR="00E40606" w:rsidRPr="00E3011C">
        <w:rPr>
          <w:rFonts w:cstheme="minorHAnsi"/>
          <w:i/>
        </w:rPr>
        <w:t>Expected</w:t>
      </w:r>
      <w:proofErr w:type="spellEnd"/>
      <w:r w:rsidR="00E40606" w:rsidRPr="00E3011C">
        <w:rPr>
          <w:rFonts w:cstheme="minorHAnsi"/>
          <w:i/>
        </w:rPr>
        <w:t xml:space="preserve"> a Posteriori (EAP)</w:t>
      </w:r>
      <w:r w:rsidR="008936E6" w:rsidRPr="00E3011C">
        <w:rPr>
          <w:rFonts w:cstheme="minorHAnsi"/>
        </w:rPr>
        <w:t>, através da seguinte fórmula:</w:t>
      </w:r>
    </w:p>
    <w:p w14:paraId="6471C5E5" w14:textId="34A9A741" w:rsidR="00E3011C" w:rsidRPr="00E3011C" w:rsidRDefault="00E3011C" w:rsidP="009D6507">
      <w:pPr>
        <w:autoSpaceDE w:val="0"/>
        <w:autoSpaceDN w:val="0"/>
        <w:adjustRightInd w:val="0"/>
        <w:spacing w:after="0" w:line="360" w:lineRule="auto"/>
        <w:ind w:firstLine="709"/>
        <w:jc w:val="both"/>
        <w:rPr>
          <w:rFonts w:cstheme="minorHAnsi"/>
        </w:rPr>
      </w:pPr>
      <w:r w:rsidRPr="00E3011C">
        <w:rPr>
          <w:rFonts w:cstheme="minorHAnsi"/>
        </w:rPr>
        <w:t xml:space="preserve">                                           </w:t>
      </w:r>
      <w:r w:rsidRPr="00E3011C">
        <w:rPr>
          <w:rFonts w:cstheme="minorHAnsi"/>
          <w:noProof/>
          <w:lang w:eastAsia="pt-BR"/>
        </w:rPr>
        <w:drawing>
          <wp:inline distT="0" distB="0" distL="0" distR="0" wp14:anchorId="6B824B71" wp14:editId="750A7FF0">
            <wp:extent cx="1714500" cy="504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eap.jpg"/>
                    <pic:cNvPicPr/>
                  </pic:nvPicPr>
                  <pic:blipFill>
                    <a:blip r:embed="rId5">
                      <a:extLst>
                        <a:ext uri="{28A0092B-C50C-407E-A947-70E740481C1C}">
                          <a14:useLocalDpi xmlns:a14="http://schemas.microsoft.com/office/drawing/2010/main" val="0"/>
                        </a:ext>
                      </a:extLst>
                    </a:blip>
                    <a:stretch>
                      <a:fillRect/>
                    </a:stretch>
                  </pic:blipFill>
                  <pic:spPr>
                    <a:xfrm>
                      <a:off x="0" y="0"/>
                      <a:ext cx="1714500" cy="504825"/>
                    </a:xfrm>
                    <a:prstGeom prst="rect">
                      <a:avLst/>
                    </a:prstGeom>
                  </pic:spPr>
                </pic:pic>
              </a:graphicData>
            </a:graphic>
          </wp:inline>
        </w:drawing>
      </w:r>
    </w:p>
    <w:p w14:paraId="578FF471" w14:textId="77777777" w:rsidR="00E3011C" w:rsidRPr="00E3011C" w:rsidRDefault="00E3011C" w:rsidP="009D6507">
      <w:pPr>
        <w:autoSpaceDE w:val="0"/>
        <w:autoSpaceDN w:val="0"/>
        <w:adjustRightInd w:val="0"/>
        <w:spacing w:after="0" w:line="360" w:lineRule="auto"/>
        <w:ind w:firstLine="709"/>
        <w:jc w:val="both"/>
        <w:rPr>
          <w:rFonts w:cstheme="minorHAnsi"/>
        </w:rPr>
      </w:pPr>
    </w:p>
    <w:p w14:paraId="4878AB1B" w14:textId="77777777" w:rsidR="009D6507" w:rsidRDefault="00E3011C" w:rsidP="009D6507">
      <w:pPr>
        <w:autoSpaceDE w:val="0"/>
        <w:autoSpaceDN w:val="0"/>
        <w:adjustRightInd w:val="0"/>
        <w:spacing w:after="0" w:line="360" w:lineRule="auto"/>
        <w:ind w:firstLine="709"/>
        <w:jc w:val="both"/>
        <w:rPr>
          <w:rFonts w:cstheme="minorHAnsi"/>
        </w:rPr>
      </w:pPr>
      <w:r w:rsidRPr="00E3011C">
        <w:rPr>
          <w:rFonts w:cstheme="minorHAnsi"/>
        </w:rPr>
        <w:t xml:space="preserve">Nota-se que f(Ѳ) é a função de probabilidade </w:t>
      </w:r>
      <w:r w:rsidRPr="00E3011C">
        <w:rPr>
          <w:rFonts w:cstheme="minorHAnsi"/>
          <w:i/>
          <w:iCs/>
        </w:rPr>
        <w:t>a priori</w:t>
      </w:r>
      <w:r w:rsidRPr="00E3011C">
        <w:rPr>
          <w:rFonts w:cstheme="minorHAnsi"/>
        </w:rPr>
        <w:t xml:space="preserve">; </w:t>
      </w:r>
      <w:proofErr w:type="gramStart"/>
      <w:r w:rsidRPr="00E3011C">
        <w:rPr>
          <w:rFonts w:cstheme="minorHAnsi"/>
        </w:rPr>
        <w:t>L(</w:t>
      </w:r>
      <w:proofErr w:type="gramEnd"/>
      <w:r w:rsidRPr="00E3011C">
        <w:rPr>
          <w:rFonts w:cstheme="minorHAnsi"/>
          <w:b/>
          <w:bCs/>
        </w:rPr>
        <w:t xml:space="preserve">u </w:t>
      </w:r>
      <w:r w:rsidRPr="00E3011C">
        <w:rPr>
          <w:rFonts w:cstheme="minorHAnsi"/>
        </w:rPr>
        <w:t>| Ѳ) é uma função</w:t>
      </w:r>
      <w:r w:rsidR="009D6507">
        <w:rPr>
          <w:rFonts w:cstheme="minorHAnsi"/>
        </w:rPr>
        <w:t xml:space="preserve"> </w:t>
      </w:r>
      <w:r w:rsidRPr="00E3011C">
        <w:rPr>
          <w:rFonts w:cstheme="minorHAnsi"/>
        </w:rPr>
        <w:t>matemática associada ao padrão de respostas dos participantes e aos parâmetros</w:t>
      </w:r>
      <w:r w:rsidR="009D6507">
        <w:rPr>
          <w:rFonts w:cstheme="minorHAnsi"/>
        </w:rPr>
        <w:t xml:space="preserve"> </w:t>
      </w:r>
      <w:r w:rsidRPr="00E3011C">
        <w:rPr>
          <w:rFonts w:cstheme="minorHAnsi"/>
        </w:rPr>
        <w:t>dos itens, valores conhecidos; e Ѳ representa a proficiência do participante que será</w:t>
      </w:r>
      <w:r w:rsidR="009D6507">
        <w:rPr>
          <w:rFonts w:cstheme="minorHAnsi"/>
        </w:rPr>
        <w:t xml:space="preserve"> </w:t>
      </w:r>
      <w:r w:rsidRPr="00E3011C">
        <w:rPr>
          <w:rFonts w:cstheme="minorHAnsi"/>
        </w:rPr>
        <w:t>calculada. Para obter a nota do participante, é necessário resolver a expressão</w:t>
      </w:r>
      <w:r w:rsidR="009D6507">
        <w:rPr>
          <w:rFonts w:cstheme="minorHAnsi"/>
        </w:rPr>
        <w:t xml:space="preserve"> </w:t>
      </w:r>
      <w:r w:rsidRPr="00E3011C">
        <w:rPr>
          <w:rFonts w:cstheme="minorHAnsi"/>
        </w:rPr>
        <w:t>acima, que exige um processo de integração.</w:t>
      </w:r>
    </w:p>
    <w:p w14:paraId="3CFA7EB0" w14:textId="110A7E9B" w:rsidR="00E3011C" w:rsidRPr="00E3011C" w:rsidRDefault="00E3011C" w:rsidP="009D6507">
      <w:pPr>
        <w:autoSpaceDE w:val="0"/>
        <w:autoSpaceDN w:val="0"/>
        <w:adjustRightInd w:val="0"/>
        <w:spacing w:after="0" w:line="360" w:lineRule="auto"/>
        <w:ind w:firstLine="709"/>
        <w:jc w:val="both"/>
        <w:rPr>
          <w:rFonts w:cstheme="minorHAnsi"/>
        </w:rPr>
      </w:pPr>
      <w:r w:rsidRPr="00E3011C">
        <w:rPr>
          <w:rFonts w:cstheme="minorHAnsi"/>
        </w:rPr>
        <w:t>Na matemática, a resolução de integrais nem sempre é tão simples, pois</w:t>
      </w:r>
      <w:r w:rsidR="009D6507">
        <w:rPr>
          <w:rFonts w:cstheme="minorHAnsi"/>
        </w:rPr>
        <w:t xml:space="preserve"> </w:t>
      </w:r>
      <w:r w:rsidRPr="00E3011C">
        <w:rPr>
          <w:rFonts w:cstheme="minorHAnsi"/>
        </w:rPr>
        <w:t>depende da complexidade da função que está sendo usada — no caso do</w:t>
      </w:r>
      <w:r w:rsidR="001E095A">
        <w:rPr>
          <w:rFonts w:cstheme="minorHAnsi"/>
        </w:rPr>
        <w:t>s exames e avaliações</w:t>
      </w:r>
      <w:r w:rsidRPr="00E3011C">
        <w:rPr>
          <w:rFonts w:cstheme="minorHAnsi"/>
        </w:rPr>
        <w:t>,</w:t>
      </w:r>
      <w:r w:rsidR="009D6507">
        <w:rPr>
          <w:rFonts w:cstheme="minorHAnsi"/>
        </w:rPr>
        <w:t xml:space="preserve"> </w:t>
      </w:r>
      <w:r w:rsidRPr="00E3011C">
        <w:rPr>
          <w:rFonts w:cstheme="minorHAnsi"/>
        </w:rPr>
        <w:t xml:space="preserve">essa função é bastante complexa. Para contornar esse problema, </w:t>
      </w:r>
      <w:proofErr w:type="spellStart"/>
      <w:r w:rsidRPr="00E3011C">
        <w:rPr>
          <w:rFonts w:cstheme="minorHAnsi"/>
        </w:rPr>
        <w:t>Stroud</w:t>
      </w:r>
      <w:proofErr w:type="spellEnd"/>
      <w:r w:rsidRPr="00E3011C">
        <w:rPr>
          <w:rFonts w:cstheme="minorHAnsi"/>
        </w:rPr>
        <w:t xml:space="preserve"> e </w:t>
      </w:r>
      <w:proofErr w:type="spellStart"/>
      <w:r w:rsidRPr="00E3011C">
        <w:rPr>
          <w:rFonts w:cstheme="minorHAnsi"/>
        </w:rPr>
        <w:t>Secrest</w:t>
      </w:r>
      <w:proofErr w:type="spellEnd"/>
      <w:r w:rsidR="009D6507">
        <w:rPr>
          <w:rFonts w:cstheme="minorHAnsi"/>
        </w:rPr>
        <w:t xml:space="preserve"> </w:t>
      </w:r>
      <w:r w:rsidRPr="00E3011C">
        <w:rPr>
          <w:rFonts w:cstheme="minorHAnsi"/>
        </w:rPr>
        <w:t>(1966) sugerem a criação de intervalos para funções complexas e a resolução</w:t>
      </w:r>
      <w:r w:rsidR="009D6507">
        <w:rPr>
          <w:rFonts w:cstheme="minorHAnsi"/>
        </w:rPr>
        <w:t xml:space="preserve"> </w:t>
      </w:r>
      <w:r w:rsidRPr="00E3011C">
        <w:rPr>
          <w:rFonts w:cstheme="minorHAnsi"/>
        </w:rPr>
        <w:t>numérica de cada intervalo dessa função — esse método é conhecido como</w:t>
      </w:r>
      <w:r w:rsidR="009D6507">
        <w:rPr>
          <w:rFonts w:cstheme="minorHAnsi"/>
        </w:rPr>
        <w:t xml:space="preserve"> </w:t>
      </w:r>
      <w:r w:rsidRPr="00E3011C">
        <w:rPr>
          <w:rFonts w:cstheme="minorHAnsi"/>
        </w:rPr>
        <w:t>quadratura Gaussiana —, sendo que a expressão pode ser resolvida pela soma</w:t>
      </w:r>
      <w:r w:rsidR="009D6507">
        <w:rPr>
          <w:rFonts w:cstheme="minorHAnsi"/>
        </w:rPr>
        <w:t xml:space="preserve"> </w:t>
      </w:r>
      <w:r w:rsidRPr="00E3011C">
        <w:rPr>
          <w:rFonts w:cstheme="minorHAnsi"/>
        </w:rPr>
        <w:t>desses intervalos com o uso da seguinte fórmula:</w:t>
      </w:r>
    </w:p>
    <w:p w14:paraId="24DB53BC" w14:textId="5675AA9F" w:rsidR="00E3011C" w:rsidRPr="00E3011C" w:rsidRDefault="00E3011C" w:rsidP="009D6507">
      <w:pPr>
        <w:autoSpaceDE w:val="0"/>
        <w:autoSpaceDN w:val="0"/>
        <w:adjustRightInd w:val="0"/>
        <w:spacing w:after="0" w:line="360" w:lineRule="auto"/>
        <w:ind w:firstLine="709"/>
        <w:jc w:val="center"/>
        <w:rPr>
          <w:rFonts w:cstheme="minorHAnsi"/>
        </w:rPr>
      </w:pPr>
      <w:r w:rsidRPr="00E3011C">
        <w:rPr>
          <w:rFonts w:cstheme="minorHAnsi"/>
          <w:noProof/>
          <w:lang w:eastAsia="pt-BR"/>
        </w:rPr>
        <w:lastRenderedPageBreak/>
        <w:drawing>
          <wp:inline distT="0" distB="0" distL="0" distR="0" wp14:anchorId="7B1F8673" wp14:editId="6ED72752">
            <wp:extent cx="1476581" cy="619211"/>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integral.png"/>
                    <pic:cNvPicPr/>
                  </pic:nvPicPr>
                  <pic:blipFill>
                    <a:blip r:embed="rId6">
                      <a:extLst>
                        <a:ext uri="{28A0092B-C50C-407E-A947-70E740481C1C}">
                          <a14:useLocalDpi xmlns:a14="http://schemas.microsoft.com/office/drawing/2010/main" val="0"/>
                        </a:ext>
                      </a:extLst>
                    </a:blip>
                    <a:stretch>
                      <a:fillRect/>
                    </a:stretch>
                  </pic:blipFill>
                  <pic:spPr>
                    <a:xfrm>
                      <a:off x="0" y="0"/>
                      <a:ext cx="1476581" cy="619211"/>
                    </a:xfrm>
                    <a:prstGeom prst="rect">
                      <a:avLst/>
                    </a:prstGeom>
                  </pic:spPr>
                </pic:pic>
              </a:graphicData>
            </a:graphic>
          </wp:inline>
        </w:drawing>
      </w:r>
    </w:p>
    <w:p w14:paraId="5EDAA5B1" w14:textId="77777777" w:rsidR="009D6507" w:rsidRDefault="009D6507" w:rsidP="009D6507">
      <w:pPr>
        <w:autoSpaceDE w:val="0"/>
        <w:autoSpaceDN w:val="0"/>
        <w:adjustRightInd w:val="0"/>
        <w:spacing w:after="0" w:line="360" w:lineRule="auto"/>
        <w:ind w:firstLine="709"/>
        <w:jc w:val="both"/>
        <w:rPr>
          <w:rFonts w:cstheme="minorHAnsi"/>
        </w:rPr>
      </w:pPr>
    </w:p>
    <w:p w14:paraId="46B20478" w14:textId="55C1B8DE" w:rsidR="002C0B8C" w:rsidRDefault="00E3011C" w:rsidP="009D6507">
      <w:pPr>
        <w:autoSpaceDE w:val="0"/>
        <w:autoSpaceDN w:val="0"/>
        <w:adjustRightInd w:val="0"/>
        <w:spacing w:after="0" w:line="360" w:lineRule="auto"/>
        <w:ind w:firstLine="709"/>
        <w:jc w:val="both"/>
        <w:rPr>
          <w:rFonts w:cstheme="minorHAnsi"/>
        </w:rPr>
      </w:pPr>
      <w:r w:rsidRPr="00E3011C">
        <w:rPr>
          <w:rFonts w:cstheme="minorHAnsi"/>
        </w:rPr>
        <w:t>Essa é a fórmula pela qual é obtida a nota dos participantes do Enem</w:t>
      </w:r>
      <w:r w:rsidR="001E095A">
        <w:rPr>
          <w:rFonts w:cstheme="minorHAnsi"/>
        </w:rPr>
        <w:t xml:space="preserve"> e do Saeb</w:t>
      </w:r>
      <w:r w:rsidRPr="00E3011C">
        <w:rPr>
          <w:rFonts w:cstheme="minorHAnsi"/>
        </w:rPr>
        <w:t>,</w:t>
      </w:r>
      <w:r w:rsidR="009D6507">
        <w:rPr>
          <w:rFonts w:cstheme="minorHAnsi"/>
        </w:rPr>
        <w:t xml:space="preserve"> </w:t>
      </w:r>
      <w:r w:rsidRPr="00E3011C">
        <w:rPr>
          <w:rFonts w:cstheme="minorHAnsi"/>
        </w:rPr>
        <w:t>representada nela por Ѳ.</w:t>
      </w:r>
      <w:r w:rsidR="00406EA8">
        <w:rPr>
          <w:rFonts w:cstheme="minorHAnsi"/>
        </w:rPr>
        <w:t xml:space="preserve"> </w:t>
      </w:r>
      <w:r w:rsidR="002C0B8C">
        <w:rPr>
          <w:rFonts w:cstheme="minorHAnsi"/>
        </w:rPr>
        <w:t>Os resultados de proficiências estimadas pelas equipes, separadamente, são comparad</w:t>
      </w:r>
      <w:r w:rsidR="001E095A">
        <w:rPr>
          <w:rFonts w:cstheme="minorHAnsi"/>
        </w:rPr>
        <w:t>o</w:t>
      </w:r>
      <w:r w:rsidR="002C0B8C">
        <w:rPr>
          <w:rFonts w:cstheme="minorHAnsi"/>
        </w:rPr>
        <w:t>s. Para confirmação que os resultados estão corretos, o protocolo de conferência exige que sejam idênticos a</w:t>
      </w:r>
      <w:r w:rsidR="001E49E3">
        <w:rPr>
          <w:rFonts w:cstheme="minorHAnsi"/>
        </w:rPr>
        <w:t>té a</w:t>
      </w:r>
      <w:r w:rsidR="002C0B8C">
        <w:rPr>
          <w:rFonts w:cstheme="minorHAnsi"/>
        </w:rPr>
        <w:t xml:space="preserve"> quinta casa decimal, entre todas as equipes envolvidas. </w:t>
      </w:r>
    </w:p>
    <w:p w14:paraId="0677205A" w14:textId="3EAD8931" w:rsidR="00EB3E24" w:rsidRPr="00E3011C" w:rsidRDefault="00EB3E24" w:rsidP="009D6507">
      <w:pPr>
        <w:autoSpaceDE w:val="0"/>
        <w:autoSpaceDN w:val="0"/>
        <w:adjustRightInd w:val="0"/>
        <w:spacing w:after="0" w:line="360" w:lineRule="auto"/>
        <w:ind w:firstLine="709"/>
        <w:jc w:val="both"/>
        <w:rPr>
          <w:rFonts w:cstheme="minorHAnsi"/>
        </w:rPr>
      </w:pPr>
      <w:r w:rsidRPr="00E3011C">
        <w:rPr>
          <w:rFonts w:cstheme="minorHAnsi"/>
        </w:rPr>
        <w:t>As proficiências na TRI são estimadas em uma escala métrica que não possui mínimo e máximo pré-estabelecidos. Esses valores variam de acordo com as características do conjunto dos itens que compõem cada prova</w:t>
      </w:r>
      <w:r w:rsidR="00581CBD" w:rsidRPr="00E3011C">
        <w:rPr>
          <w:rFonts w:cstheme="minorHAnsi"/>
        </w:rPr>
        <w:t>, a cada edição de aplicação</w:t>
      </w:r>
      <w:r w:rsidRPr="00E3011C">
        <w:rPr>
          <w:rFonts w:cstheme="minorHAnsi"/>
        </w:rPr>
        <w:t>.</w:t>
      </w:r>
    </w:p>
    <w:p w14:paraId="1C6AEF24" w14:textId="69174D15" w:rsidR="009A0C56" w:rsidRDefault="00DD74E8" w:rsidP="009D6507">
      <w:pPr>
        <w:autoSpaceDE w:val="0"/>
        <w:autoSpaceDN w:val="0"/>
        <w:adjustRightInd w:val="0"/>
        <w:spacing w:after="0" w:line="360" w:lineRule="auto"/>
        <w:ind w:firstLine="709"/>
        <w:jc w:val="both"/>
        <w:rPr>
          <w:rFonts w:cstheme="minorHAnsi"/>
          <w:bCs/>
        </w:rPr>
      </w:pPr>
      <w:r>
        <w:rPr>
          <w:rFonts w:cstheme="minorHAnsi"/>
        </w:rPr>
        <w:t>Concluindo, a</w:t>
      </w:r>
      <w:r w:rsidRPr="00DD74E8">
        <w:rPr>
          <w:rFonts w:cstheme="minorHAnsi"/>
        </w:rPr>
        <w:t xml:space="preserve">pesar de não ser simples e exigir estimativas dos parâmetros realizada por métodos estatísticos avançados, o cálculo da proficiência é </w:t>
      </w:r>
      <w:r w:rsidRPr="00DD74E8">
        <w:rPr>
          <w:rFonts w:cstheme="minorHAnsi"/>
          <w:bCs/>
        </w:rPr>
        <w:t>objetivo</w:t>
      </w:r>
      <w:r>
        <w:rPr>
          <w:rFonts w:cstheme="minorHAnsi"/>
          <w:bCs/>
        </w:rPr>
        <w:t xml:space="preserve">. Ao longo do texto, foi apresentado o modo de cálculo das proficiências </w:t>
      </w:r>
      <w:r w:rsidR="00A06460">
        <w:rPr>
          <w:rFonts w:cstheme="minorHAnsi"/>
          <w:bCs/>
        </w:rPr>
        <w:t>dos</w:t>
      </w:r>
      <w:r>
        <w:rPr>
          <w:rFonts w:cstheme="minorHAnsi"/>
          <w:bCs/>
        </w:rPr>
        <w:t xml:space="preserve"> candidatos</w:t>
      </w:r>
      <w:r w:rsidR="00C66A49">
        <w:rPr>
          <w:rFonts w:cstheme="minorHAnsi"/>
          <w:bCs/>
        </w:rPr>
        <w:t>, não sendo realizada distinção entre os participantes.</w:t>
      </w:r>
      <w:r w:rsidR="009A0C56">
        <w:rPr>
          <w:rFonts w:cstheme="minorHAnsi"/>
          <w:bCs/>
        </w:rPr>
        <w:t xml:space="preserve"> </w:t>
      </w:r>
    </w:p>
    <w:p w14:paraId="51A56642" w14:textId="790C660F" w:rsidR="00DD74E8" w:rsidRPr="00DD74E8" w:rsidRDefault="009A0C56" w:rsidP="001F0C00">
      <w:pPr>
        <w:autoSpaceDE w:val="0"/>
        <w:autoSpaceDN w:val="0"/>
        <w:adjustRightInd w:val="0"/>
        <w:spacing w:after="0" w:line="360" w:lineRule="auto"/>
        <w:ind w:firstLine="709"/>
        <w:jc w:val="both"/>
        <w:rPr>
          <w:rFonts w:cstheme="minorHAnsi"/>
        </w:rPr>
      </w:pPr>
      <w:r>
        <w:rPr>
          <w:rFonts w:cstheme="minorHAnsi"/>
          <w:bCs/>
        </w:rPr>
        <w:t>Com relação à disponibilização dos parâmetros</w:t>
      </w:r>
      <w:r w:rsidR="00A06460">
        <w:rPr>
          <w:rFonts w:cstheme="minorHAnsi"/>
          <w:bCs/>
        </w:rPr>
        <w:t xml:space="preserve"> dos itens</w:t>
      </w:r>
      <w:r w:rsidR="001F0C00">
        <w:rPr>
          <w:rFonts w:cstheme="minorHAnsi"/>
          <w:bCs/>
        </w:rPr>
        <w:t xml:space="preserve"> do Enem</w:t>
      </w:r>
      <w:r w:rsidR="001E095A">
        <w:rPr>
          <w:rFonts w:cstheme="minorHAnsi"/>
          <w:bCs/>
        </w:rPr>
        <w:t xml:space="preserve"> e do Saeb</w:t>
      </w:r>
      <w:r w:rsidR="001F0C00">
        <w:rPr>
          <w:rFonts w:cstheme="minorHAnsi"/>
          <w:bCs/>
        </w:rPr>
        <w:t xml:space="preserve">, o Inep coloca à disposição </w:t>
      </w:r>
      <w:r w:rsidR="001B136F">
        <w:rPr>
          <w:rFonts w:cstheme="minorHAnsi"/>
          <w:bCs/>
        </w:rPr>
        <w:t>dos pesquisadores</w:t>
      </w:r>
      <w:r w:rsidR="001F0C00">
        <w:rPr>
          <w:rFonts w:cstheme="minorHAnsi"/>
          <w:bCs/>
        </w:rPr>
        <w:t xml:space="preserve"> por meio do </w:t>
      </w:r>
      <w:r w:rsidR="001B136F" w:rsidRPr="002505B1">
        <w:rPr>
          <w:rFonts w:cstheme="minorHAnsi"/>
          <w:bCs/>
        </w:rPr>
        <w:t>Serviço de Acesso a Dados Protegidos (</w:t>
      </w:r>
      <w:proofErr w:type="spellStart"/>
      <w:r w:rsidR="001B136F" w:rsidRPr="002505B1">
        <w:rPr>
          <w:rFonts w:cstheme="minorHAnsi"/>
          <w:bCs/>
        </w:rPr>
        <w:t>Sedap</w:t>
      </w:r>
      <w:proofErr w:type="spellEnd"/>
      <w:r w:rsidR="001B136F" w:rsidRPr="002505B1">
        <w:rPr>
          <w:rFonts w:cstheme="minorHAnsi"/>
          <w:bCs/>
        </w:rPr>
        <w:t>)</w:t>
      </w:r>
      <w:r>
        <w:rPr>
          <w:rFonts w:cstheme="minorHAnsi"/>
          <w:bCs/>
        </w:rPr>
        <w:t>.</w:t>
      </w:r>
      <w:r w:rsidR="001B136F">
        <w:rPr>
          <w:rFonts w:cstheme="minorHAnsi"/>
          <w:bCs/>
        </w:rPr>
        <w:t xml:space="preserve"> Você pode encontrar </w:t>
      </w:r>
      <w:r w:rsidR="002505B1">
        <w:rPr>
          <w:rFonts w:cstheme="minorHAnsi"/>
          <w:bCs/>
        </w:rPr>
        <w:t>i</w:t>
      </w:r>
      <w:r w:rsidR="001B136F">
        <w:rPr>
          <w:rFonts w:cstheme="minorHAnsi"/>
          <w:bCs/>
        </w:rPr>
        <w:t xml:space="preserve">nformações sobre o </w:t>
      </w:r>
      <w:proofErr w:type="spellStart"/>
      <w:r w:rsidR="001B136F" w:rsidRPr="002505B1">
        <w:rPr>
          <w:rFonts w:cstheme="minorHAnsi"/>
          <w:bCs/>
        </w:rPr>
        <w:t>Sedap</w:t>
      </w:r>
      <w:proofErr w:type="spellEnd"/>
      <w:r w:rsidR="002505B1" w:rsidRPr="002505B1">
        <w:rPr>
          <w:rFonts w:cstheme="minorHAnsi"/>
          <w:bCs/>
        </w:rPr>
        <w:t xml:space="preserve"> </w:t>
      </w:r>
      <w:r w:rsidR="001B136F" w:rsidRPr="002505B1">
        <w:rPr>
          <w:rFonts w:cstheme="minorHAnsi"/>
          <w:bCs/>
        </w:rPr>
        <w:t>em</w:t>
      </w:r>
      <w:r w:rsidR="001B136F">
        <w:t xml:space="preserve"> </w:t>
      </w:r>
      <w:hyperlink r:id="rId7" w:history="1">
        <w:r w:rsidR="002505B1" w:rsidRPr="002505B1">
          <w:rPr>
            <w:rStyle w:val="Hyperlink"/>
          </w:rPr>
          <w:t>http://portal.inep.gov.br/web/guest/dados/sedap</w:t>
        </w:r>
      </w:hyperlink>
    </w:p>
    <w:p w14:paraId="22A30A66" w14:textId="458DB6E9" w:rsidR="00F6441A" w:rsidRDefault="00F6441A" w:rsidP="009D6507">
      <w:pPr>
        <w:autoSpaceDE w:val="0"/>
        <w:autoSpaceDN w:val="0"/>
        <w:adjustRightInd w:val="0"/>
        <w:spacing w:after="0" w:line="360" w:lineRule="auto"/>
        <w:ind w:firstLine="709"/>
        <w:jc w:val="both"/>
        <w:rPr>
          <w:rFonts w:cstheme="minorHAnsi"/>
          <w:b/>
        </w:rPr>
      </w:pPr>
    </w:p>
    <w:p w14:paraId="68AED3CC" w14:textId="23937668" w:rsidR="002505B1" w:rsidRDefault="002505B1" w:rsidP="009D6507">
      <w:pPr>
        <w:autoSpaceDE w:val="0"/>
        <w:autoSpaceDN w:val="0"/>
        <w:adjustRightInd w:val="0"/>
        <w:spacing w:after="0" w:line="360" w:lineRule="auto"/>
        <w:ind w:firstLine="709"/>
        <w:jc w:val="both"/>
        <w:rPr>
          <w:rFonts w:cstheme="minorHAnsi"/>
          <w:b/>
        </w:rPr>
      </w:pPr>
      <w:r>
        <w:rPr>
          <w:rFonts w:cstheme="minorHAnsi"/>
          <w:b/>
        </w:rPr>
        <w:t>Programações do BILOG-MG</w:t>
      </w:r>
    </w:p>
    <w:p w14:paraId="356B953E" w14:textId="77777777" w:rsidR="002505B1" w:rsidRDefault="002505B1" w:rsidP="002505B1">
      <w:r>
        <w:t>O programa utilizado para o cálculo das proficiências do SAEB e do Enem é o BILOG-MG.</w:t>
      </w:r>
    </w:p>
    <w:p w14:paraId="7B492DC2" w14:textId="77777777" w:rsidR="002505B1" w:rsidRDefault="002505B1" w:rsidP="002505B1"/>
    <w:p w14:paraId="416D5B32" w14:textId="77777777" w:rsidR="002505B1" w:rsidRDefault="002505B1" w:rsidP="002505B1">
      <w:r>
        <w:t>SAEB</w:t>
      </w:r>
    </w:p>
    <w:p w14:paraId="1B506069" w14:textId="64361319" w:rsidR="002505B1" w:rsidRDefault="002505B1" w:rsidP="002505B1">
      <w:r>
        <w:t>No caso do SAEB utilizamos pelo menos dois grupos para fazer a equalização com a escala SAEB: o SAEB da edição anterior e o SAEB da edição atual. Mas cada edição é um caso. Tem edição que usa pré-testes também para fazer essa equalização</w:t>
      </w:r>
      <w:r w:rsidR="003C3ECC">
        <w:t>, tem ano que usam duas edições anteriores do SAEB</w:t>
      </w:r>
      <w:r>
        <w:t>.</w:t>
      </w:r>
    </w:p>
    <w:p w14:paraId="54E03ADF" w14:textId="77777777" w:rsidR="002505B1" w:rsidRDefault="002505B1" w:rsidP="002505B1"/>
    <w:p w14:paraId="393F5727" w14:textId="77777777" w:rsidR="002505B1" w:rsidRDefault="002505B1" w:rsidP="002505B1">
      <w:r>
        <w:t>ENEM</w:t>
      </w:r>
    </w:p>
    <w:p w14:paraId="4DFF3A59" w14:textId="77777777" w:rsidR="002505B1" w:rsidRDefault="002505B1" w:rsidP="002505B1">
      <w:r>
        <w:t xml:space="preserve">No caso do Enem, em cada edição são utilizados vários grupos de Pré-teste para fazer a equalização com a escala Enem. </w:t>
      </w:r>
    </w:p>
    <w:p w14:paraId="536E579A" w14:textId="77777777" w:rsidR="002505B1" w:rsidRDefault="002505B1" w:rsidP="002505B1"/>
    <w:p w14:paraId="63D2A0A0" w14:textId="77777777" w:rsidR="00581CBD" w:rsidRPr="00E3011C" w:rsidRDefault="00581CBD" w:rsidP="009D6507">
      <w:pPr>
        <w:autoSpaceDE w:val="0"/>
        <w:autoSpaceDN w:val="0"/>
        <w:adjustRightInd w:val="0"/>
        <w:spacing w:after="0" w:line="360" w:lineRule="auto"/>
        <w:ind w:firstLine="709"/>
        <w:jc w:val="both"/>
        <w:rPr>
          <w:rFonts w:cstheme="minorHAnsi"/>
          <w:b/>
        </w:rPr>
      </w:pPr>
      <w:r w:rsidRPr="00E3011C">
        <w:rPr>
          <w:rFonts w:cstheme="minorHAnsi"/>
          <w:b/>
        </w:rPr>
        <w:t>Referências</w:t>
      </w:r>
    </w:p>
    <w:p w14:paraId="22691576" w14:textId="77777777" w:rsidR="00581CBD" w:rsidRPr="00E3011C" w:rsidRDefault="00581CBD" w:rsidP="00A06460">
      <w:pPr>
        <w:pStyle w:val="Default"/>
        <w:spacing w:line="360" w:lineRule="auto"/>
        <w:ind w:left="1134" w:hanging="1134"/>
        <w:jc w:val="both"/>
        <w:rPr>
          <w:rFonts w:asciiTheme="minorHAnsi" w:hAnsiTheme="minorHAnsi" w:cstheme="minorHAnsi"/>
          <w:sz w:val="22"/>
          <w:szCs w:val="22"/>
        </w:rPr>
      </w:pPr>
      <w:proofErr w:type="spellStart"/>
      <w:r w:rsidRPr="00E3011C">
        <w:rPr>
          <w:rFonts w:asciiTheme="minorHAnsi" w:hAnsiTheme="minorHAnsi" w:cstheme="minorHAnsi"/>
          <w:sz w:val="22"/>
          <w:szCs w:val="22"/>
        </w:rPr>
        <w:lastRenderedPageBreak/>
        <w:t>Lawley</w:t>
      </w:r>
      <w:proofErr w:type="spellEnd"/>
      <w:r w:rsidRPr="00E3011C">
        <w:rPr>
          <w:rFonts w:asciiTheme="minorHAnsi" w:hAnsiTheme="minorHAnsi" w:cstheme="minorHAnsi"/>
          <w:sz w:val="22"/>
          <w:szCs w:val="22"/>
        </w:rPr>
        <w:t xml:space="preserve">, D. N. (1943). </w:t>
      </w:r>
      <w:proofErr w:type="spellStart"/>
      <w:r w:rsidRPr="00E3011C">
        <w:rPr>
          <w:rFonts w:asciiTheme="minorHAnsi" w:hAnsiTheme="minorHAnsi" w:cstheme="minorHAnsi"/>
          <w:sz w:val="22"/>
          <w:szCs w:val="22"/>
        </w:rPr>
        <w:t>On</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sz w:val="22"/>
          <w:szCs w:val="22"/>
        </w:rPr>
        <w:t>problems</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sz w:val="22"/>
          <w:szCs w:val="22"/>
        </w:rPr>
        <w:t>connected</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sz w:val="22"/>
          <w:szCs w:val="22"/>
        </w:rPr>
        <w:t>with</w:t>
      </w:r>
      <w:proofErr w:type="spellEnd"/>
      <w:r w:rsidRPr="00E3011C">
        <w:rPr>
          <w:rFonts w:asciiTheme="minorHAnsi" w:hAnsiTheme="minorHAnsi" w:cstheme="minorHAnsi"/>
          <w:sz w:val="22"/>
          <w:szCs w:val="22"/>
        </w:rPr>
        <w:t xml:space="preserve"> item </w:t>
      </w:r>
      <w:proofErr w:type="spellStart"/>
      <w:r w:rsidRPr="00E3011C">
        <w:rPr>
          <w:rFonts w:asciiTheme="minorHAnsi" w:hAnsiTheme="minorHAnsi" w:cstheme="minorHAnsi"/>
          <w:sz w:val="22"/>
          <w:szCs w:val="22"/>
        </w:rPr>
        <w:t>selection</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sz w:val="22"/>
          <w:szCs w:val="22"/>
        </w:rPr>
        <w:t>and</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sz w:val="22"/>
          <w:szCs w:val="22"/>
        </w:rPr>
        <w:t>test</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sz w:val="22"/>
          <w:szCs w:val="22"/>
        </w:rPr>
        <w:t>construction</w:t>
      </w:r>
      <w:proofErr w:type="spellEnd"/>
      <w:r w:rsidRPr="00E3011C">
        <w:rPr>
          <w:rFonts w:asciiTheme="minorHAnsi" w:hAnsiTheme="minorHAnsi" w:cstheme="minorHAnsi"/>
          <w:sz w:val="22"/>
          <w:szCs w:val="22"/>
        </w:rPr>
        <w:t xml:space="preserve">. </w:t>
      </w:r>
      <w:proofErr w:type="spellStart"/>
      <w:r w:rsidRPr="00E3011C">
        <w:rPr>
          <w:rFonts w:asciiTheme="minorHAnsi" w:hAnsiTheme="minorHAnsi" w:cstheme="minorHAnsi"/>
          <w:i/>
          <w:iCs/>
          <w:sz w:val="22"/>
          <w:szCs w:val="22"/>
        </w:rPr>
        <w:t>Proceedings</w:t>
      </w:r>
      <w:proofErr w:type="spellEnd"/>
      <w:r w:rsidRPr="00E3011C">
        <w:rPr>
          <w:rFonts w:asciiTheme="minorHAnsi" w:hAnsiTheme="minorHAnsi" w:cstheme="minorHAnsi"/>
          <w:i/>
          <w:iCs/>
          <w:sz w:val="22"/>
          <w:szCs w:val="22"/>
        </w:rPr>
        <w:t xml:space="preserve"> </w:t>
      </w:r>
      <w:proofErr w:type="spellStart"/>
      <w:r w:rsidRPr="00E3011C">
        <w:rPr>
          <w:rFonts w:asciiTheme="minorHAnsi" w:hAnsiTheme="minorHAnsi" w:cstheme="minorHAnsi"/>
          <w:i/>
          <w:iCs/>
          <w:sz w:val="22"/>
          <w:szCs w:val="22"/>
        </w:rPr>
        <w:t>of</w:t>
      </w:r>
      <w:proofErr w:type="spellEnd"/>
      <w:r w:rsidRPr="00E3011C">
        <w:rPr>
          <w:rFonts w:asciiTheme="minorHAnsi" w:hAnsiTheme="minorHAnsi" w:cstheme="minorHAnsi"/>
          <w:i/>
          <w:iCs/>
          <w:sz w:val="22"/>
          <w:szCs w:val="22"/>
        </w:rPr>
        <w:t xml:space="preserve"> </w:t>
      </w:r>
      <w:proofErr w:type="spellStart"/>
      <w:r w:rsidRPr="00E3011C">
        <w:rPr>
          <w:rFonts w:asciiTheme="minorHAnsi" w:hAnsiTheme="minorHAnsi" w:cstheme="minorHAnsi"/>
          <w:i/>
          <w:iCs/>
          <w:sz w:val="22"/>
          <w:szCs w:val="22"/>
        </w:rPr>
        <w:t>the</w:t>
      </w:r>
      <w:proofErr w:type="spellEnd"/>
      <w:r w:rsidRPr="00E3011C">
        <w:rPr>
          <w:rFonts w:asciiTheme="minorHAnsi" w:hAnsiTheme="minorHAnsi" w:cstheme="minorHAnsi"/>
          <w:i/>
          <w:iCs/>
          <w:sz w:val="22"/>
          <w:szCs w:val="22"/>
        </w:rPr>
        <w:t xml:space="preserve"> Royal </w:t>
      </w:r>
      <w:proofErr w:type="spellStart"/>
      <w:r w:rsidRPr="00E3011C">
        <w:rPr>
          <w:rFonts w:asciiTheme="minorHAnsi" w:hAnsiTheme="minorHAnsi" w:cstheme="minorHAnsi"/>
          <w:i/>
          <w:iCs/>
          <w:sz w:val="22"/>
          <w:szCs w:val="22"/>
        </w:rPr>
        <w:t>Society</w:t>
      </w:r>
      <w:proofErr w:type="spellEnd"/>
      <w:r w:rsidRPr="00E3011C">
        <w:rPr>
          <w:rFonts w:asciiTheme="minorHAnsi" w:hAnsiTheme="minorHAnsi" w:cstheme="minorHAnsi"/>
          <w:i/>
          <w:iCs/>
          <w:sz w:val="22"/>
          <w:szCs w:val="22"/>
        </w:rPr>
        <w:t xml:space="preserve"> </w:t>
      </w:r>
      <w:proofErr w:type="spellStart"/>
      <w:r w:rsidRPr="00E3011C">
        <w:rPr>
          <w:rFonts w:asciiTheme="minorHAnsi" w:hAnsiTheme="minorHAnsi" w:cstheme="minorHAnsi"/>
          <w:i/>
          <w:iCs/>
          <w:sz w:val="22"/>
          <w:szCs w:val="22"/>
        </w:rPr>
        <w:t>of</w:t>
      </w:r>
      <w:proofErr w:type="spellEnd"/>
      <w:r w:rsidRPr="00E3011C">
        <w:rPr>
          <w:rFonts w:asciiTheme="minorHAnsi" w:hAnsiTheme="minorHAnsi" w:cstheme="minorHAnsi"/>
          <w:i/>
          <w:iCs/>
          <w:sz w:val="22"/>
          <w:szCs w:val="22"/>
        </w:rPr>
        <w:t xml:space="preserve"> Edinburgh, 61A</w:t>
      </w:r>
      <w:r w:rsidRPr="00E3011C">
        <w:rPr>
          <w:rFonts w:asciiTheme="minorHAnsi" w:hAnsiTheme="minorHAnsi" w:cstheme="minorHAnsi"/>
          <w:sz w:val="22"/>
          <w:szCs w:val="22"/>
        </w:rPr>
        <w:t xml:space="preserve">, 273-287. </w:t>
      </w:r>
    </w:p>
    <w:p w14:paraId="34690298" w14:textId="04717142" w:rsidR="00D70E49" w:rsidRDefault="00581CBD" w:rsidP="00A06460">
      <w:pPr>
        <w:spacing w:after="0" w:line="360" w:lineRule="auto"/>
        <w:ind w:left="1134" w:hanging="1134"/>
        <w:jc w:val="both"/>
        <w:rPr>
          <w:rFonts w:cstheme="minorHAnsi"/>
        </w:rPr>
      </w:pPr>
      <w:proofErr w:type="spellStart"/>
      <w:r w:rsidRPr="00E3011C">
        <w:rPr>
          <w:rFonts w:cstheme="minorHAnsi"/>
        </w:rPr>
        <w:t>Lord</w:t>
      </w:r>
      <w:proofErr w:type="spellEnd"/>
      <w:r w:rsidRPr="00E3011C">
        <w:rPr>
          <w:rFonts w:cstheme="minorHAnsi"/>
        </w:rPr>
        <w:t xml:space="preserve">, F. M. (1952). A </w:t>
      </w:r>
      <w:proofErr w:type="spellStart"/>
      <w:r w:rsidRPr="00E3011C">
        <w:rPr>
          <w:rFonts w:cstheme="minorHAnsi"/>
        </w:rPr>
        <w:t>theory</w:t>
      </w:r>
      <w:proofErr w:type="spellEnd"/>
      <w:r w:rsidRPr="00E3011C">
        <w:rPr>
          <w:rFonts w:cstheme="minorHAnsi"/>
        </w:rPr>
        <w:t xml:space="preserve"> </w:t>
      </w:r>
      <w:proofErr w:type="spellStart"/>
      <w:r w:rsidRPr="00E3011C">
        <w:rPr>
          <w:rFonts w:cstheme="minorHAnsi"/>
        </w:rPr>
        <w:t>of</w:t>
      </w:r>
      <w:proofErr w:type="spellEnd"/>
      <w:r w:rsidRPr="00E3011C">
        <w:rPr>
          <w:rFonts w:cstheme="minorHAnsi"/>
        </w:rPr>
        <w:t xml:space="preserve"> </w:t>
      </w:r>
      <w:proofErr w:type="spellStart"/>
      <w:r w:rsidRPr="00E3011C">
        <w:rPr>
          <w:rFonts w:cstheme="minorHAnsi"/>
        </w:rPr>
        <w:t>test</w:t>
      </w:r>
      <w:proofErr w:type="spellEnd"/>
      <w:r w:rsidRPr="00E3011C">
        <w:rPr>
          <w:rFonts w:cstheme="minorHAnsi"/>
        </w:rPr>
        <w:t xml:space="preserve"> scores. </w:t>
      </w:r>
      <w:proofErr w:type="spellStart"/>
      <w:r w:rsidRPr="00E3011C">
        <w:rPr>
          <w:rFonts w:cstheme="minorHAnsi"/>
          <w:i/>
          <w:iCs/>
        </w:rPr>
        <w:t>Psychometric</w:t>
      </w:r>
      <w:proofErr w:type="spellEnd"/>
      <w:r w:rsidRPr="00E3011C">
        <w:rPr>
          <w:rFonts w:cstheme="minorHAnsi"/>
          <w:i/>
          <w:iCs/>
        </w:rPr>
        <w:t xml:space="preserve"> </w:t>
      </w:r>
      <w:proofErr w:type="spellStart"/>
      <w:r w:rsidRPr="00E3011C">
        <w:rPr>
          <w:rFonts w:cstheme="minorHAnsi"/>
          <w:i/>
          <w:iCs/>
        </w:rPr>
        <w:t>Monograph</w:t>
      </w:r>
      <w:proofErr w:type="spellEnd"/>
      <w:r w:rsidRPr="00E3011C">
        <w:rPr>
          <w:rFonts w:cstheme="minorHAnsi"/>
        </w:rPr>
        <w:t>, No. 7.</w:t>
      </w:r>
    </w:p>
    <w:p w14:paraId="3B9559EF" w14:textId="77777777" w:rsidR="00581CBD" w:rsidRDefault="00581CBD" w:rsidP="00A06460">
      <w:pPr>
        <w:spacing w:after="0" w:line="360" w:lineRule="auto"/>
        <w:ind w:left="1134" w:hanging="1134"/>
        <w:jc w:val="both"/>
        <w:rPr>
          <w:rFonts w:cstheme="minorHAnsi"/>
        </w:rPr>
      </w:pPr>
      <w:proofErr w:type="spellStart"/>
      <w:r w:rsidRPr="00E3011C">
        <w:rPr>
          <w:rFonts w:cstheme="minorHAnsi"/>
        </w:rPr>
        <w:t>Yen</w:t>
      </w:r>
      <w:proofErr w:type="spellEnd"/>
      <w:r w:rsidRPr="00E3011C">
        <w:rPr>
          <w:rFonts w:cstheme="minorHAnsi"/>
        </w:rPr>
        <w:t xml:space="preserve">, W. M. &amp; </w:t>
      </w:r>
      <w:proofErr w:type="spellStart"/>
      <w:r w:rsidRPr="00E3011C">
        <w:rPr>
          <w:rFonts w:cstheme="minorHAnsi"/>
        </w:rPr>
        <w:t>Fitzpatrick</w:t>
      </w:r>
      <w:proofErr w:type="spellEnd"/>
      <w:r w:rsidRPr="00E3011C">
        <w:rPr>
          <w:rFonts w:cstheme="minorHAnsi"/>
        </w:rPr>
        <w:t xml:space="preserve">, A. R. (2006). Item Response </w:t>
      </w:r>
      <w:proofErr w:type="spellStart"/>
      <w:r w:rsidRPr="00E3011C">
        <w:rPr>
          <w:rFonts w:cstheme="minorHAnsi"/>
        </w:rPr>
        <w:t>Theory</w:t>
      </w:r>
      <w:proofErr w:type="spellEnd"/>
      <w:r w:rsidRPr="00E3011C">
        <w:rPr>
          <w:rFonts w:cstheme="minorHAnsi"/>
          <w:i/>
          <w:iCs/>
        </w:rPr>
        <w:t xml:space="preserve">. </w:t>
      </w:r>
      <w:r w:rsidRPr="00E3011C">
        <w:rPr>
          <w:rFonts w:cstheme="minorHAnsi"/>
        </w:rPr>
        <w:t xml:space="preserve">In R. L. </w:t>
      </w:r>
      <w:proofErr w:type="spellStart"/>
      <w:r w:rsidRPr="00E3011C">
        <w:rPr>
          <w:rFonts w:cstheme="minorHAnsi"/>
        </w:rPr>
        <w:t>Brennan</w:t>
      </w:r>
      <w:proofErr w:type="spellEnd"/>
      <w:r w:rsidRPr="00E3011C">
        <w:rPr>
          <w:rFonts w:cstheme="minorHAnsi"/>
        </w:rPr>
        <w:t xml:space="preserve">, </w:t>
      </w:r>
      <w:proofErr w:type="spellStart"/>
      <w:r w:rsidRPr="00E3011C">
        <w:rPr>
          <w:rFonts w:cstheme="minorHAnsi"/>
          <w:i/>
          <w:iCs/>
        </w:rPr>
        <w:t>Educational</w:t>
      </w:r>
      <w:proofErr w:type="spellEnd"/>
      <w:r w:rsidRPr="00E3011C">
        <w:rPr>
          <w:rFonts w:cstheme="minorHAnsi"/>
          <w:i/>
          <w:iCs/>
        </w:rPr>
        <w:t xml:space="preserve"> </w:t>
      </w:r>
      <w:proofErr w:type="spellStart"/>
      <w:r w:rsidRPr="00E3011C">
        <w:rPr>
          <w:rFonts w:cstheme="minorHAnsi"/>
          <w:i/>
          <w:iCs/>
        </w:rPr>
        <w:t>Measurement</w:t>
      </w:r>
      <w:proofErr w:type="spellEnd"/>
      <w:r w:rsidRPr="00E3011C">
        <w:rPr>
          <w:rFonts w:cstheme="minorHAnsi"/>
          <w:i/>
          <w:iCs/>
        </w:rPr>
        <w:t xml:space="preserve"> </w:t>
      </w:r>
      <w:r w:rsidRPr="00E3011C">
        <w:rPr>
          <w:rFonts w:cstheme="minorHAnsi"/>
        </w:rPr>
        <w:t xml:space="preserve">(111-153). American </w:t>
      </w:r>
      <w:proofErr w:type="spellStart"/>
      <w:r w:rsidRPr="00E3011C">
        <w:rPr>
          <w:rFonts w:cstheme="minorHAnsi"/>
        </w:rPr>
        <w:t>Council</w:t>
      </w:r>
      <w:proofErr w:type="spellEnd"/>
      <w:r w:rsidRPr="00E3011C">
        <w:rPr>
          <w:rFonts w:cstheme="minorHAnsi"/>
        </w:rPr>
        <w:t xml:space="preserve"> </w:t>
      </w:r>
      <w:proofErr w:type="spellStart"/>
      <w:r w:rsidRPr="00E3011C">
        <w:rPr>
          <w:rFonts w:cstheme="minorHAnsi"/>
        </w:rPr>
        <w:t>on</w:t>
      </w:r>
      <w:proofErr w:type="spellEnd"/>
      <w:r w:rsidRPr="00E3011C">
        <w:rPr>
          <w:rFonts w:cstheme="minorHAnsi"/>
        </w:rPr>
        <w:t xml:space="preserve"> </w:t>
      </w:r>
      <w:proofErr w:type="spellStart"/>
      <w:r w:rsidRPr="00E3011C">
        <w:rPr>
          <w:rFonts w:cstheme="minorHAnsi"/>
        </w:rPr>
        <w:t>Education</w:t>
      </w:r>
      <w:proofErr w:type="spellEnd"/>
      <w:r w:rsidRPr="00E3011C">
        <w:rPr>
          <w:rFonts w:cstheme="minorHAnsi"/>
        </w:rPr>
        <w:t>/</w:t>
      </w:r>
      <w:proofErr w:type="spellStart"/>
      <w:r w:rsidRPr="00E3011C">
        <w:rPr>
          <w:rFonts w:cstheme="minorHAnsi"/>
        </w:rPr>
        <w:t>Oryx</w:t>
      </w:r>
      <w:proofErr w:type="spellEnd"/>
      <w:r w:rsidRPr="00E3011C">
        <w:rPr>
          <w:rFonts w:cstheme="minorHAnsi"/>
        </w:rPr>
        <w:t xml:space="preserve"> Press Series </w:t>
      </w:r>
      <w:proofErr w:type="spellStart"/>
      <w:r w:rsidRPr="00E3011C">
        <w:rPr>
          <w:rFonts w:cstheme="minorHAnsi"/>
        </w:rPr>
        <w:t>on</w:t>
      </w:r>
      <w:proofErr w:type="spellEnd"/>
      <w:r w:rsidRPr="00E3011C">
        <w:rPr>
          <w:rFonts w:cstheme="minorHAnsi"/>
        </w:rPr>
        <w:t xml:space="preserve"> </w:t>
      </w:r>
      <w:proofErr w:type="spellStart"/>
      <w:r w:rsidRPr="00E3011C">
        <w:rPr>
          <w:rFonts w:cstheme="minorHAnsi"/>
        </w:rPr>
        <w:t>Higher</w:t>
      </w:r>
      <w:proofErr w:type="spellEnd"/>
      <w:r w:rsidRPr="00E3011C">
        <w:rPr>
          <w:rFonts w:cstheme="minorHAnsi"/>
        </w:rPr>
        <w:t xml:space="preserve"> </w:t>
      </w:r>
      <w:proofErr w:type="spellStart"/>
      <w:r w:rsidRPr="00E3011C">
        <w:rPr>
          <w:rFonts w:cstheme="minorHAnsi"/>
        </w:rPr>
        <w:t>Education</w:t>
      </w:r>
      <w:proofErr w:type="spellEnd"/>
      <w:r w:rsidRPr="00E3011C">
        <w:rPr>
          <w:rFonts w:cstheme="minorHAnsi"/>
        </w:rPr>
        <w:t>.</w:t>
      </w:r>
    </w:p>
    <w:p w14:paraId="683D0CA5" w14:textId="091AFC99" w:rsidR="00A06460" w:rsidRPr="001E49E3" w:rsidRDefault="00A06460" w:rsidP="00A06460">
      <w:pPr>
        <w:spacing w:after="0" w:line="360" w:lineRule="auto"/>
        <w:ind w:left="1134" w:hanging="1134"/>
        <w:jc w:val="both"/>
        <w:rPr>
          <w:rFonts w:cstheme="minorHAnsi"/>
        </w:rPr>
      </w:pPr>
      <w:r w:rsidRPr="00787E37">
        <w:rPr>
          <w:rFonts w:cstheme="minorHAnsi"/>
        </w:rPr>
        <w:t xml:space="preserve">STROUD, A. H; SECREST, D. </w:t>
      </w:r>
      <w:proofErr w:type="spellStart"/>
      <w:r w:rsidRPr="00787E37">
        <w:rPr>
          <w:rFonts w:cstheme="minorHAnsi"/>
          <w:i/>
          <w:iCs/>
        </w:rPr>
        <w:t>Gaussian</w:t>
      </w:r>
      <w:proofErr w:type="spellEnd"/>
      <w:r w:rsidRPr="00787E37">
        <w:rPr>
          <w:rFonts w:cstheme="minorHAnsi"/>
          <w:i/>
          <w:iCs/>
        </w:rPr>
        <w:t xml:space="preserve"> </w:t>
      </w:r>
      <w:proofErr w:type="spellStart"/>
      <w:r w:rsidRPr="00787E37">
        <w:rPr>
          <w:rFonts w:cstheme="minorHAnsi"/>
          <w:i/>
          <w:iCs/>
        </w:rPr>
        <w:t>Quadrature</w:t>
      </w:r>
      <w:proofErr w:type="spellEnd"/>
      <w:r w:rsidRPr="00787E37">
        <w:rPr>
          <w:rFonts w:cstheme="minorHAnsi"/>
          <w:i/>
          <w:iCs/>
        </w:rPr>
        <w:t xml:space="preserve"> Formulas. </w:t>
      </w:r>
      <w:proofErr w:type="spellStart"/>
      <w:r w:rsidRPr="00787E37">
        <w:rPr>
          <w:rFonts w:cstheme="minorHAnsi"/>
        </w:rPr>
        <w:t>Englewood</w:t>
      </w:r>
      <w:proofErr w:type="spellEnd"/>
      <w:r w:rsidRPr="00787E37">
        <w:rPr>
          <w:rFonts w:cstheme="minorHAnsi"/>
        </w:rPr>
        <w:t xml:space="preserve"> </w:t>
      </w:r>
      <w:proofErr w:type="spellStart"/>
      <w:r w:rsidRPr="00787E37">
        <w:rPr>
          <w:rFonts w:cstheme="minorHAnsi"/>
        </w:rPr>
        <w:t>Cliffs</w:t>
      </w:r>
      <w:proofErr w:type="spellEnd"/>
      <w:r w:rsidRPr="00787E37">
        <w:rPr>
          <w:rFonts w:cstheme="minorHAnsi"/>
        </w:rPr>
        <w:t xml:space="preserve">. </w:t>
      </w:r>
      <w:proofErr w:type="spellStart"/>
      <w:r w:rsidRPr="00787E37">
        <w:rPr>
          <w:rFonts w:cstheme="minorHAnsi"/>
        </w:rPr>
        <w:t>NewJersey</w:t>
      </w:r>
      <w:proofErr w:type="spellEnd"/>
      <w:r w:rsidRPr="00787E37">
        <w:rPr>
          <w:rFonts w:cstheme="minorHAnsi"/>
        </w:rPr>
        <w:t>: Prentice-Hall, 1996</w:t>
      </w:r>
    </w:p>
    <w:sectPr w:rsidR="00A06460" w:rsidRPr="001E4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59"/>
    <w:rsid w:val="000133F7"/>
    <w:rsid w:val="00056D08"/>
    <w:rsid w:val="000641E8"/>
    <w:rsid w:val="00064876"/>
    <w:rsid w:val="00100DDE"/>
    <w:rsid w:val="001069BB"/>
    <w:rsid w:val="0011609D"/>
    <w:rsid w:val="0016080F"/>
    <w:rsid w:val="001B136F"/>
    <w:rsid w:val="001E095A"/>
    <w:rsid w:val="001E49E3"/>
    <w:rsid w:val="001F0C00"/>
    <w:rsid w:val="00215AD4"/>
    <w:rsid w:val="002505B1"/>
    <w:rsid w:val="002C0B8C"/>
    <w:rsid w:val="002D4CCE"/>
    <w:rsid w:val="002D6720"/>
    <w:rsid w:val="00320BB6"/>
    <w:rsid w:val="003274C4"/>
    <w:rsid w:val="003547BC"/>
    <w:rsid w:val="003C3ECC"/>
    <w:rsid w:val="003F6733"/>
    <w:rsid w:val="00406EA8"/>
    <w:rsid w:val="00463E4C"/>
    <w:rsid w:val="004A42C2"/>
    <w:rsid w:val="004D2A7F"/>
    <w:rsid w:val="004D3266"/>
    <w:rsid w:val="004E5082"/>
    <w:rsid w:val="00502E96"/>
    <w:rsid w:val="00581CBD"/>
    <w:rsid w:val="005B0EB6"/>
    <w:rsid w:val="005E4B5F"/>
    <w:rsid w:val="005F293F"/>
    <w:rsid w:val="00612971"/>
    <w:rsid w:val="0062124B"/>
    <w:rsid w:val="006D3A1C"/>
    <w:rsid w:val="007000EE"/>
    <w:rsid w:val="007159D9"/>
    <w:rsid w:val="00787E37"/>
    <w:rsid w:val="00815445"/>
    <w:rsid w:val="0086644E"/>
    <w:rsid w:val="008936E6"/>
    <w:rsid w:val="008D0A01"/>
    <w:rsid w:val="008D54D6"/>
    <w:rsid w:val="00911C59"/>
    <w:rsid w:val="00975533"/>
    <w:rsid w:val="0099649F"/>
    <w:rsid w:val="009A0C56"/>
    <w:rsid w:val="009A2580"/>
    <w:rsid w:val="009C3B80"/>
    <w:rsid w:val="009D6507"/>
    <w:rsid w:val="009E3BCF"/>
    <w:rsid w:val="009F763B"/>
    <w:rsid w:val="00A01FBF"/>
    <w:rsid w:val="00A06460"/>
    <w:rsid w:val="00A37F7D"/>
    <w:rsid w:val="00A7133F"/>
    <w:rsid w:val="00A73A3F"/>
    <w:rsid w:val="00A90FB0"/>
    <w:rsid w:val="00AB16B2"/>
    <w:rsid w:val="00AC22FA"/>
    <w:rsid w:val="00AD46CA"/>
    <w:rsid w:val="00B310B4"/>
    <w:rsid w:val="00B3357B"/>
    <w:rsid w:val="00C66A49"/>
    <w:rsid w:val="00C73AB9"/>
    <w:rsid w:val="00CB29DC"/>
    <w:rsid w:val="00D0522D"/>
    <w:rsid w:val="00D1067B"/>
    <w:rsid w:val="00D244B2"/>
    <w:rsid w:val="00D3184E"/>
    <w:rsid w:val="00D40D63"/>
    <w:rsid w:val="00D45B86"/>
    <w:rsid w:val="00D70E49"/>
    <w:rsid w:val="00D94A42"/>
    <w:rsid w:val="00DB3A31"/>
    <w:rsid w:val="00DD74E8"/>
    <w:rsid w:val="00E3011C"/>
    <w:rsid w:val="00E35FFF"/>
    <w:rsid w:val="00E40606"/>
    <w:rsid w:val="00EB3E24"/>
    <w:rsid w:val="00EE5752"/>
    <w:rsid w:val="00F6441A"/>
    <w:rsid w:val="00F7709F"/>
    <w:rsid w:val="00FE656F"/>
    <w:rsid w:val="31B57C80"/>
    <w:rsid w:val="78F48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7C80"/>
  <w15:docId w15:val="{9A58D85F-DCA4-424D-A114-3A2C7273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cao">
    <w:name w:val="citacao"/>
    <w:basedOn w:val="Normal"/>
    <w:rsid w:val="003F673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581CBD"/>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4D2A7F"/>
    <w:rPr>
      <w:sz w:val="16"/>
      <w:szCs w:val="16"/>
    </w:rPr>
  </w:style>
  <w:style w:type="paragraph" w:styleId="Textodecomentrio">
    <w:name w:val="annotation text"/>
    <w:basedOn w:val="Normal"/>
    <w:link w:val="TextodecomentrioChar"/>
    <w:uiPriority w:val="99"/>
    <w:semiHidden/>
    <w:unhideWhenUsed/>
    <w:rsid w:val="004D2A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D2A7F"/>
    <w:rPr>
      <w:sz w:val="20"/>
      <w:szCs w:val="20"/>
    </w:rPr>
  </w:style>
  <w:style w:type="paragraph" w:styleId="Assuntodocomentrio">
    <w:name w:val="annotation subject"/>
    <w:basedOn w:val="Textodecomentrio"/>
    <w:next w:val="Textodecomentrio"/>
    <w:link w:val="AssuntodocomentrioChar"/>
    <w:uiPriority w:val="99"/>
    <w:semiHidden/>
    <w:unhideWhenUsed/>
    <w:rsid w:val="004D2A7F"/>
    <w:rPr>
      <w:b/>
      <w:bCs/>
    </w:rPr>
  </w:style>
  <w:style w:type="character" w:customStyle="1" w:styleId="AssuntodocomentrioChar">
    <w:name w:val="Assunto do comentário Char"/>
    <w:basedOn w:val="TextodecomentrioChar"/>
    <w:link w:val="Assuntodocomentrio"/>
    <w:uiPriority w:val="99"/>
    <w:semiHidden/>
    <w:rsid w:val="004D2A7F"/>
    <w:rPr>
      <w:b/>
      <w:bCs/>
      <w:sz w:val="20"/>
      <w:szCs w:val="20"/>
    </w:rPr>
  </w:style>
  <w:style w:type="paragraph" w:styleId="Textodebalo">
    <w:name w:val="Balloon Text"/>
    <w:basedOn w:val="Normal"/>
    <w:link w:val="TextodebaloChar"/>
    <w:uiPriority w:val="99"/>
    <w:semiHidden/>
    <w:unhideWhenUsed/>
    <w:rsid w:val="004D2A7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2A7F"/>
    <w:rPr>
      <w:rFonts w:ascii="Segoe UI" w:hAnsi="Segoe UI" w:cs="Segoe UI"/>
      <w:sz w:val="18"/>
      <w:szCs w:val="18"/>
    </w:rPr>
  </w:style>
  <w:style w:type="character" w:styleId="Hyperlink">
    <w:name w:val="Hyperlink"/>
    <w:basedOn w:val="Fontepargpadro"/>
    <w:uiPriority w:val="99"/>
    <w:unhideWhenUsed/>
    <w:rsid w:val="001B136F"/>
    <w:rPr>
      <w:color w:val="0000FF"/>
      <w:u w:val="single"/>
    </w:rPr>
  </w:style>
  <w:style w:type="character" w:customStyle="1" w:styleId="UnresolvedMention">
    <w:name w:val="Unresolved Mention"/>
    <w:basedOn w:val="Fontepargpadro"/>
    <w:uiPriority w:val="99"/>
    <w:semiHidden/>
    <w:unhideWhenUsed/>
    <w:rsid w:val="001B1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40470">
      <w:bodyDiv w:val="1"/>
      <w:marLeft w:val="0"/>
      <w:marRight w:val="0"/>
      <w:marTop w:val="0"/>
      <w:marBottom w:val="0"/>
      <w:divBdr>
        <w:top w:val="none" w:sz="0" w:space="0" w:color="auto"/>
        <w:left w:val="none" w:sz="0" w:space="0" w:color="auto"/>
        <w:bottom w:val="none" w:sz="0" w:space="0" w:color="auto"/>
        <w:right w:val="none" w:sz="0" w:space="0" w:color="auto"/>
      </w:divBdr>
    </w:div>
    <w:div w:id="413361552">
      <w:bodyDiv w:val="1"/>
      <w:marLeft w:val="0"/>
      <w:marRight w:val="0"/>
      <w:marTop w:val="0"/>
      <w:marBottom w:val="0"/>
      <w:divBdr>
        <w:top w:val="none" w:sz="0" w:space="0" w:color="auto"/>
        <w:left w:val="none" w:sz="0" w:space="0" w:color="auto"/>
        <w:bottom w:val="none" w:sz="0" w:space="0" w:color="auto"/>
        <w:right w:val="none" w:sz="0" w:space="0" w:color="auto"/>
      </w:divBdr>
    </w:div>
    <w:div w:id="13457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inep.gov.br/web/guest/dados/seda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81D5E-FCBE-4A91-968D-C9488345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1953</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Castro de Oliveira Domingues</dc:creator>
  <cp:keywords/>
  <dc:description/>
  <cp:lastModifiedBy>Usuário do Windows</cp:lastModifiedBy>
  <cp:revision>2</cp:revision>
  <dcterms:created xsi:type="dcterms:W3CDTF">2020-08-27T15:36:00Z</dcterms:created>
  <dcterms:modified xsi:type="dcterms:W3CDTF">2020-08-27T15:36:00Z</dcterms:modified>
</cp:coreProperties>
</file>