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1125D" w14:textId="77777777" w:rsidR="00CD0CE6" w:rsidRDefault="00526B4A">
      <w:pPr>
        <w:spacing w:line="360" w:lineRule="auto"/>
        <w:jc w:val="right"/>
      </w:pPr>
      <w:bookmarkStart w:id="0" w:name="_GoBack"/>
      <w:bookmarkEnd w:id="0"/>
      <w:r>
        <w:rPr>
          <w:rFonts w:ascii="Calibri" w:hAnsi="Calibri"/>
          <w:sz w:val="22"/>
          <w:szCs w:val="22"/>
          <w:shd w:val="clear" w:color="auto" w:fill="FFFF00"/>
        </w:rPr>
        <w:t>Toruń</w:t>
      </w:r>
      <w:r>
        <w:rPr>
          <w:rFonts w:ascii="Calibri" w:hAnsi="Calibri"/>
          <w:sz w:val="22"/>
          <w:szCs w:val="22"/>
        </w:rPr>
        <w:t xml:space="preserve">, dnia </w:t>
      </w:r>
      <w:r>
        <w:rPr>
          <w:rFonts w:ascii="Calibri" w:hAnsi="Calibri"/>
          <w:sz w:val="22"/>
          <w:szCs w:val="22"/>
          <w:shd w:val="clear" w:color="auto" w:fill="FFFF00"/>
        </w:rPr>
        <w:t>20 stycznia 2020</w:t>
      </w:r>
      <w:r>
        <w:rPr>
          <w:rFonts w:ascii="Calibri" w:hAnsi="Calibri"/>
          <w:sz w:val="22"/>
          <w:szCs w:val="22"/>
        </w:rPr>
        <w:t xml:space="preserve"> roku</w:t>
      </w:r>
    </w:p>
    <w:p w14:paraId="29DA5F77" w14:textId="77777777" w:rsidR="00CD0CE6" w:rsidRDefault="00CD0CE6">
      <w:pPr>
        <w:rPr>
          <w:rFonts w:ascii="Calibri" w:hAnsi="Calibri"/>
          <w:sz w:val="22"/>
          <w:szCs w:val="22"/>
        </w:rPr>
      </w:pPr>
    </w:p>
    <w:p w14:paraId="398D1E5D" w14:textId="77777777" w:rsidR="00CD0CE6" w:rsidRDefault="00526B4A">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6"/>
          <w:szCs w:val="26"/>
        </w:rPr>
        <w:tab/>
      </w:r>
      <w:r>
        <w:rPr>
          <w:rFonts w:ascii="Calibri" w:hAnsi="Calibri"/>
          <w:b/>
          <w:sz w:val="22"/>
          <w:szCs w:val="22"/>
          <w:shd w:val="clear" w:color="auto" w:fill="FFFF00"/>
        </w:rPr>
        <w:t>Sąd Okręgowy w Toruniu</w:t>
      </w:r>
      <w:r>
        <w:rPr>
          <w:rFonts w:ascii="Calibri" w:hAnsi="Calibri"/>
          <w:b/>
          <w:sz w:val="22"/>
          <w:szCs w:val="22"/>
        </w:rPr>
        <w:br/>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shd w:val="clear" w:color="auto" w:fill="FFFF00"/>
        </w:rPr>
        <w:t>I Wydział Cywilny</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sz w:val="22"/>
          <w:szCs w:val="22"/>
          <w:shd w:val="clear" w:color="auto" w:fill="FFFF00"/>
        </w:rPr>
        <w:t>ul. Piekary 51</w:t>
      </w:r>
      <w:r>
        <w:rPr>
          <w:rFonts w:ascii="Calibri" w:hAnsi="Calibri"/>
          <w:sz w:val="22"/>
          <w:szCs w:val="22"/>
        </w:rPr>
        <w:br/>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shd w:val="clear" w:color="auto" w:fill="FFFF00"/>
        </w:rPr>
        <w:t>87 – 100 Toruń</w:t>
      </w:r>
    </w:p>
    <w:p w14:paraId="75D2B038" w14:textId="77777777" w:rsidR="00CD0CE6" w:rsidRDefault="00CD0CE6">
      <w:pPr>
        <w:rPr>
          <w:rFonts w:ascii="Calibri" w:hAnsi="Calibri" w:cs="Tahoma"/>
          <w:b/>
          <w:sz w:val="22"/>
          <w:szCs w:val="22"/>
        </w:rPr>
      </w:pPr>
    </w:p>
    <w:p w14:paraId="2EBF5DC3" w14:textId="77777777" w:rsidR="00CD0CE6" w:rsidRDefault="00CD0CE6">
      <w:pPr>
        <w:rPr>
          <w:rFonts w:ascii="Calibri" w:hAnsi="Calibri" w:cs="Tahoma"/>
          <w:b/>
          <w:sz w:val="22"/>
          <w:szCs w:val="22"/>
        </w:rPr>
      </w:pPr>
    </w:p>
    <w:p w14:paraId="7E7CE0C5" w14:textId="77777777" w:rsidR="00CD0CE6" w:rsidRDefault="00526B4A">
      <w:r>
        <w:rPr>
          <w:rFonts w:ascii="Calibri" w:hAnsi="Calibri" w:cs="Tahoma"/>
          <w:b/>
          <w:sz w:val="22"/>
          <w:szCs w:val="22"/>
        </w:rPr>
        <w:t>Powód:</w:t>
      </w:r>
      <w:r>
        <w:rPr>
          <w:rFonts w:ascii="Calibri" w:hAnsi="Calibri" w:cs="Tahoma"/>
          <w:b/>
          <w:sz w:val="22"/>
          <w:szCs w:val="22"/>
        </w:rPr>
        <w:tab/>
      </w:r>
      <w:r>
        <w:rPr>
          <w:rFonts w:ascii="Calibri" w:hAnsi="Calibri" w:cs="Tahoma"/>
          <w:b/>
          <w:sz w:val="22"/>
          <w:szCs w:val="22"/>
        </w:rPr>
        <w:tab/>
      </w:r>
      <w:r>
        <w:rPr>
          <w:rFonts w:ascii="Calibri" w:hAnsi="Calibri" w:cs="Arial"/>
          <w:b/>
          <w:sz w:val="22"/>
          <w:szCs w:val="20"/>
          <w:shd w:val="clear" w:color="auto" w:fill="FFFF00"/>
        </w:rPr>
        <w:t>Jan Nowak</w:t>
      </w:r>
    </w:p>
    <w:p w14:paraId="17C7EB17" w14:textId="77777777" w:rsidR="00CD0CE6" w:rsidRDefault="00526B4A">
      <w:r>
        <w:rPr>
          <w:rFonts w:ascii="Calibri" w:hAnsi="Calibri" w:cs="Arial"/>
          <w:b/>
          <w:sz w:val="22"/>
          <w:szCs w:val="20"/>
        </w:rPr>
        <w:tab/>
      </w:r>
      <w:r>
        <w:rPr>
          <w:rFonts w:ascii="Calibri" w:hAnsi="Calibri" w:cs="Arial"/>
          <w:b/>
          <w:sz w:val="22"/>
          <w:szCs w:val="20"/>
        </w:rPr>
        <w:tab/>
      </w:r>
      <w:r>
        <w:rPr>
          <w:rFonts w:ascii="Calibri" w:hAnsi="Calibri" w:cs="Arial"/>
          <w:b/>
          <w:sz w:val="22"/>
          <w:szCs w:val="20"/>
          <w:shd w:val="clear" w:color="auto" w:fill="FFFF00"/>
        </w:rPr>
        <w:t>ul. Toruńska 1</w:t>
      </w:r>
    </w:p>
    <w:p w14:paraId="6B929F34" w14:textId="77777777" w:rsidR="00CD0CE6" w:rsidRDefault="00526B4A">
      <w:r>
        <w:rPr>
          <w:rFonts w:ascii="Calibri" w:hAnsi="Calibri" w:cs="Arial"/>
          <w:b/>
          <w:sz w:val="22"/>
          <w:szCs w:val="20"/>
        </w:rPr>
        <w:tab/>
      </w:r>
      <w:r>
        <w:rPr>
          <w:rFonts w:ascii="Calibri" w:hAnsi="Calibri" w:cs="Arial"/>
          <w:b/>
          <w:sz w:val="22"/>
          <w:szCs w:val="20"/>
        </w:rPr>
        <w:tab/>
      </w:r>
      <w:r>
        <w:rPr>
          <w:rFonts w:ascii="Calibri" w:hAnsi="Calibri" w:cs="Arial"/>
          <w:b/>
          <w:sz w:val="22"/>
          <w:szCs w:val="20"/>
          <w:shd w:val="clear" w:color="auto" w:fill="FFFF00"/>
        </w:rPr>
        <w:t>87 – 100 Toruń</w:t>
      </w:r>
    </w:p>
    <w:p w14:paraId="72F28386" w14:textId="77777777" w:rsidR="00CD0CE6" w:rsidRDefault="00CD0CE6">
      <w:pPr>
        <w:spacing w:line="360" w:lineRule="auto"/>
        <w:jc w:val="both"/>
        <w:rPr>
          <w:rFonts w:ascii="Calibri" w:hAnsi="Calibri"/>
          <w:sz w:val="22"/>
          <w:szCs w:val="22"/>
        </w:rPr>
      </w:pPr>
    </w:p>
    <w:p w14:paraId="5CACB2C6" w14:textId="77777777" w:rsidR="00CD0CE6" w:rsidRDefault="00526B4A">
      <w:pPr>
        <w:widowControl w:val="0"/>
        <w:autoSpaceDE w:val="0"/>
      </w:pPr>
      <w:r>
        <w:rPr>
          <w:rFonts w:ascii="Calibri" w:hAnsi="Calibri" w:cs="Arial"/>
          <w:b/>
          <w:sz w:val="22"/>
          <w:szCs w:val="20"/>
        </w:rPr>
        <w:t>Pozwany:</w:t>
      </w:r>
      <w:r>
        <w:rPr>
          <w:rFonts w:ascii="Calibri" w:hAnsi="Calibri" w:cs="Arial"/>
          <w:b/>
          <w:sz w:val="22"/>
          <w:szCs w:val="20"/>
        </w:rPr>
        <w:tab/>
      </w:r>
      <w:r>
        <w:rPr>
          <w:rFonts w:ascii="Calibri" w:hAnsi="Calibri" w:cs="Arial"/>
          <w:b/>
          <w:sz w:val="22"/>
          <w:szCs w:val="20"/>
          <w:shd w:val="clear" w:color="auto" w:fill="FFFF00"/>
        </w:rPr>
        <w:t>Janina Nowak</w:t>
      </w:r>
    </w:p>
    <w:p w14:paraId="685342F3" w14:textId="77777777" w:rsidR="00CD0CE6" w:rsidRDefault="00526B4A">
      <w:pPr>
        <w:widowControl w:val="0"/>
        <w:autoSpaceDE w:val="0"/>
      </w:pPr>
      <w:r>
        <w:rPr>
          <w:rFonts w:ascii="Calibri" w:hAnsi="Calibri" w:cs="Arial"/>
          <w:b/>
          <w:sz w:val="22"/>
          <w:szCs w:val="20"/>
        </w:rPr>
        <w:tab/>
      </w:r>
      <w:r>
        <w:rPr>
          <w:rFonts w:ascii="Calibri" w:hAnsi="Calibri" w:cs="Arial"/>
          <w:b/>
          <w:sz w:val="22"/>
          <w:szCs w:val="20"/>
        </w:rPr>
        <w:tab/>
      </w:r>
      <w:r>
        <w:rPr>
          <w:rFonts w:ascii="Calibri" w:hAnsi="Calibri" w:cs="Arial"/>
          <w:b/>
          <w:sz w:val="22"/>
          <w:szCs w:val="20"/>
          <w:shd w:val="clear" w:color="auto" w:fill="FFFF00"/>
        </w:rPr>
        <w:t>ul. Toruńska 1</w:t>
      </w:r>
    </w:p>
    <w:p w14:paraId="5D3C4921" w14:textId="77777777" w:rsidR="00CD0CE6" w:rsidRDefault="00526B4A">
      <w:pPr>
        <w:widowControl w:val="0"/>
        <w:autoSpaceDE w:val="0"/>
      </w:pPr>
      <w:r>
        <w:rPr>
          <w:rFonts w:ascii="Calibri" w:hAnsi="Calibri" w:cs="Arial"/>
          <w:b/>
          <w:sz w:val="22"/>
          <w:szCs w:val="20"/>
        </w:rPr>
        <w:tab/>
      </w:r>
      <w:r>
        <w:rPr>
          <w:rFonts w:ascii="Calibri" w:hAnsi="Calibri" w:cs="Arial"/>
          <w:b/>
          <w:sz w:val="22"/>
          <w:szCs w:val="20"/>
        </w:rPr>
        <w:tab/>
      </w:r>
      <w:r>
        <w:rPr>
          <w:rFonts w:ascii="Calibri" w:hAnsi="Calibri" w:cs="Arial"/>
          <w:b/>
          <w:sz w:val="22"/>
          <w:szCs w:val="20"/>
          <w:shd w:val="clear" w:color="auto" w:fill="FFFF00"/>
        </w:rPr>
        <w:t xml:space="preserve">87 – </w:t>
      </w:r>
      <w:r>
        <w:rPr>
          <w:rFonts w:ascii="Calibri" w:hAnsi="Calibri" w:cs="Arial"/>
          <w:b/>
          <w:sz w:val="22"/>
          <w:szCs w:val="20"/>
          <w:shd w:val="clear" w:color="auto" w:fill="FFFF00"/>
        </w:rPr>
        <w:t>100 Toruń</w:t>
      </w:r>
    </w:p>
    <w:p w14:paraId="6CCE638F" w14:textId="77777777" w:rsidR="00CD0CE6" w:rsidRDefault="00CD0CE6">
      <w:pPr>
        <w:spacing w:line="360" w:lineRule="auto"/>
        <w:rPr>
          <w:rFonts w:ascii="Verdana" w:hAnsi="Verdana"/>
          <w:b/>
          <w:sz w:val="22"/>
          <w:szCs w:val="22"/>
        </w:rPr>
      </w:pPr>
    </w:p>
    <w:p w14:paraId="44CE465B" w14:textId="77777777" w:rsidR="00CD0CE6" w:rsidRDefault="00526B4A">
      <w:pPr>
        <w:tabs>
          <w:tab w:val="left" w:pos="4008"/>
        </w:tabs>
        <w:spacing w:line="360" w:lineRule="auto"/>
      </w:pPr>
      <w:r>
        <w:rPr>
          <w:rFonts w:ascii="Calibri" w:hAnsi="Calibri"/>
          <w:b/>
          <w:sz w:val="22"/>
          <w:szCs w:val="22"/>
        </w:rPr>
        <w:t xml:space="preserve">Sygn. akt Sądu I instancji: </w:t>
      </w:r>
      <w:r>
        <w:rPr>
          <w:rFonts w:ascii="Calibri" w:hAnsi="Calibri"/>
          <w:b/>
          <w:sz w:val="22"/>
          <w:szCs w:val="22"/>
          <w:shd w:val="clear" w:color="auto" w:fill="FFFF00"/>
        </w:rPr>
        <w:t>III RC 123/18</w:t>
      </w:r>
    </w:p>
    <w:p w14:paraId="386DEFFE" w14:textId="77777777" w:rsidR="00CD0CE6" w:rsidRDefault="00526B4A">
      <w:pPr>
        <w:tabs>
          <w:tab w:val="left" w:pos="4008"/>
        </w:tabs>
        <w:spacing w:line="360" w:lineRule="auto"/>
      </w:pPr>
      <w:r>
        <w:rPr>
          <w:rFonts w:ascii="Calibri" w:hAnsi="Calibri"/>
          <w:b/>
          <w:sz w:val="22"/>
          <w:szCs w:val="22"/>
        </w:rPr>
        <w:t xml:space="preserve">Sygn. akt Sądu II instancji: </w:t>
      </w:r>
      <w:r>
        <w:rPr>
          <w:rFonts w:ascii="Calibri" w:hAnsi="Calibri"/>
          <w:b/>
          <w:sz w:val="22"/>
          <w:szCs w:val="22"/>
          <w:shd w:val="clear" w:color="auto" w:fill="FFFF00"/>
        </w:rPr>
        <w:t>I C 123/19</w:t>
      </w:r>
    </w:p>
    <w:p w14:paraId="6C9CC26E" w14:textId="77777777" w:rsidR="00CD0CE6" w:rsidRDefault="00CD0CE6">
      <w:pPr>
        <w:jc w:val="center"/>
        <w:rPr>
          <w:rFonts w:ascii="Calibri" w:hAnsi="Calibri" w:cs="Tahoma"/>
          <w:b/>
          <w:sz w:val="22"/>
          <w:szCs w:val="22"/>
        </w:rPr>
      </w:pPr>
    </w:p>
    <w:p w14:paraId="54DBEA06" w14:textId="77777777" w:rsidR="00CD0CE6" w:rsidRDefault="00526B4A">
      <w:pPr>
        <w:jc w:val="center"/>
      </w:pPr>
      <w:commentRangeStart w:id="1"/>
      <w:r>
        <w:rPr>
          <w:rFonts w:ascii="Calibri" w:hAnsi="Calibri" w:cs="Tahoma"/>
          <w:b/>
          <w:sz w:val="22"/>
          <w:szCs w:val="22"/>
        </w:rPr>
        <w:t>WNIOSEK O N</w:t>
      </w:r>
      <w:r>
        <w:rPr>
          <w:rFonts w:ascii="Calibri" w:hAnsi="Calibri" w:cs="Tahoma"/>
          <w:b/>
          <w:sz w:val="22"/>
          <w:szCs w:val="22"/>
        </w:rPr>
        <w:t>ADANIE KLAUZULI WYKONALNOŚCI</w:t>
      </w:r>
      <w:commentRangeEnd w:id="1"/>
      <w:r>
        <w:rPr>
          <w:rStyle w:val="Odwoaniedokomentarza"/>
        </w:rPr>
        <w:commentReference w:id="1"/>
      </w:r>
    </w:p>
    <w:p w14:paraId="13ADCFF5" w14:textId="77777777" w:rsidR="00CD0CE6" w:rsidRDefault="00CD0CE6">
      <w:pPr>
        <w:spacing w:line="360" w:lineRule="auto"/>
        <w:ind w:firstLine="708"/>
        <w:jc w:val="both"/>
        <w:rPr>
          <w:rFonts w:ascii="Calibri" w:hAnsi="Calibri" w:cs="Tahoma"/>
          <w:sz w:val="22"/>
          <w:szCs w:val="22"/>
        </w:rPr>
      </w:pPr>
    </w:p>
    <w:p w14:paraId="0E0FB370" w14:textId="77777777" w:rsidR="00CD0CE6" w:rsidRDefault="00526B4A">
      <w:pPr>
        <w:spacing w:line="360" w:lineRule="auto"/>
        <w:ind w:firstLine="708"/>
        <w:jc w:val="both"/>
      </w:pPr>
      <w:r>
        <w:rPr>
          <w:rFonts w:ascii="Calibri" w:hAnsi="Calibri"/>
          <w:sz w:val="22"/>
          <w:szCs w:val="22"/>
        </w:rPr>
        <w:t>Ja niżej podpisana Janina Nowak na</w:t>
      </w:r>
      <w:r>
        <w:rPr>
          <w:rFonts w:ascii="Calibri" w:hAnsi="Calibri" w:cs="Arial"/>
          <w:sz w:val="22"/>
          <w:szCs w:val="20"/>
        </w:rPr>
        <w:t xml:space="preserve"> zasadzie art. </w:t>
      </w:r>
      <w:commentRangeStart w:id="2"/>
      <w:r>
        <w:rPr>
          <w:rFonts w:ascii="Calibri" w:hAnsi="Calibri" w:cs="Arial"/>
          <w:sz w:val="22"/>
          <w:szCs w:val="20"/>
        </w:rPr>
        <w:t>781 § 1 k.p.c.</w:t>
      </w:r>
      <w:commentRangeEnd w:id="2"/>
      <w:r>
        <w:rPr>
          <w:rStyle w:val="Odwoaniedokomentarza"/>
        </w:rPr>
        <w:commentReference w:id="2"/>
      </w:r>
      <w:r>
        <w:rPr>
          <w:rFonts w:ascii="Calibri" w:hAnsi="Calibri" w:cs="Arial"/>
          <w:sz w:val="22"/>
          <w:szCs w:val="20"/>
        </w:rPr>
        <w:t xml:space="preserve">, </w:t>
      </w:r>
      <w:r>
        <w:rPr>
          <w:rFonts w:ascii="Calibri" w:hAnsi="Calibri"/>
          <w:sz w:val="22"/>
          <w:szCs w:val="22"/>
        </w:rPr>
        <w:t>wnoszę o:</w:t>
      </w:r>
    </w:p>
    <w:p w14:paraId="0B638377" w14:textId="77777777" w:rsidR="00CD0CE6" w:rsidRDefault="00526B4A">
      <w:pPr>
        <w:numPr>
          <w:ilvl w:val="0"/>
          <w:numId w:val="1"/>
        </w:numPr>
        <w:spacing w:line="360" w:lineRule="auto"/>
        <w:jc w:val="both"/>
      </w:pPr>
      <w:r>
        <w:rPr>
          <w:rFonts w:ascii="Calibri" w:hAnsi="Calibri"/>
          <w:sz w:val="22"/>
          <w:szCs w:val="22"/>
        </w:rPr>
        <w:t xml:space="preserve">sporządzenie odpisu wyroku, wydanego przez  </w:t>
      </w:r>
      <w:r>
        <w:rPr>
          <w:rFonts w:ascii="Calibri" w:hAnsi="Calibri"/>
          <w:sz w:val="22"/>
          <w:szCs w:val="22"/>
          <w:shd w:val="clear" w:color="auto" w:fill="FFFF00"/>
        </w:rPr>
        <w:t>Sąd Rejonowy w Toruniu III Wydział Rodzinny i Nieletnich</w:t>
      </w:r>
      <w:r>
        <w:rPr>
          <w:rFonts w:ascii="Calibri" w:hAnsi="Calibri"/>
          <w:sz w:val="22"/>
          <w:szCs w:val="22"/>
        </w:rPr>
        <w:t xml:space="preserve"> w dniu </w:t>
      </w:r>
      <w:r>
        <w:rPr>
          <w:rFonts w:ascii="Calibri" w:hAnsi="Calibri"/>
          <w:sz w:val="22"/>
          <w:szCs w:val="22"/>
          <w:shd w:val="clear" w:color="auto" w:fill="FFFF00"/>
        </w:rPr>
        <w:t>01 stycznia 2019</w:t>
      </w:r>
      <w:r>
        <w:rPr>
          <w:rFonts w:ascii="Calibri" w:hAnsi="Calibri"/>
          <w:sz w:val="22"/>
          <w:szCs w:val="22"/>
        </w:rPr>
        <w:t xml:space="preserve"> roku w sprawie o sygnaturze akt  </w:t>
      </w:r>
      <w:r>
        <w:rPr>
          <w:rFonts w:ascii="Calibri" w:hAnsi="Calibri"/>
          <w:sz w:val="22"/>
          <w:szCs w:val="22"/>
          <w:shd w:val="clear" w:color="auto" w:fill="FFFF00"/>
        </w:rPr>
        <w:t>III RC 123/18</w:t>
      </w:r>
      <w:r>
        <w:rPr>
          <w:rFonts w:ascii="Calibri" w:hAnsi="Calibri"/>
          <w:sz w:val="22"/>
          <w:szCs w:val="22"/>
        </w:rPr>
        <w:t xml:space="preserve"> i doręczenie tegoż </w:t>
      </w:r>
      <w:r>
        <w:rPr>
          <w:rFonts w:ascii="Calibri" w:hAnsi="Calibri"/>
          <w:sz w:val="22"/>
          <w:szCs w:val="22"/>
        </w:rPr>
        <w:t xml:space="preserve">odpisu na mój adres wraz z </w:t>
      </w:r>
      <w:r>
        <w:rPr>
          <w:rFonts w:ascii="Calibri" w:hAnsi="Calibri"/>
          <w:b/>
          <w:sz w:val="22"/>
          <w:szCs w:val="22"/>
        </w:rPr>
        <w:t xml:space="preserve">klauzulą wykonalności </w:t>
      </w:r>
      <w:r>
        <w:rPr>
          <w:rFonts w:ascii="Calibri" w:hAnsi="Calibri"/>
          <w:bCs/>
          <w:sz w:val="22"/>
          <w:szCs w:val="22"/>
        </w:rPr>
        <w:t>co do tego punktu przedmiotowego wyroku, mocą którego Wysoki Sąd zasądził od powoda na rzecz pozwanej zwrot kosztów procesu,</w:t>
      </w:r>
    </w:p>
    <w:p w14:paraId="03B7336B" w14:textId="77777777" w:rsidR="00CD0CE6" w:rsidRDefault="00526B4A">
      <w:pPr>
        <w:numPr>
          <w:ilvl w:val="0"/>
          <w:numId w:val="1"/>
        </w:numPr>
        <w:spacing w:line="360" w:lineRule="auto"/>
        <w:jc w:val="both"/>
      </w:pPr>
      <w:r>
        <w:rPr>
          <w:rFonts w:ascii="Calibri" w:hAnsi="Calibri"/>
          <w:sz w:val="22"/>
          <w:szCs w:val="22"/>
        </w:rPr>
        <w:t xml:space="preserve">sporządzenie odpisu wyroku, wydanego przez  </w:t>
      </w:r>
      <w:r>
        <w:rPr>
          <w:rFonts w:ascii="Calibri" w:hAnsi="Calibri"/>
          <w:sz w:val="22"/>
          <w:szCs w:val="22"/>
          <w:shd w:val="clear" w:color="auto" w:fill="FFFF00"/>
        </w:rPr>
        <w:t>Sąd Okręgowy w Toruniu I Wydział Cywil</w:t>
      </w:r>
      <w:r>
        <w:rPr>
          <w:rFonts w:ascii="Calibri" w:hAnsi="Calibri"/>
          <w:sz w:val="22"/>
          <w:szCs w:val="22"/>
          <w:shd w:val="clear" w:color="auto" w:fill="FFFF00"/>
        </w:rPr>
        <w:t>ny Rodzinny</w:t>
      </w:r>
      <w:r>
        <w:rPr>
          <w:rFonts w:ascii="Calibri" w:hAnsi="Calibri"/>
          <w:sz w:val="22"/>
          <w:szCs w:val="22"/>
        </w:rPr>
        <w:t xml:space="preserve"> w dniu </w:t>
      </w:r>
      <w:r>
        <w:rPr>
          <w:rFonts w:ascii="Calibri" w:hAnsi="Calibri"/>
          <w:sz w:val="22"/>
          <w:szCs w:val="22"/>
          <w:shd w:val="clear" w:color="auto" w:fill="FFFF00"/>
        </w:rPr>
        <w:t>01 stycznia 2020 roku</w:t>
      </w:r>
      <w:r>
        <w:rPr>
          <w:rFonts w:ascii="Calibri" w:hAnsi="Calibri"/>
          <w:sz w:val="22"/>
          <w:szCs w:val="22"/>
        </w:rPr>
        <w:t xml:space="preserve"> w sprawie o sygnaturze akt  </w:t>
      </w:r>
      <w:r>
        <w:rPr>
          <w:rFonts w:ascii="Calibri" w:hAnsi="Calibri"/>
          <w:sz w:val="22"/>
          <w:szCs w:val="22"/>
          <w:shd w:val="clear" w:color="auto" w:fill="FFFF00"/>
        </w:rPr>
        <w:t>I C 123/19</w:t>
      </w:r>
      <w:r>
        <w:rPr>
          <w:rFonts w:ascii="Calibri" w:hAnsi="Calibri"/>
          <w:sz w:val="22"/>
          <w:szCs w:val="22"/>
        </w:rPr>
        <w:t xml:space="preserve">  i doręczenie tegoż odpisu na mój adres wraz z </w:t>
      </w:r>
      <w:r>
        <w:rPr>
          <w:rFonts w:ascii="Calibri" w:hAnsi="Calibri"/>
          <w:b/>
          <w:sz w:val="22"/>
          <w:szCs w:val="22"/>
        </w:rPr>
        <w:t xml:space="preserve">klauzulą wykonalności </w:t>
      </w:r>
      <w:r>
        <w:rPr>
          <w:rFonts w:ascii="Calibri" w:hAnsi="Calibri"/>
          <w:bCs/>
          <w:sz w:val="22"/>
          <w:szCs w:val="22"/>
        </w:rPr>
        <w:t>co do tego punktu przedmiotowego wyroku, mocą którego Wysoki Sąd zasądził od powoda na rzecz pozwanej zwrot</w:t>
      </w:r>
      <w:r>
        <w:rPr>
          <w:rFonts w:ascii="Calibri" w:hAnsi="Calibri"/>
          <w:bCs/>
          <w:sz w:val="22"/>
          <w:szCs w:val="22"/>
        </w:rPr>
        <w:t xml:space="preserve"> kosztów procesu,</w:t>
      </w:r>
    </w:p>
    <w:p w14:paraId="263C326A" w14:textId="77777777" w:rsidR="00CD0CE6" w:rsidRDefault="00526B4A">
      <w:pPr>
        <w:numPr>
          <w:ilvl w:val="0"/>
          <w:numId w:val="1"/>
        </w:numPr>
        <w:spacing w:line="360" w:lineRule="auto"/>
        <w:jc w:val="both"/>
        <w:rPr>
          <w:rFonts w:ascii="Calibri" w:hAnsi="Calibri"/>
          <w:sz w:val="22"/>
          <w:szCs w:val="22"/>
        </w:rPr>
      </w:pPr>
      <w:r>
        <w:rPr>
          <w:rFonts w:ascii="Calibri" w:hAnsi="Calibri"/>
          <w:sz w:val="22"/>
          <w:szCs w:val="22"/>
        </w:rPr>
        <w:t>zasądzenie od powoda na rzecz pozwanej kosztów postępowania klauzulowego, według norm prawem przepisanych.</w:t>
      </w:r>
    </w:p>
    <w:p w14:paraId="6E66DC3B" w14:textId="77777777" w:rsidR="00CD0CE6" w:rsidRDefault="00CD0CE6">
      <w:pPr>
        <w:spacing w:line="360" w:lineRule="auto"/>
        <w:jc w:val="both"/>
        <w:rPr>
          <w:rFonts w:ascii="Calibri" w:hAnsi="Calibri"/>
          <w:sz w:val="22"/>
          <w:szCs w:val="22"/>
        </w:rPr>
      </w:pPr>
    </w:p>
    <w:p w14:paraId="7B1BA776" w14:textId="77777777" w:rsidR="00CD0CE6" w:rsidRDefault="00526B4A">
      <w:pPr>
        <w:spacing w:line="360" w:lineRule="auto"/>
        <w:ind w:left="7080"/>
        <w:jc w:val="both"/>
        <w:rPr>
          <w:rFonts w:ascii="Calibri" w:hAnsi="Calibri" w:cs="Tahoma"/>
          <w:sz w:val="22"/>
          <w:szCs w:val="22"/>
        </w:rPr>
      </w:pPr>
      <w:r>
        <w:rPr>
          <w:rFonts w:ascii="Calibri" w:hAnsi="Calibri" w:cs="Tahoma"/>
          <w:sz w:val="22"/>
          <w:szCs w:val="22"/>
        </w:rPr>
        <w:tab/>
        <w:t>Z poważaniem</w:t>
      </w:r>
    </w:p>
    <w:p w14:paraId="6EF44696" w14:textId="77777777" w:rsidR="00CD0CE6" w:rsidRDefault="00CD0CE6">
      <w:pPr>
        <w:spacing w:line="360" w:lineRule="auto"/>
        <w:jc w:val="both"/>
        <w:rPr>
          <w:rFonts w:ascii="Calibri" w:hAnsi="Calibri" w:cs="Calibri"/>
          <w:sz w:val="22"/>
          <w:szCs w:val="22"/>
        </w:rPr>
      </w:pPr>
    </w:p>
    <w:p w14:paraId="2C44D7E9" w14:textId="77777777" w:rsidR="00CD0CE6" w:rsidRDefault="00CD0CE6">
      <w:pPr>
        <w:spacing w:line="360" w:lineRule="auto"/>
        <w:jc w:val="both"/>
        <w:rPr>
          <w:rFonts w:ascii="Calibri" w:hAnsi="Calibri" w:cs="Calibri"/>
          <w:sz w:val="22"/>
          <w:szCs w:val="22"/>
        </w:rPr>
      </w:pPr>
    </w:p>
    <w:p w14:paraId="681BE361" w14:textId="77777777" w:rsidR="00CD0CE6" w:rsidRDefault="00526B4A">
      <w:pPr>
        <w:rPr>
          <w:rFonts w:ascii="Calibri" w:hAnsi="Calibri" w:cs="Calibri"/>
          <w:sz w:val="22"/>
          <w:szCs w:val="22"/>
        </w:rPr>
      </w:pPr>
      <w:r>
        <w:rPr>
          <w:rFonts w:ascii="Calibri" w:hAnsi="Calibri" w:cs="Calibri"/>
          <w:sz w:val="22"/>
          <w:szCs w:val="22"/>
        </w:rPr>
        <w:t>Załącznik:</w:t>
      </w:r>
    </w:p>
    <w:p w14:paraId="10EEE2FF" w14:textId="77777777" w:rsidR="00CD0CE6" w:rsidRDefault="00526B4A">
      <w:r>
        <w:rPr>
          <w:rFonts w:ascii="Calibri" w:hAnsi="Calibri" w:cs="Calibri"/>
          <w:sz w:val="22"/>
          <w:szCs w:val="22"/>
        </w:rPr>
        <w:t xml:space="preserve">1. potwierdzenie dokonania </w:t>
      </w:r>
      <w:commentRangeStart w:id="3"/>
      <w:r>
        <w:rPr>
          <w:rFonts w:ascii="Calibri" w:hAnsi="Calibri" w:cs="Calibri"/>
          <w:sz w:val="22"/>
          <w:szCs w:val="22"/>
        </w:rPr>
        <w:t>opłaty</w:t>
      </w:r>
      <w:commentRangeEnd w:id="3"/>
      <w:r>
        <w:rPr>
          <w:rStyle w:val="Odwoaniedokomentarza"/>
        </w:rPr>
        <w:commentReference w:id="3"/>
      </w:r>
      <w:r>
        <w:rPr>
          <w:rFonts w:ascii="Calibri" w:hAnsi="Calibri" w:cs="Calibri"/>
          <w:sz w:val="22"/>
          <w:szCs w:val="22"/>
        </w:rPr>
        <w:t xml:space="preserve"> kancelaryjnej</w:t>
      </w:r>
    </w:p>
    <w:sectPr w:rsidR="00CD0CE6">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eusz Zaborowski" w:date="2020-01-23T12:01:00Z" w:initials="Mateusz Z">
    <w:p w14:paraId="3787138C" w14:textId="77777777" w:rsidR="00CD0CE6" w:rsidRDefault="00526B4A">
      <w:pPr>
        <w:pStyle w:val="Tekstkomentarza"/>
      </w:pPr>
      <w:r>
        <w:rPr>
          <w:rStyle w:val="Odwoaniedokomentarza"/>
        </w:rPr>
        <w:annotationRef/>
      </w:r>
      <w:r>
        <w:t xml:space="preserve">Wniosek przygotowany w oparciu o założenie, że dotyczy on sprawy o uchylenie obowiązku alimentacyjnego z powództwa Jana Nowaka przeciwko Janinie Nowak. </w:t>
      </w:r>
      <w:r>
        <w:t>Janina Nowak wygrała sprawę w pierwszej jak i drugiej instancji, a wobec tego sąd, tak pierwszej jak i drugiej instancji zasądził na jej rzecz od Jana Nowaka zwrot kosztów postępowania. Jan Nowak nie zapłacił dobrowolnie kosztów procesu na rzecz Janiny Now</w:t>
      </w:r>
      <w:r>
        <w:t>ak, dlatego Janina Nowak chce wyegzekwować te koszty w drodze postępowania egzekucyjnego – aby jednak mogła wszcząć takie postępowanie orzeczeniom sądów co do kosztów, tak pierwszej jak i drugiej instancji muszą być nadane klauzule wykonalności.</w:t>
      </w:r>
    </w:p>
  </w:comment>
  <w:comment w:id="2" w:author="Mateusz Zaborowski" w:date="2020-01-23T11:57:00Z" w:initials="Mateusz Z">
    <w:p w14:paraId="5405C391" w14:textId="77777777" w:rsidR="00CD0CE6" w:rsidRDefault="00526B4A">
      <w:pPr>
        <w:pStyle w:val="Tekstkomentarza"/>
      </w:pPr>
      <w:r>
        <w:rPr>
          <w:rStyle w:val="Odwoaniedokomentarza"/>
        </w:rPr>
        <w:annotationRef/>
      </w:r>
      <w:r>
        <w:t xml:space="preserve">Ten wniosek jest trudniejszy, bo oparty o założenie, że akta są w sądzie drugiej instancji – warto zaznaczyć, że do momentu kiedy akta sprawy są w sądzie drugiej instancji, </w:t>
      </w:r>
      <w:r>
        <w:t>to sąd drugiej instancji nadaje klauzulę wykonalności na orzeczenie sądu pierwszej i drugiej instancji i dlatego do tego sądu kieruje się wniosek klauzulowy. Warte uwagi i odnotowania w formularzu: żeby uzyskać informację, czy akta sprawy są w sądzie drugi</w:t>
      </w:r>
      <w:r>
        <w:t xml:space="preserve">ej instancji, trzeba zadzwonić do biura obsługi interesanta tego sądu i stamtąd powziąć informację, czy akta jeszcze są w sądzie drugiej instancji, czy już zostały przekazane do sądu pierwszej instancji. </w:t>
      </w:r>
    </w:p>
    <w:p w14:paraId="7C2C661E" w14:textId="77777777" w:rsidR="00CD0CE6" w:rsidRDefault="00CD0CE6">
      <w:pPr>
        <w:pStyle w:val="Tekstkomentarza"/>
      </w:pPr>
    </w:p>
    <w:p w14:paraId="4E5681F0" w14:textId="77777777" w:rsidR="00CD0CE6" w:rsidRDefault="00526B4A">
      <w:pPr>
        <w:pStyle w:val="Tekstkomentarza"/>
      </w:pPr>
      <w:r>
        <w:t>Warto pomyśleć o tym, czy nie wdrożyć formuły „if”</w:t>
      </w:r>
      <w:r>
        <w:t xml:space="preserve"> na wypadek, gdyby akta sądu wróciły do sądu pierwszej instancji. Gdyby zdarzyło się tak, że akta wróciły, jedyna zmiana wniosku polegałaby na tym, że wniosek byłby kierowany do sądu pierwszej instancji zamiast do drugiej i odpadłaby konieczność przywoływa</w:t>
      </w:r>
      <w:r>
        <w:t>nia przepisu 781 § 1 k.p.c.</w:t>
      </w:r>
    </w:p>
  </w:comment>
  <w:comment w:id="3" w:author="Mateusz Zaborowski" w:date="2020-01-23T12:22:00Z" w:initials="Mateusz Z">
    <w:p w14:paraId="67C3A389" w14:textId="77777777" w:rsidR="00CD0CE6" w:rsidRDefault="00526B4A">
      <w:pPr>
        <w:pStyle w:val="Tekstkomentarza"/>
      </w:pPr>
      <w:r>
        <w:rPr>
          <w:rStyle w:val="Odwoaniedokomentarza"/>
        </w:rPr>
        <w:annotationRef/>
      </w:r>
      <w:r>
        <w:t xml:space="preserve">Miała być formuła „if” ale z racji tego, że wniosek kierowany jest </w:t>
      </w:r>
      <w:r>
        <w:t>przez stronę, która nie wszczęła postępowania (pozwaną) opłata obowiązuje w kwocie 20 złotych (art. 77a uksc) – konieczne do odnotowania w formularzu</w:t>
      </w:r>
    </w:p>
    <w:p w14:paraId="5765A652" w14:textId="77777777" w:rsidR="00CD0CE6" w:rsidRDefault="00526B4A">
      <w:pPr>
        <w:pStyle w:val="Tekstkomentarza"/>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7138C" w15:done="0"/>
  <w15:commentEx w15:paraId="4E5681F0" w15:done="0"/>
  <w15:commentEx w15:paraId="5765A6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7138C" w16cid:durableId="21D4098F"/>
  <w16cid:commentId w16cid:paraId="4E5681F0" w16cid:durableId="21D408AD"/>
  <w16cid:commentId w16cid:paraId="5765A652" w16cid:durableId="21D40E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CFE19" w14:textId="77777777" w:rsidR="00526B4A" w:rsidRDefault="00526B4A">
      <w:r>
        <w:separator/>
      </w:r>
    </w:p>
  </w:endnote>
  <w:endnote w:type="continuationSeparator" w:id="0">
    <w:p w14:paraId="5F1F3AE9" w14:textId="77777777" w:rsidR="00526B4A" w:rsidRDefault="0052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5AA5F" w14:textId="77777777" w:rsidR="00526B4A" w:rsidRDefault="00526B4A">
      <w:r>
        <w:rPr>
          <w:color w:val="000000"/>
        </w:rPr>
        <w:separator/>
      </w:r>
    </w:p>
  </w:footnote>
  <w:footnote w:type="continuationSeparator" w:id="0">
    <w:p w14:paraId="21387697" w14:textId="77777777" w:rsidR="00526B4A" w:rsidRDefault="00526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253C4"/>
    <w:multiLevelType w:val="multilevel"/>
    <w:tmpl w:val="8C806AF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D0CE6"/>
    <w:rsid w:val="00526B4A"/>
    <w:rsid w:val="00CD0CE6"/>
    <w:rsid w:val="00E56C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7EF5"/>
  <w15:docId w15:val="{E9687644-3560-4A46-8AF8-644BFB96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pl-P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spacing w:after="0" w:line="240" w:lineRule="auto"/>
    </w:pPr>
    <w:rPr>
      <w:rFonts w:ascii="Times New Roman" w:eastAsia="Times New Roman" w:hAnsi="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pPr>
      <w:ind w:left="720"/>
    </w:pPr>
  </w:style>
  <w:style w:type="character" w:styleId="Odwoaniedokomentarza">
    <w:name w:val="annotation reference"/>
    <w:basedOn w:val="Domylnaczcionkaakapitu"/>
    <w:rPr>
      <w:sz w:val="16"/>
      <w:szCs w:val="16"/>
    </w:rPr>
  </w:style>
  <w:style w:type="paragraph" w:styleId="Tekstkomentarza">
    <w:name w:val="annotation text"/>
    <w:basedOn w:val="Normalny"/>
    <w:rPr>
      <w:sz w:val="20"/>
      <w:szCs w:val="20"/>
    </w:rPr>
  </w:style>
  <w:style w:type="character" w:customStyle="1" w:styleId="TekstkomentarzaZnak">
    <w:name w:val="Tekst komentarza Znak"/>
    <w:basedOn w:val="Domylnaczcionkaakapitu"/>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rPr>
      <w:b/>
      <w:bCs/>
    </w:rPr>
  </w:style>
  <w:style w:type="character" w:customStyle="1" w:styleId="TematkomentarzaZnak">
    <w:name w:val="Temat komentarza Znak"/>
    <w:basedOn w:val="TekstkomentarzaZnak"/>
    <w:rPr>
      <w:rFonts w:ascii="Times New Roman" w:eastAsia="Times New Roman" w:hAnsi="Times New Roman" w:cs="Times New Roman"/>
      <w:b/>
      <w:bCs/>
      <w:sz w:val="20"/>
      <w:szCs w:val="20"/>
      <w:lang w:eastAsia="pl-PL"/>
    </w:rPr>
  </w:style>
  <w:style w:type="paragraph" w:styleId="Tekstdymka">
    <w:name w:val="Balloon Text"/>
    <w:basedOn w:val="Normalny"/>
    <w:rPr>
      <w:rFonts w:ascii="Segoe UI" w:hAnsi="Segoe UI" w:cs="Segoe UI"/>
      <w:sz w:val="18"/>
      <w:szCs w:val="18"/>
    </w:rPr>
  </w:style>
  <w:style w:type="character" w:customStyle="1" w:styleId="TekstdymkaZnak">
    <w:name w:val="Tekst dymka Znak"/>
    <w:basedOn w:val="Domylnaczcionkaakapitu"/>
    <w:rPr>
      <w:rFonts w:ascii="Segoe UI" w:eastAsia="Times New Roman" w:hAnsi="Segoe UI" w:cs="Segoe UI"/>
      <w:sz w:val="18"/>
      <w:szCs w:val="1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1161</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Zaborowski</dc:creator>
  <dc:description/>
  <cp:lastModifiedBy>Mateusz Zaborowski</cp:lastModifiedBy>
  <cp:revision>2</cp:revision>
  <dcterms:created xsi:type="dcterms:W3CDTF">2020-01-23T11:32:00Z</dcterms:created>
  <dcterms:modified xsi:type="dcterms:W3CDTF">2020-01-23T11:32:00Z</dcterms:modified>
</cp:coreProperties>
</file>