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8A" w:rsidRDefault="00001DEE"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NO.</w:t>
      </w:r>
    </w:p>
    <w:p w:rsidR="00001DEE" w:rsidRDefault="00476148"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Before discussing the ethical </w:t>
      </w:r>
      <w:r w:rsidR="004C170B">
        <w:rPr>
          <w:rFonts w:asciiTheme="majorHAnsi" w:eastAsia="Times New Roman" w:hAnsiTheme="majorHAnsi" w:cstheme="majorHAnsi"/>
          <w:sz w:val="24"/>
          <w:szCs w:val="24"/>
          <w:lang w:eastAsia="en-NZ"/>
        </w:rPr>
        <w:t>implications of stealing and plagiarising a competitor’s code, we need to first discuss the legal ramifications of such an action. The competitor’s code will be their copyright as it can be classified as an original literary work, and as such any attempt to copy and use their code will be a breach of copyright under the Copyright Act 1994 principle 30</w:t>
      </w:r>
      <w:r w:rsidR="00763E37">
        <w:rPr>
          <w:rFonts w:asciiTheme="majorHAnsi" w:eastAsia="Times New Roman" w:hAnsiTheme="majorHAnsi" w:cstheme="majorHAnsi"/>
          <w:sz w:val="24"/>
          <w:szCs w:val="24"/>
          <w:lang w:eastAsia="en-NZ"/>
        </w:rPr>
        <w:t>, and as such be illegal</w:t>
      </w:r>
      <w:r w:rsidR="004C170B">
        <w:rPr>
          <w:rFonts w:asciiTheme="majorHAnsi" w:eastAsia="Times New Roman" w:hAnsiTheme="majorHAnsi" w:cstheme="majorHAnsi"/>
          <w:sz w:val="24"/>
          <w:szCs w:val="24"/>
          <w:lang w:eastAsia="en-NZ"/>
        </w:rPr>
        <w:t xml:space="preserve">. Being a breach of copyright, the competitor will be able to </w:t>
      </w:r>
      <w:r w:rsidR="00763E37">
        <w:rPr>
          <w:rFonts w:asciiTheme="majorHAnsi" w:eastAsia="Times New Roman" w:hAnsiTheme="majorHAnsi" w:cstheme="majorHAnsi"/>
          <w:sz w:val="24"/>
          <w:szCs w:val="24"/>
          <w:lang w:eastAsia="en-NZ"/>
        </w:rPr>
        <w:t>bring</w:t>
      </w:r>
      <w:r w:rsidR="004C170B">
        <w:rPr>
          <w:rFonts w:asciiTheme="majorHAnsi" w:eastAsia="Times New Roman" w:hAnsiTheme="majorHAnsi" w:cstheme="majorHAnsi"/>
          <w:sz w:val="24"/>
          <w:szCs w:val="24"/>
          <w:lang w:eastAsia="en-NZ"/>
        </w:rPr>
        <w:t xml:space="preserve"> legal action against you and your company</w:t>
      </w:r>
      <w:r w:rsidR="00763E37">
        <w:rPr>
          <w:rFonts w:asciiTheme="majorHAnsi" w:eastAsia="Times New Roman" w:hAnsiTheme="majorHAnsi" w:cstheme="majorHAnsi"/>
          <w:sz w:val="24"/>
          <w:szCs w:val="24"/>
          <w:lang w:eastAsia="en-NZ"/>
        </w:rPr>
        <w:t xml:space="preserve">, permanently damaging both the reputation of your company, and yourself. Next, we will look at this from varying ethical perspectives, under the guise of utilitarian and duty ethics. From a utilitarian perspective it may seem that the immediate pleasure received from completing the two-year contract would make this stealing ethical, however the repercussion of legal action to yourself, your co-workers, and the company will most certainly outweigh any immediate gain, making it unethical. Next, from a </w:t>
      </w:r>
      <w:r w:rsidR="00035938">
        <w:rPr>
          <w:rFonts w:asciiTheme="majorHAnsi" w:eastAsia="Times New Roman" w:hAnsiTheme="majorHAnsi" w:cstheme="majorHAnsi"/>
          <w:sz w:val="24"/>
          <w:szCs w:val="24"/>
          <w:lang w:eastAsia="en-NZ"/>
        </w:rPr>
        <w:t>duty-based</w:t>
      </w:r>
      <w:r w:rsidR="00763E37">
        <w:rPr>
          <w:rFonts w:asciiTheme="majorHAnsi" w:eastAsia="Times New Roman" w:hAnsiTheme="majorHAnsi" w:cstheme="majorHAnsi"/>
          <w:sz w:val="24"/>
          <w:szCs w:val="24"/>
          <w:lang w:eastAsia="en-NZ"/>
        </w:rPr>
        <w:t xml:space="preserve"> ethics approach it may seem that you have a duty </w:t>
      </w:r>
      <w:r w:rsidR="00035938">
        <w:rPr>
          <w:rFonts w:asciiTheme="majorHAnsi" w:eastAsia="Times New Roman" w:hAnsiTheme="majorHAnsi" w:cstheme="majorHAnsi"/>
          <w:sz w:val="24"/>
          <w:szCs w:val="24"/>
          <w:lang w:eastAsia="en-NZ"/>
        </w:rPr>
        <w:t xml:space="preserve">to your co-workers and your manager to complete the project, as failing to do so will damage the reputation of the business and possibly cost your co-workers their jobs. However, you also have a duty to uphold the rule of law, and as such it is again clearly unethical for you to steal and use your competitors code. It can also be argued that the manager in this situation is acting unprofessionally, unethically, and potentially illegally, and it can be argued that you have an ethical duty to report him to authorities </w:t>
      </w:r>
      <w:r w:rsidR="00DA0B3D">
        <w:rPr>
          <w:rFonts w:asciiTheme="majorHAnsi" w:eastAsia="Times New Roman" w:hAnsiTheme="majorHAnsi" w:cstheme="majorHAnsi"/>
          <w:sz w:val="24"/>
          <w:szCs w:val="24"/>
          <w:lang w:eastAsia="en-NZ"/>
        </w:rPr>
        <w:t xml:space="preserve">for the possession of stolen property. </w:t>
      </w: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DA0B3D" w:rsidRDefault="00DA0B3D"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DA0B3D" w:rsidP="001B4BE4">
      <w:pPr>
        <w:spacing w:before="100" w:beforeAutospacing="1" w:after="100" w:afterAutospacing="1" w:line="240" w:lineRule="auto"/>
        <w:rPr>
          <w:rFonts w:asciiTheme="majorHAnsi" w:eastAsia="Times New Roman" w:hAnsiTheme="majorHAnsi" w:cstheme="majorHAnsi"/>
          <w:b/>
          <w:sz w:val="24"/>
          <w:szCs w:val="24"/>
          <w:lang w:eastAsia="en-NZ"/>
        </w:rPr>
      </w:pPr>
      <w:r w:rsidRPr="00B0792C">
        <w:rPr>
          <w:rFonts w:asciiTheme="majorHAnsi" w:eastAsia="Times New Roman" w:hAnsiTheme="majorHAnsi" w:cstheme="majorHAnsi"/>
          <w:b/>
          <w:sz w:val="24"/>
          <w:szCs w:val="24"/>
          <w:lang w:eastAsia="en-NZ"/>
        </w:rPr>
        <w:lastRenderedPageBreak/>
        <w:t xml:space="preserve">Māori cultural </w:t>
      </w:r>
      <w:r w:rsidR="00B0792C" w:rsidRPr="00B0792C">
        <w:rPr>
          <w:rFonts w:asciiTheme="majorHAnsi" w:eastAsia="Times New Roman" w:hAnsiTheme="majorHAnsi" w:cstheme="majorHAnsi"/>
          <w:b/>
          <w:sz w:val="24"/>
          <w:szCs w:val="24"/>
          <w:lang w:eastAsia="en-NZ"/>
        </w:rPr>
        <w:t>considerations regarding the storage of information about and/or presentation of information to people, particularly regarding names and places or life events</w:t>
      </w:r>
    </w:p>
    <w:p w:rsidR="00E83233" w:rsidRDefault="00BC4938"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When working as a professional</w:t>
      </w:r>
      <w:r w:rsidR="001A7BAF">
        <w:rPr>
          <w:rFonts w:asciiTheme="majorHAnsi" w:eastAsia="Times New Roman" w:hAnsiTheme="majorHAnsi" w:cstheme="majorHAnsi"/>
          <w:sz w:val="24"/>
          <w:szCs w:val="24"/>
          <w:lang w:eastAsia="en-NZ"/>
        </w:rPr>
        <w:t xml:space="preserve"> within New Zealand, or any country, it is important to consider and actively incorporate any and all cultural considerations that may be present within the local people. With regard to New Zealand and the M</w:t>
      </w:r>
      <w:r w:rsidR="001A7BAF" w:rsidRPr="001A7BAF">
        <w:rPr>
          <w:rFonts w:asciiTheme="majorHAnsi" w:eastAsia="Times New Roman" w:hAnsiTheme="majorHAnsi" w:cstheme="majorHAnsi"/>
          <w:sz w:val="24"/>
          <w:szCs w:val="24"/>
          <w:lang w:eastAsia="en-NZ"/>
        </w:rPr>
        <w:t>ā</w:t>
      </w:r>
      <w:r w:rsidR="001A7BAF">
        <w:rPr>
          <w:rFonts w:asciiTheme="majorHAnsi" w:eastAsia="Times New Roman" w:hAnsiTheme="majorHAnsi" w:cstheme="majorHAnsi"/>
          <w:sz w:val="24"/>
          <w:szCs w:val="24"/>
          <w:lang w:eastAsia="en-NZ"/>
        </w:rPr>
        <w:t xml:space="preserve">ori considerations regarding the collection, storage, and presentation of information, it is vital that </w:t>
      </w:r>
      <w:r w:rsidR="00E83233">
        <w:rPr>
          <w:rFonts w:asciiTheme="majorHAnsi" w:eastAsia="Times New Roman" w:hAnsiTheme="majorHAnsi" w:cstheme="majorHAnsi"/>
          <w:sz w:val="24"/>
          <w:szCs w:val="24"/>
          <w:lang w:eastAsia="en-NZ"/>
        </w:rPr>
        <w:t xml:space="preserve">whakapapa (genealogy of knowledge) and </w:t>
      </w:r>
      <w:proofErr w:type="spellStart"/>
      <w:r w:rsidR="00E83233" w:rsidRPr="001A7BAF">
        <w:rPr>
          <w:rFonts w:asciiTheme="majorHAnsi" w:eastAsia="Times New Roman" w:hAnsiTheme="majorHAnsi" w:cstheme="majorHAnsi"/>
          <w:sz w:val="24"/>
          <w:szCs w:val="24"/>
          <w:lang w:eastAsia="en-NZ"/>
        </w:rPr>
        <w:t>mātauranga</w:t>
      </w:r>
      <w:proofErr w:type="spellEnd"/>
      <w:r w:rsidR="00E83233" w:rsidRPr="001A7BAF">
        <w:rPr>
          <w:rFonts w:asciiTheme="majorHAnsi" w:eastAsia="Times New Roman" w:hAnsiTheme="majorHAnsi" w:cstheme="majorHAnsi"/>
          <w:sz w:val="24"/>
          <w:szCs w:val="24"/>
          <w:lang w:eastAsia="en-NZ"/>
        </w:rPr>
        <w:t xml:space="preserve"> Māori</w:t>
      </w:r>
      <w:r w:rsidR="00E83233">
        <w:rPr>
          <w:rFonts w:asciiTheme="majorHAnsi" w:eastAsia="Times New Roman" w:hAnsiTheme="majorHAnsi" w:cstheme="majorHAnsi"/>
          <w:sz w:val="24"/>
          <w:szCs w:val="24"/>
          <w:lang w:eastAsia="en-NZ"/>
        </w:rPr>
        <w:t xml:space="preserve"> (knowledge) is preserved and protected. </w:t>
      </w:r>
    </w:p>
    <w:p w:rsidR="001A7BAF" w:rsidRDefault="001A7BAF"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With regard to </w:t>
      </w:r>
      <w:r w:rsidR="00E83233">
        <w:rPr>
          <w:rFonts w:asciiTheme="majorHAnsi" w:eastAsia="Times New Roman" w:hAnsiTheme="majorHAnsi" w:cstheme="majorHAnsi"/>
          <w:sz w:val="24"/>
          <w:szCs w:val="24"/>
          <w:lang w:eastAsia="en-NZ"/>
        </w:rPr>
        <w:t xml:space="preserve">those aspects mentioned above,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data sovereignty must be maintained. To achieve </w:t>
      </w:r>
      <w:r w:rsidR="00B767E7">
        <w:rPr>
          <w:rFonts w:asciiTheme="majorHAnsi" w:eastAsia="Times New Roman" w:hAnsiTheme="majorHAnsi" w:cstheme="majorHAnsi"/>
          <w:sz w:val="24"/>
          <w:szCs w:val="24"/>
          <w:lang w:eastAsia="en-NZ"/>
        </w:rPr>
        <w:t>this,</w:t>
      </w:r>
      <w:r w:rsidR="00E83233">
        <w:rPr>
          <w:rFonts w:asciiTheme="majorHAnsi" w:eastAsia="Times New Roman" w:hAnsiTheme="majorHAnsi" w:cstheme="majorHAnsi"/>
          <w:sz w:val="24"/>
          <w:szCs w:val="24"/>
          <w:lang w:eastAsia="en-NZ"/>
        </w:rPr>
        <w:t xml:space="preserve"> it is important to first identify what classifies as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data. According to information available at data.govt.nz [1],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data encompasses any data that is directly collected from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/iwi, data generated by others about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and data about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resources. It is stated that for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data sovereignty to be maintained, </w:t>
      </w:r>
      <w:r w:rsidR="00E83233" w:rsidRPr="001A7BAF">
        <w:rPr>
          <w:rFonts w:asciiTheme="majorHAnsi" w:eastAsia="Times New Roman" w:hAnsiTheme="majorHAnsi" w:cstheme="majorHAnsi"/>
          <w:sz w:val="24"/>
          <w:szCs w:val="24"/>
          <w:lang w:eastAsia="en-NZ"/>
        </w:rPr>
        <w:t>Māori</w:t>
      </w:r>
      <w:r w:rsidR="00E83233">
        <w:rPr>
          <w:rFonts w:asciiTheme="majorHAnsi" w:eastAsia="Times New Roman" w:hAnsiTheme="majorHAnsi" w:cstheme="majorHAnsi"/>
          <w:sz w:val="24"/>
          <w:szCs w:val="24"/>
          <w:lang w:eastAsia="en-NZ"/>
        </w:rPr>
        <w:t xml:space="preserve"> must maintain r</w:t>
      </w:r>
      <w:r w:rsidR="00E83233" w:rsidRPr="00E83233">
        <w:rPr>
          <w:rFonts w:asciiTheme="majorHAnsi" w:eastAsia="Times New Roman" w:hAnsiTheme="majorHAnsi" w:cstheme="majorHAnsi"/>
          <w:sz w:val="24"/>
          <w:szCs w:val="24"/>
          <w:lang w:eastAsia="en-NZ"/>
        </w:rPr>
        <w:t>angatiratanga</w:t>
      </w:r>
      <w:r w:rsidR="00E83233">
        <w:rPr>
          <w:rFonts w:asciiTheme="majorHAnsi" w:eastAsia="Times New Roman" w:hAnsiTheme="majorHAnsi" w:cstheme="majorHAnsi"/>
          <w:sz w:val="24"/>
          <w:szCs w:val="24"/>
          <w:lang w:eastAsia="en-NZ"/>
        </w:rPr>
        <w:t xml:space="preserve"> (authority) of their data, </w:t>
      </w:r>
      <w:proofErr w:type="spellStart"/>
      <w:r w:rsidR="00E83233">
        <w:rPr>
          <w:rFonts w:asciiTheme="majorHAnsi" w:eastAsia="Times New Roman" w:hAnsiTheme="majorHAnsi" w:cstheme="majorHAnsi"/>
          <w:sz w:val="24"/>
          <w:szCs w:val="24"/>
          <w:lang w:eastAsia="en-NZ"/>
        </w:rPr>
        <w:t>k</w:t>
      </w:r>
      <w:r w:rsidR="00E83233" w:rsidRPr="00E83233">
        <w:rPr>
          <w:rFonts w:asciiTheme="majorHAnsi" w:eastAsia="Times New Roman" w:hAnsiTheme="majorHAnsi" w:cstheme="majorHAnsi"/>
          <w:sz w:val="24"/>
          <w:szCs w:val="24"/>
          <w:lang w:eastAsia="en-NZ"/>
        </w:rPr>
        <w:t>aitiakitanga</w:t>
      </w:r>
      <w:proofErr w:type="spellEnd"/>
      <w:r w:rsidR="00E83233">
        <w:rPr>
          <w:rFonts w:asciiTheme="majorHAnsi" w:eastAsia="Times New Roman" w:hAnsiTheme="majorHAnsi" w:cstheme="majorHAnsi"/>
          <w:sz w:val="24"/>
          <w:szCs w:val="24"/>
          <w:lang w:eastAsia="en-NZ"/>
        </w:rPr>
        <w:t xml:space="preserve"> (guardianship) of their data, and </w:t>
      </w:r>
      <w:proofErr w:type="spellStart"/>
      <w:r w:rsidR="00E83233">
        <w:rPr>
          <w:rFonts w:asciiTheme="majorHAnsi" w:eastAsia="Times New Roman" w:hAnsiTheme="majorHAnsi" w:cstheme="majorHAnsi"/>
          <w:sz w:val="24"/>
          <w:szCs w:val="24"/>
          <w:lang w:eastAsia="en-NZ"/>
        </w:rPr>
        <w:t>m</w:t>
      </w:r>
      <w:r w:rsidR="00E83233" w:rsidRPr="00E83233">
        <w:rPr>
          <w:rFonts w:asciiTheme="majorHAnsi" w:eastAsia="Times New Roman" w:hAnsiTheme="majorHAnsi" w:cstheme="majorHAnsi"/>
          <w:sz w:val="24"/>
          <w:szCs w:val="24"/>
          <w:lang w:eastAsia="en-NZ"/>
        </w:rPr>
        <w:t>anaakitanga</w:t>
      </w:r>
      <w:proofErr w:type="spellEnd"/>
      <w:r w:rsidR="00E83233">
        <w:rPr>
          <w:rFonts w:asciiTheme="majorHAnsi" w:eastAsia="Times New Roman" w:hAnsiTheme="majorHAnsi" w:cstheme="majorHAnsi"/>
          <w:sz w:val="24"/>
          <w:szCs w:val="24"/>
          <w:lang w:eastAsia="en-NZ"/>
        </w:rPr>
        <w:t xml:space="preserve"> (reciprocity) of their data.</w:t>
      </w:r>
    </w:p>
    <w:p w:rsidR="00B767E7" w:rsidRDefault="00B767E7"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It is also important to ensure that consideration is taking when seeking advice on matters of r</w:t>
      </w:r>
      <w:r w:rsidRPr="00E83233">
        <w:rPr>
          <w:rFonts w:asciiTheme="majorHAnsi" w:eastAsia="Times New Roman" w:hAnsiTheme="majorHAnsi" w:cstheme="majorHAnsi"/>
          <w:sz w:val="24"/>
          <w:szCs w:val="24"/>
          <w:lang w:eastAsia="en-NZ"/>
        </w:rPr>
        <w:t>angatiratanga</w:t>
      </w:r>
      <w:r>
        <w:rPr>
          <w:rFonts w:asciiTheme="majorHAnsi" w:eastAsia="Times New Roman" w:hAnsiTheme="majorHAnsi" w:cstheme="majorHAnsi"/>
          <w:sz w:val="24"/>
          <w:szCs w:val="24"/>
          <w:lang w:eastAsia="en-NZ"/>
        </w:rPr>
        <w:t xml:space="preserve"> and </w:t>
      </w:r>
      <w:proofErr w:type="spellStart"/>
      <w:r>
        <w:rPr>
          <w:rFonts w:asciiTheme="majorHAnsi" w:eastAsia="Times New Roman" w:hAnsiTheme="majorHAnsi" w:cstheme="majorHAnsi"/>
          <w:sz w:val="24"/>
          <w:szCs w:val="24"/>
          <w:lang w:eastAsia="en-NZ"/>
        </w:rPr>
        <w:t>k</w:t>
      </w:r>
      <w:r w:rsidRPr="00E83233">
        <w:rPr>
          <w:rFonts w:asciiTheme="majorHAnsi" w:eastAsia="Times New Roman" w:hAnsiTheme="majorHAnsi" w:cstheme="majorHAnsi"/>
          <w:sz w:val="24"/>
          <w:szCs w:val="24"/>
          <w:lang w:eastAsia="en-NZ"/>
        </w:rPr>
        <w:t>aitiakitanga</w:t>
      </w:r>
      <w:proofErr w:type="spellEnd"/>
      <w:r>
        <w:rPr>
          <w:rFonts w:asciiTheme="majorHAnsi" w:eastAsia="Times New Roman" w:hAnsiTheme="majorHAnsi" w:cstheme="majorHAnsi"/>
          <w:sz w:val="24"/>
          <w:szCs w:val="24"/>
          <w:lang w:eastAsia="en-NZ"/>
        </w:rPr>
        <w:t xml:space="preserve">. According to Karaitiana </w:t>
      </w:r>
      <w:proofErr w:type="spellStart"/>
      <w:r>
        <w:rPr>
          <w:rFonts w:asciiTheme="majorHAnsi" w:eastAsia="Times New Roman" w:hAnsiTheme="majorHAnsi" w:cstheme="majorHAnsi"/>
          <w:sz w:val="24"/>
          <w:szCs w:val="24"/>
          <w:lang w:eastAsia="en-NZ"/>
        </w:rPr>
        <w:t>Taiuru</w:t>
      </w:r>
      <w:proofErr w:type="spellEnd"/>
      <w:r>
        <w:rPr>
          <w:rFonts w:asciiTheme="majorHAnsi" w:eastAsia="Times New Roman" w:hAnsiTheme="majorHAnsi" w:cstheme="majorHAnsi"/>
          <w:sz w:val="24"/>
          <w:szCs w:val="24"/>
          <w:lang w:eastAsia="en-NZ"/>
        </w:rPr>
        <w:t xml:space="preserve">, although all </w:t>
      </w:r>
      <w:r w:rsidRPr="001A7BAF">
        <w:rPr>
          <w:rFonts w:asciiTheme="majorHAnsi" w:eastAsia="Times New Roman" w:hAnsiTheme="majorHAnsi" w:cstheme="majorHAnsi"/>
          <w:sz w:val="24"/>
          <w:szCs w:val="24"/>
          <w:lang w:eastAsia="en-NZ"/>
        </w:rPr>
        <w:t>Māori</w:t>
      </w:r>
      <w:r>
        <w:rPr>
          <w:rFonts w:asciiTheme="majorHAnsi" w:eastAsia="Times New Roman" w:hAnsiTheme="majorHAnsi" w:cstheme="majorHAnsi"/>
          <w:sz w:val="24"/>
          <w:szCs w:val="24"/>
          <w:lang w:eastAsia="en-NZ"/>
        </w:rPr>
        <w:t xml:space="preserve"> are bone with whakapapa, not all </w:t>
      </w:r>
      <w:r w:rsidRPr="001A7BAF">
        <w:rPr>
          <w:rFonts w:asciiTheme="majorHAnsi" w:eastAsia="Times New Roman" w:hAnsiTheme="majorHAnsi" w:cstheme="majorHAnsi"/>
          <w:sz w:val="24"/>
          <w:szCs w:val="24"/>
          <w:lang w:eastAsia="en-NZ"/>
        </w:rPr>
        <w:t>Māori</w:t>
      </w:r>
      <w:r>
        <w:rPr>
          <w:rFonts w:asciiTheme="majorHAnsi" w:eastAsia="Times New Roman" w:hAnsiTheme="majorHAnsi" w:cstheme="majorHAnsi"/>
          <w:sz w:val="24"/>
          <w:szCs w:val="24"/>
          <w:lang w:eastAsia="en-NZ"/>
        </w:rPr>
        <w:t xml:space="preserve"> understand</w:t>
      </w:r>
      <w:r w:rsidRPr="00B767E7">
        <w:rPr>
          <w:rFonts w:asciiTheme="majorHAnsi" w:eastAsia="Times New Roman" w:hAnsiTheme="majorHAnsi" w:cstheme="majorHAnsi"/>
          <w:sz w:val="24"/>
          <w:szCs w:val="24"/>
          <w:lang w:eastAsia="en-NZ"/>
        </w:rPr>
        <w:t xml:space="preserve"> Kawa (protocols, customs)</w:t>
      </w:r>
      <w:r>
        <w:rPr>
          <w:rFonts w:asciiTheme="majorHAnsi" w:eastAsia="Times New Roman" w:hAnsiTheme="majorHAnsi" w:cstheme="majorHAnsi"/>
          <w:sz w:val="24"/>
          <w:szCs w:val="24"/>
          <w:lang w:eastAsia="en-NZ"/>
        </w:rPr>
        <w:t xml:space="preserve">. This means that then looking to investigate possible considerations for an engineering project, you must first ensure that you are discussing with people that are knowledgeable of the history and customs of </w:t>
      </w:r>
      <w:r w:rsidRPr="001A7BAF">
        <w:rPr>
          <w:rFonts w:asciiTheme="majorHAnsi" w:eastAsia="Times New Roman" w:hAnsiTheme="majorHAnsi" w:cstheme="majorHAnsi"/>
          <w:sz w:val="24"/>
          <w:szCs w:val="24"/>
          <w:lang w:eastAsia="en-NZ"/>
        </w:rPr>
        <w:t>Māori</w:t>
      </w:r>
      <w:r>
        <w:rPr>
          <w:rFonts w:asciiTheme="majorHAnsi" w:eastAsia="Times New Roman" w:hAnsiTheme="majorHAnsi" w:cstheme="majorHAnsi"/>
          <w:sz w:val="24"/>
          <w:szCs w:val="24"/>
          <w:lang w:eastAsia="en-NZ"/>
        </w:rPr>
        <w:t xml:space="preserve">. </w:t>
      </w:r>
    </w:p>
    <w:p w:rsidR="00E83233" w:rsidRDefault="00B767E7"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I would like to note that in regards to cultural considerations, there are far too many things to account for to summarise in only 3 paragraphs, and defiantly far greater complexity and nuance that can be </w:t>
      </w:r>
      <w:r w:rsidR="004A7559">
        <w:rPr>
          <w:rFonts w:asciiTheme="majorHAnsi" w:eastAsia="Times New Roman" w:hAnsiTheme="majorHAnsi" w:cstheme="majorHAnsi"/>
          <w:sz w:val="24"/>
          <w:szCs w:val="24"/>
          <w:lang w:eastAsia="en-NZ"/>
        </w:rPr>
        <w:t xml:space="preserve">found from online research. When looking to undertake a project in what you must take into account cultural considerations, it is crucial that you seek out and discuss the project with the cultures you are interaction with, as they will be able to provide a far richer outlook than I can provide in this space.  </w:t>
      </w:r>
      <w:bookmarkStart w:id="0" w:name="_GoBack"/>
      <w:bookmarkEnd w:id="0"/>
    </w:p>
    <w:p w:rsidR="00E83233" w:rsidRDefault="00E83233"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[1] </w:t>
      </w:r>
      <w:hyperlink r:id="rId5" w:history="1">
        <w:r w:rsidR="00B767E7" w:rsidRPr="00041493">
          <w:rPr>
            <w:rStyle w:val="Hyperlink"/>
            <w:rFonts w:asciiTheme="majorHAnsi" w:eastAsia="Times New Roman" w:hAnsiTheme="majorHAnsi" w:cstheme="majorHAnsi"/>
            <w:sz w:val="24"/>
            <w:szCs w:val="24"/>
            <w:lang w:eastAsia="en-NZ"/>
          </w:rPr>
          <w:t>https://www.data.govt.nz/assets/Uploads/Presentation-Tahu-Kukutai.pdf</w:t>
        </w:r>
      </w:hyperlink>
    </w:p>
    <w:p w:rsidR="00B767E7" w:rsidRPr="00B0792C" w:rsidRDefault="00B767E7"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w:t>
      </w:r>
      <w:r w:rsidRPr="00B767E7">
        <w:t xml:space="preserve"> </w:t>
      </w:r>
      <w:r w:rsidRPr="00B767E7">
        <w:rPr>
          <w:rFonts w:asciiTheme="majorHAnsi" w:eastAsia="Times New Roman" w:hAnsiTheme="majorHAnsi" w:cstheme="majorHAnsi"/>
          <w:sz w:val="24"/>
          <w:szCs w:val="24"/>
          <w:lang w:eastAsia="en-NZ"/>
        </w:rPr>
        <w:t>https://www.taiuru.maori.nz/tiritiethicalguide/#What_is_Tikanga</w:t>
      </w: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A732B5" w:rsidRDefault="00A732B5"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A732B5" w:rsidRDefault="00A732B5"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320101" w:rsidRDefault="00320101"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Pr="0067588A" w:rsidRDefault="0067588A" w:rsidP="001B4BE4">
      <w:pPr>
        <w:spacing w:before="100" w:beforeAutospacing="1" w:after="100" w:afterAutospacing="1" w:line="240" w:lineRule="auto"/>
        <w:rPr>
          <w:rFonts w:asciiTheme="majorHAnsi" w:eastAsia="Times New Roman" w:hAnsiTheme="majorHAnsi" w:cstheme="majorHAnsi"/>
          <w:b/>
          <w:sz w:val="32"/>
          <w:szCs w:val="24"/>
          <w:lang w:eastAsia="en-NZ"/>
        </w:rPr>
      </w:pPr>
      <w:r w:rsidRPr="0067588A">
        <w:rPr>
          <w:rFonts w:asciiTheme="majorHAnsi" w:eastAsia="Times New Roman" w:hAnsiTheme="majorHAnsi" w:cstheme="majorHAnsi"/>
          <w:b/>
          <w:sz w:val="32"/>
          <w:szCs w:val="24"/>
          <w:lang w:eastAsia="en-NZ"/>
        </w:rPr>
        <w:t xml:space="preserve">Xero </w:t>
      </w:r>
    </w:p>
    <w:p w:rsidR="0067588A" w:rsidRDefault="0067588A" w:rsidP="001B4BE4">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Return on equity</w:t>
      </w:r>
    </w:p>
    <w:p w:rsidR="00330652" w:rsidRDefault="003433A2"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Return on equity provides a measure of the monetary return on investments</w:t>
      </w:r>
      <w:r w:rsidR="00F564C8">
        <w:rPr>
          <w:rFonts w:asciiTheme="majorHAnsi" w:eastAsia="Times New Roman" w:hAnsiTheme="majorHAnsi" w:cstheme="majorHAnsi"/>
          <w:sz w:val="24"/>
          <w:szCs w:val="24"/>
          <w:lang w:eastAsia="en-NZ"/>
        </w:rPr>
        <w:t xml:space="preserve"> made</w:t>
      </w:r>
      <w:r>
        <w:rPr>
          <w:rFonts w:asciiTheme="majorHAnsi" w:eastAsia="Times New Roman" w:hAnsiTheme="majorHAnsi" w:cstheme="majorHAnsi"/>
          <w:sz w:val="24"/>
          <w:szCs w:val="24"/>
          <w:lang w:eastAsia="en-NZ"/>
        </w:rPr>
        <w:t xml:space="preserve"> into a business. A return on equity analysis should ideally show returns greater than current interest rate provided by banks. </w:t>
      </w:r>
    </w:p>
    <w:p w:rsidR="003433A2" w:rsidRPr="003433A2" w:rsidRDefault="003433A2" w:rsidP="001B4BE4">
      <w:pPr>
        <w:spacing w:before="100" w:beforeAutospacing="1" w:after="100" w:afterAutospacing="1" w:line="240" w:lineRule="auto"/>
        <w:rPr>
          <w:rFonts w:asciiTheme="majorHAnsi" w:eastAsia="Times New Roman" w:hAnsiTheme="majorHAnsi" w:cstheme="majorHAnsi"/>
          <w:sz w:val="24"/>
          <w:szCs w:val="24"/>
          <w:lang w:eastAsia="en-NZ"/>
        </w:rPr>
      </w:pPr>
      <m:oMathPara>
        <m:oMath>
          <m:r>
            <m:rPr>
              <m:sty m:val="p"/>
            </m:rPr>
            <w:rPr>
              <w:rFonts w:ascii="Cambria Math" w:eastAsia="Times New Roman" w:hAnsi="Cambria Math" w:cstheme="majorHAnsi"/>
              <w:sz w:val="24"/>
              <w:szCs w:val="24"/>
              <w:lang w:eastAsia="en-NZ"/>
            </w:rPr>
            <m:t>Return on Equity</m:t>
          </m:r>
          <m:r>
            <w:rPr>
              <w:rFonts w:ascii="Cambria Math" w:eastAsia="Times New Roman" w:hAnsi="Cambria Math" w:cstheme="majorHAnsi"/>
              <w:sz w:val="24"/>
              <w:szCs w:val="24"/>
              <w:lang w:eastAsia="en-NZ"/>
            </w:rPr>
            <m:t xml:space="preserve">= </m:t>
          </m:r>
          <m:f>
            <m:fPr>
              <m:ctrlPr>
                <w:rPr>
                  <w:rFonts w:ascii="Cambria Math" w:eastAsia="Times New Roman" w:hAnsi="Cambria Math" w:cstheme="majorHAnsi"/>
                  <w:i/>
                  <w:sz w:val="24"/>
                  <w:szCs w:val="24"/>
                  <w:lang w:eastAsia="en-NZ"/>
                </w:rPr>
              </m:ctrlPr>
            </m:fPr>
            <m:num>
              <m:r>
                <m:rPr>
                  <m:sty m:val="p"/>
                </m:rPr>
                <w:rPr>
                  <w:rFonts w:ascii="Cambria Math" w:eastAsia="Times New Roman" w:hAnsi="Cambria Math" w:cstheme="majorHAnsi"/>
                  <w:sz w:val="24"/>
                  <w:szCs w:val="24"/>
                  <w:lang w:eastAsia="en-NZ"/>
                </w:rPr>
                <m:t>Net profit after tax</m:t>
              </m:r>
            </m:num>
            <m:den>
              <m:r>
                <m:rPr>
                  <m:sty m:val="p"/>
                </m:rPr>
                <w:rPr>
                  <w:rFonts w:ascii="Cambria Math" w:eastAsia="Times New Roman" w:hAnsi="Cambria Math" w:cstheme="majorHAnsi"/>
                  <w:sz w:val="24"/>
                  <w:szCs w:val="24"/>
                  <w:lang w:eastAsia="en-NZ"/>
                </w:rPr>
                <m:t>Total Equity</m:t>
              </m:r>
            </m:den>
          </m:f>
        </m:oMath>
      </m:oMathPara>
    </w:p>
    <w:tbl>
      <w:tblPr>
        <w:tblStyle w:val="TableGrid"/>
        <w:tblW w:w="0" w:type="auto"/>
        <w:tblLook w:val="04A0" w:firstRow="1" w:lastRow="0" w:firstColumn="1" w:lastColumn="0" w:noHBand="0" w:noVBand="1"/>
      </w:tblPr>
      <w:tblGrid>
        <w:gridCol w:w="2337"/>
        <w:gridCol w:w="2337"/>
        <w:gridCol w:w="2338"/>
        <w:gridCol w:w="2338"/>
      </w:tblGrid>
      <w:tr w:rsidR="003433A2" w:rsidTr="003433A2">
        <w:tc>
          <w:tcPr>
            <w:tcW w:w="2337" w:type="dxa"/>
            <w:shd w:val="clear" w:color="auto" w:fill="D0CECE" w:themeFill="background2" w:themeFillShade="E6"/>
          </w:tcPr>
          <w:p w:rsidR="003433A2" w:rsidRPr="003433A2" w:rsidRDefault="003433A2" w:rsidP="003433A2">
            <w:pPr>
              <w:spacing w:before="100" w:beforeAutospacing="1" w:after="100" w:afterAutospacing="1"/>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Year</w:t>
            </w:r>
          </w:p>
        </w:tc>
        <w:tc>
          <w:tcPr>
            <w:tcW w:w="2337" w:type="dxa"/>
            <w:shd w:val="clear" w:color="auto" w:fill="D0CECE" w:themeFill="background2" w:themeFillShade="E6"/>
          </w:tcPr>
          <w:p w:rsidR="003433A2" w:rsidRPr="003433A2" w:rsidRDefault="003433A2" w:rsidP="003433A2">
            <w:pPr>
              <w:spacing w:before="100" w:beforeAutospacing="1" w:after="100" w:afterAutospacing="1"/>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Net profit after tax</w:t>
            </w:r>
            <w:r>
              <w:rPr>
                <w:rFonts w:asciiTheme="majorHAnsi" w:eastAsia="Times New Roman" w:hAnsiTheme="majorHAnsi" w:cstheme="majorHAnsi"/>
                <w:b/>
                <w:sz w:val="24"/>
                <w:szCs w:val="24"/>
                <w:lang w:eastAsia="en-NZ"/>
              </w:rPr>
              <w:t xml:space="preserve"> ($000s)</w:t>
            </w:r>
          </w:p>
        </w:tc>
        <w:tc>
          <w:tcPr>
            <w:tcW w:w="2338" w:type="dxa"/>
            <w:shd w:val="clear" w:color="auto" w:fill="D0CECE" w:themeFill="background2" w:themeFillShade="E6"/>
          </w:tcPr>
          <w:p w:rsidR="00F564C8" w:rsidRDefault="003433A2" w:rsidP="00F564C8">
            <w:pPr>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Total Equity</w:t>
            </w:r>
          </w:p>
          <w:p w:rsidR="003433A2" w:rsidRPr="003433A2" w:rsidRDefault="003433A2" w:rsidP="00F564C8">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F564C8" w:rsidRDefault="003433A2" w:rsidP="00F564C8">
            <w:pPr>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Return on equity</w:t>
            </w:r>
          </w:p>
          <w:p w:rsidR="00F564C8" w:rsidRPr="003433A2" w:rsidRDefault="00F564C8" w:rsidP="00F564C8">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w:t>
            </w:r>
          </w:p>
        </w:tc>
      </w:tr>
      <w:tr w:rsidR="003433A2" w:rsidTr="003433A2">
        <w:tc>
          <w:tcPr>
            <w:tcW w:w="2337" w:type="dxa"/>
          </w:tcPr>
          <w:p w:rsidR="003433A2" w:rsidRDefault="003433A2"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2021</w:t>
            </w:r>
          </w:p>
        </w:tc>
        <w:tc>
          <w:tcPr>
            <w:tcW w:w="2337" w:type="dxa"/>
          </w:tcPr>
          <w:p w:rsidR="003433A2" w:rsidRDefault="003433A2"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$19,774</w:t>
            </w:r>
          </w:p>
        </w:tc>
        <w:tc>
          <w:tcPr>
            <w:tcW w:w="2338" w:type="dxa"/>
          </w:tcPr>
          <w:p w:rsidR="003433A2" w:rsidRDefault="00F564C8"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$745,946</w:t>
            </w:r>
          </w:p>
        </w:tc>
        <w:tc>
          <w:tcPr>
            <w:tcW w:w="2338" w:type="dxa"/>
          </w:tcPr>
          <w:p w:rsidR="003433A2" w:rsidRDefault="00F564C8"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2.65%</w:t>
            </w:r>
          </w:p>
        </w:tc>
      </w:tr>
      <w:tr w:rsidR="003433A2" w:rsidTr="003433A2">
        <w:tc>
          <w:tcPr>
            <w:tcW w:w="2337" w:type="dxa"/>
          </w:tcPr>
          <w:p w:rsidR="003433A2" w:rsidRDefault="003433A2"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lastRenderedPageBreak/>
              <w:t>2020</w:t>
            </w:r>
          </w:p>
        </w:tc>
        <w:tc>
          <w:tcPr>
            <w:tcW w:w="2337" w:type="dxa"/>
          </w:tcPr>
          <w:p w:rsidR="003433A2" w:rsidRDefault="003433A2"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$3,336</w:t>
            </w:r>
          </w:p>
        </w:tc>
        <w:tc>
          <w:tcPr>
            <w:tcW w:w="2338" w:type="dxa"/>
          </w:tcPr>
          <w:p w:rsidR="003433A2" w:rsidRDefault="00F564C8"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$422,366</w:t>
            </w:r>
          </w:p>
        </w:tc>
        <w:tc>
          <w:tcPr>
            <w:tcW w:w="2338" w:type="dxa"/>
          </w:tcPr>
          <w:p w:rsidR="003433A2" w:rsidRDefault="00F564C8" w:rsidP="003433A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0.79%</w:t>
            </w:r>
          </w:p>
        </w:tc>
      </w:tr>
    </w:tbl>
    <w:p w:rsidR="0098349D" w:rsidRDefault="00F564C8" w:rsidP="001B4BE4">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sz w:val="24"/>
          <w:szCs w:val="24"/>
          <w:lang w:eastAsia="en-NZ"/>
        </w:rPr>
        <w:t xml:space="preserve">From this we can clearly see that the return on equity for Xero has greatly increased from the 2020 financial year, and would suggest that the company </w:t>
      </w:r>
      <w:r w:rsidR="00E01CEF">
        <w:rPr>
          <w:rFonts w:asciiTheme="majorHAnsi" w:eastAsia="Times New Roman" w:hAnsiTheme="majorHAnsi" w:cstheme="majorHAnsi"/>
          <w:sz w:val="24"/>
          <w:szCs w:val="24"/>
          <w:lang w:eastAsia="en-NZ"/>
        </w:rPr>
        <w:t>doing well financially</w:t>
      </w:r>
      <w:r>
        <w:rPr>
          <w:rFonts w:asciiTheme="majorHAnsi" w:eastAsia="Times New Roman" w:hAnsiTheme="majorHAnsi" w:cstheme="majorHAnsi"/>
          <w:sz w:val="24"/>
          <w:szCs w:val="24"/>
          <w:lang w:eastAsia="en-NZ"/>
        </w:rPr>
        <w:t xml:space="preserve">. We can also note that with the current </w:t>
      </w:r>
      <w:r w:rsidR="00E01CEF">
        <w:rPr>
          <w:rFonts w:asciiTheme="majorHAnsi" w:eastAsia="Times New Roman" w:hAnsiTheme="majorHAnsi" w:cstheme="majorHAnsi"/>
          <w:sz w:val="24"/>
          <w:szCs w:val="24"/>
          <w:lang w:eastAsia="en-NZ"/>
        </w:rPr>
        <w:t xml:space="preserve">interest rates, the return on equity for investments into Xero is much greater. </w:t>
      </w:r>
    </w:p>
    <w:p w:rsidR="0067588A" w:rsidRDefault="0067588A" w:rsidP="001B4BE4">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Working capital </w:t>
      </w:r>
    </w:p>
    <w:p w:rsidR="00E01CEF" w:rsidRDefault="00E01CEF" w:rsidP="001B4BE4">
      <w:pPr>
        <w:spacing w:before="100" w:beforeAutospacing="1" w:after="100" w:afterAutospacing="1" w:line="240" w:lineRule="auto"/>
        <w:rPr>
          <w:rFonts w:asciiTheme="majorHAnsi" w:eastAsia="Times New Roman" w:hAnsiTheme="majorHAnsi" w:cstheme="majorHAnsi"/>
          <w:sz w:val="24"/>
          <w:szCs w:val="24"/>
          <w:lang w:eastAsia="en-NZ"/>
        </w:rPr>
      </w:pPr>
      <w:r w:rsidRPr="00E01CEF">
        <w:rPr>
          <w:rFonts w:asciiTheme="majorHAnsi" w:eastAsia="Times New Roman" w:hAnsiTheme="majorHAnsi" w:cstheme="majorHAnsi"/>
          <w:sz w:val="24"/>
          <w:szCs w:val="24"/>
          <w:lang w:eastAsia="en-NZ"/>
        </w:rPr>
        <w:t>The working capital ratio provides a measure of a business’s ability to</w:t>
      </w:r>
      <w:r>
        <w:rPr>
          <w:rFonts w:asciiTheme="majorHAnsi" w:eastAsia="Times New Roman" w:hAnsiTheme="majorHAnsi" w:cstheme="majorHAnsi"/>
          <w:sz w:val="24"/>
          <w:szCs w:val="24"/>
          <w:lang w:eastAsia="en-NZ"/>
        </w:rPr>
        <w:t xml:space="preserve"> </w:t>
      </w:r>
      <w:r w:rsidRPr="00E01CEF">
        <w:rPr>
          <w:rFonts w:asciiTheme="majorHAnsi" w:eastAsia="Times New Roman" w:hAnsiTheme="majorHAnsi" w:cstheme="majorHAnsi"/>
          <w:sz w:val="24"/>
          <w:szCs w:val="24"/>
          <w:lang w:eastAsia="en-NZ"/>
        </w:rPr>
        <w:t>meet its short-term financial commitments.</w:t>
      </w:r>
      <w:r>
        <w:rPr>
          <w:rFonts w:asciiTheme="majorHAnsi" w:eastAsia="Times New Roman" w:hAnsiTheme="majorHAnsi" w:cstheme="majorHAnsi"/>
          <w:sz w:val="24"/>
          <w:szCs w:val="24"/>
          <w:lang w:eastAsia="en-NZ"/>
        </w:rPr>
        <w:t xml:space="preserve"> When looking to use this ratio to make statements about a business’s financial status, a ratio of 2:1 can be used as a rough indication of a healthy state.</w:t>
      </w:r>
    </w:p>
    <w:p w:rsidR="00E01CEF" w:rsidRPr="003433A2" w:rsidRDefault="00E01CEF" w:rsidP="00E01CEF">
      <w:pPr>
        <w:spacing w:before="100" w:beforeAutospacing="1" w:after="100" w:afterAutospacing="1" w:line="240" w:lineRule="auto"/>
        <w:rPr>
          <w:rFonts w:asciiTheme="majorHAnsi" w:eastAsia="Times New Roman" w:hAnsiTheme="majorHAnsi" w:cstheme="majorHAnsi"/>
          <w:sz w:val="24"/>
          <w:szCs w:val="24"/>
          <w:lang w:eastAsia="en-NZ"/>
        </w:rPr>
      </w:pPr>
      <m:oMathPara>
        <m:oMath>
          <m:r>
            <m:rPr>
              <m:sty m:val="p"/>
            </m:rPr>
            <w:rPr>
              <w:rFonts w:ascii="Cambria Math" w:eastAsia="Times New Roman" w:hAnsi="Cambria Math" w:cstheme="majorHAnsi"/>
              <w:sz w:val="24"/>
              <w:szCs w:val="24"/>
              <w:lang w:eastAsia="en-NZ"/>
            </w:rPr>
            <m:t>Working Capital</m:t>
          </m:r>
          <m:r>
            <w:rPr>
              <w:rFonts w:ascii="Cambria Math" w:eastAsia="Times New Roman" w:hAnsi="Cambria Math" w:cstheme="majorHAnsi"/>
              <w:sz w:val="24"/>
              <w:szCs w:val="24"/>
              <w:lang w:eastAsia="en-NZ"/>
            </w:rPr>
            <m:t xml:space="preserve">= </m:t>
          </m:r>
          <m:f>
            <m:fPr>
              <m:ctrlPr>
                <w:rPr>
                  <w:rFonts w:ascii="Cambria Math" w:eastAsia="Times New Roman" w:hAnsi="Cambria Math" w:cstheme="majorHAnsi"/>
                  <w:i/>
                  <w:sz w:val="24"/>
                  <w:szCs w:val="24"/>
                  <w:lang w:eastAsia="en-NZ"/>
                </w:rPr>
              </m:ctrlPr>
            </m:fPr>
            <m:num>
              <m:r>
                <m:rPr>
                  <m:sty m:val="p"/>
                </m:rPr>
                <w:rPr>
                  <w:rFonts w:ascii="Cambria Math" w:eastAsia="Times New Roman" w:hAnsi="Cambria Math" w:cstheme="majorHAnsi"/>
                  <w:sz w:val="24"/>
                  <w:szCs w:val="24"/>
                  <w:lang w:eastAsia="en-NZ"/>
                </w:rPr>
                <m:t>Current Assets</m:t>
              </m:r>
            </m:num>
            <m:den>
              <m:r>
                <m:rPr>
                  <m:sty m:val="p"/>
                </m:rPr>
                <w:rPr>
                  <w:rFonts w:ascii="Cambria Math" w:eastAsia="Times New Roman" w:hAnsi="Cambria Math" w:cstheme="majorHAnsi"/>
                  <w:sz w:val="24"/>
                  <w:szCs w:val="24"/>
                  <w:lang w:eastAsia="en-NZ"/>
                </w:rPr>
                <m:t>Current Liabilities</m:t>
              </m:r>
            </m:den>
          </m:f>
        </m:oMath>
      </m:oMathPara>
    </w:p>
    <w:tbl>
      <w:tblPr>
        <w:tblStyle w:val="TableGrid"/>
        <w:tblW w:w="0" w:type="auto"/>
        <w:tblLook w:val="04A0" w:firstRow="1" w:lastRow="0" w:firstColumn="1" w:lastColumn="0" w:noHBand="0" w:noVBand="1"/>
      </w:tblPr>
      <w:tblGrid>
        <w:gridCol w:w="2337"/>
        <w:gridCol w:w="2337"/>
        <w:gridCol w:w="2338"/>
        <w:gridCol w:w="2338"/>
      </w:tblGrid>
      <w:tr w:rsidR="00E01CEF" w:rsidTr="00E01CEF">
        <w:tc>
          <w:tcPr>
            <w:tcW w:w="2337" w:type="dxa"/>
            <w:shd w:val="clear" w:color="auto" w:fill="D0CECE" w:themeFill="background2" w:themeFillShade="E6"/>
          </w:tcPr>
          <w:p w:rsidR="00E01CEF" w:rsidRPr="003433A2" w:rsidRDefault="00E01CEF" w:rsidP="00E01CEF">
            <w:pPr>
              <w:spacing w:before="100" w:beforeAutospacing="1" w:after="100" w:afterAutospacing="1"/>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Year</w:t>
            </w:r>
          </w:p>
        </w:tc>
        <w:tc>
          <w:tcPr>
            <w:tcW w:w="2337" w:type="dxa"/>
            <w:shd w:val="clear" w:color="auto" w:fill="D0CECE" w:themeFill="background2" w:themeFillShade="E6"/>
          </w:tcPr>
          <w:p w:rsidR="00E01CEF" w:rsidRPr="003433A2" w:rsidRDefault="00E01CEF" w:rsidP="00E01CEF">
            <w:pPr>
              <w:spacing w:before="100" w:beforeAutospacing="1" w:after="100" w:afterAutospacing="1"/>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Current Assets ($000s)</w:t>
            </w:r>
          </w:p>
        </w:tc>
        <w:tc>
          <w:tcPr>
            <w:tcW w:w="2338" w:type="dxa"/>
            <w:shd w:val="clear" w:color="auto" w:fill="D0CECE" w:themeFill="background2" w:themeFillShade="E6"/>
          </w:tcPr>
          <w:p w:rsidR="00E01CEF" w:rsidRDefault="00E01CEF" w:rsidP="00E01CEF">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Current Liabilities</w:t>
            </w:r>
          </w:p>
          <w:p w:rsidR="00E01CEF" w:rsidRPr="003433A2" w:rsidRDefault="00E01CEF" w:rsidP="00E01CEF">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E01CEF" w:rsidRPr="003433A2" w:rsidRDefault="00E01CEF" w:rsidP="0098349D">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Working Capital</w:t>
            </w:r>
          </w:p>
        </w:tc>
      </w:tr>
      <w:tr w:rsidR="00E01CEF" w:rsidTr="00E01CEF">
        <w:tc>
          <w:tcPr>
            <w:tcW w:w="2337"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2021</w:t>
            </w:r>
          </w:p>
        </w:tc>
        <w:tc>
          <w:tcPr>
            <w:tcW w:w="2337"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$1,204,306</w:t>
            </w:r>
          </w:p>
        </w:tc>
        <w:tc>
          <w:tcPr>
            <w:tcW w:w="2338"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$168,824</w:t>
            </w:r>
          </w:p>
        </w:tc>
        <w:tc>
          <w:tcPr>
            <w:tcW w:w="2338" w:type="dxa"/>
          </w:tcPr>
          <w:p w:rsidR="00E01CEF" w:rsidRDefault="0098349D"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7.13</w:t>
            </w:r>
          </w:p>
        </w:tc>
      </w:tr>
      <w:tr w:rsidR="00E01CEF" w:rsidTr="00E01CEF">
        <w:tc>
          <w:tcPr>
            <w:tcW w:w="2337"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2020</w:t>
            </w:r>
          </w:p>
        </w:tc>
        <w:tc>
          <w:tcPr>
            <w:tcW w:w="2337"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$718,510</w:t>
            </w:r>
          </w:p>
        </w:tc>
        <w:tc>
          <w:tcPr>
            <w:tcW w:w="2338" w:type="dxa"/>
          </w:tcPr>
          <w:p w:rsidR="00E01CEF" w:rsidRDefault="00E01CEF"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$116,132</w:t>
            </w:r>
          </w:p>
        </w:tc>
        <w:tc>
          <w:tcPr>
            <w:tcW w:w="2338" w:type="dxa"/>
          </w:tcPr>
          <w:p w:rsidR="00E01CEF" w:rsidRDefault="0098349D" w:rsidP="00E01CEF">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6.18</w:t>
            </w:r>
          </w:p>
        </w:tc>
      </w:tr>
    </w:tbl>
    <w:p w:rsidR="00E01CEF" w:rsidRPr="00320101" w:rsidRDefault="0098349D"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From this we can see that Xero has had an increase in their working capital ratio from 2020. We can also clearly see that for both the 2020 and the 2021 financial </w:t>
      </w:r>
      <w:r w:rsidR="0074681D">
        <w:rPr>
          <w:rFonts w:asciiTheme="majorHAnsi" w:eastAsia="Times New Roman" w:hAnsiTheme="majorHAnsi" w:cstheme="majorHAnsi"/>
          <w:sz w:val="24"/>
          <w:szCs w:val="24"/>
          <w:lang w:eastAsia="en-NZ"/>
        </w:rPr>
        <w:t xml:space="preserve">year, the working capital ratio has indicated that Xero has maintained a very healthy business state. </w:t>
      </w:r>
    </w:p>
    <w:p w:rsidR="0067588A" w:rsidRDefault="0067588A" w:rsidP="001B4BE4">
      <w:pPr>
        <w:spacing w:before="100" w:beforeAutospacing="1" w:after="100" w:afterAutospacing="1" w:line="240" w:lineRule="auto"/>
        <w:rPr>
          <w:rFonts w:asciiTheme="majorHAnsi" w:eastAsia="Times New Roman" w:hAnsiTheme="majorHAnsi" w:cstheme="majorHAnsi"/>
          <w:b/>
          <w:sz w:val="24"/>
          <w:szCs w:val="24"/>
          <w:lang w:eastAsia="en-NZ"/>
        </w:rPr>
      </w:pPr>
      <w:r w:rsidRPr="0067588A">
        <w:rPr>
          <w:rFonts w:asciiTheme="majorHAnsi" w:eastAsia="Times New Roman" w:hAnsiTheme="majorHAnsi" w:cstheme="majorHAnsi"/>
          <w:b/>
          <w:sz w:val="24"/>
          <w:szCs w:val="24"/>
          <w:lang w:eastAsia="en-NZ"/>
        </w:rPr>
        <w:t>Proprietorship</w:t>
      </w:r>
    </w:p>
    <w:p w:rsidR="0074681D" w:rsidRPr="0074681D" w:rsidRDefault="0074681D" w:rsidP="001B4BE4">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sz w:val="24"/>
          <w:szCs w:val="24"/>
          <w:lang w:eastAsia="en-NZ"/>
        </w:rPr>
        <w:t>The p</w:t>
      </w:r>
      <w:r w:rsidRPr="0074681D">
        <w:rPr>
          <w:rFonts w:asciiTheme="majorHAnsi" w:eastAsia="Times New Roman" w:hAnsiTheme="majorHAnsi" w:cstheme="majorHAnsi"/>
          <w:sz w:val="24"/>
          <w:szCs w:val="24"/>
          <w:lang w:eastAsia="en-NZ"/>
        </w:rPr>
        <w:t>roprietorship</w:t>
      </w:r>
      <w:r>
        <w:rPr>
          <w:rFonts w:asciiTheme="majorHAnsi" w:eastAsia="Times New Roman" w:hAnsiTheme="majorHAnsi" w:cstheme="majorHAnsi"/>
          <w:sz w:val="24"/>
          <w:szCs w:val="24"/>
          <w:lang w:eastAsia="en-NZ"/>
        </w:rPr>
        <w:t xml:space="preserve"> ratio is the </w:t>
      </w:r>
      <w:r w:rsidRPr="0074681D">
        <w:rPr>
          <w:rFonts w:asciiTheme="majorHAnsi" w:eastAsia="Times New Roman" w:hAnsiTheme="majorHAnsi" w:cstheme="majorHAnsi"/>
          <w:sz w:val="24"/>
          <w:szCs w:val="24"/>
          <w:lang w:eastAsia="en-NZ"/>
        </w:rPr>
        <w:t>proportion of shareholders' equity to total assets</w:t>
      </w:r>
      <w:r>
        <w:rPr>
          <w:rFonts w:asciiTheme="majorHAnsi" w:eastAsia="Times New Roman" w:hAnsiTheme="majorHAnsi" w:cstheme="majorHAnsi"/>
          <w:sz w:val="24"/>
          <w:szCs w:val="24"/>
          <w:lang w:eastAsia="en-NZ"/>
        </w:rPr>
        <w:t>, and</w:t>
      </w:r>
      <w:r w:rsidRPr="0074681D">
        <w:rPr>
          <w:rFonts w:asciiTheme="majorHAnsi" w:eastAsia="Times New Roman" w:hAnsiTheme="majorHAnsi" w:cstheme="majorHAnsi"/>
          <w:sz w:val="24"/>
          <w:szCs w:val="24"/>
          <w:lang w:eastAsia="en-NZ"/>
        </w:rPr>
        <w:t xml:space="preserve"> </w:t>
      </w:r>
      <w:r>
        <w:rPr>
          <w:rFonts w:asciiTheme="majorHAnsi" w:eastAsia="Times New Roman" w:hAnsiTheme="majorHAnsi" w:cstheme="majorHAnsi"/>
          <w:sz w:val="24"/>
          <w:szCs w:val="24"/>
          <w:lang w:eastAsia="en-NZ"/>
        </w:rPr>
        <w:t>provides a measure of the degree of capitalisation of a business by the owners/shareholders. A low p</w:t>
      </w:r>
      <w:r w:rsidRPr="0074681D">
        <w:rPr>
          <w:rFonts w:asciiTheme="majorHAnsi" w:eastAsia="Times New Roman" w:hAnsiTheme="majorHAnsi" w:cstheme="majorHAnsi"/>
          <w:sz w:val="24"/>
          <w:szCs w:val="24"/>
          <w:lang w:eastAsia="en-NZ"/>
        </w:rPr>
        <w:t>roprietorship</w:t>
      </w:r>
      <w:r>
        <w:rPr>
          <w:rFonts w:asciiTheme="majorHAnsi" w:eastAsia="Times New Roman" w:hAnsiTheme="majorHAnsi" w:cstheme="majorHAnsi"/>
          <w:sz w:val="24"/>
          <w:szCs w:val="24"/>
          <w:lang w:eastAsia="en-NZ"/>
        </w:rPr>
        <w:t xml:space="preserve"> ratio can indicate undercapitalisation of a business</w:t>
      </w:r>
      <w:r w:rsidR="009305E2">
        <w:rPr>
          <w:rFonts w:asciiTheme="majorHAnsi" w:eastAsia="Times New Roman" w:hAnsiTheme="majorHAnsi" w:cstheme="majorHAnsi"/>
          <w:sz w:val="24"/>
          <w:szCs w:val="24"/>
          <w:lang w:eastAsia="en-NZ"/>
        </w:rPr>
        <w:t xml:space="preserve">. This can indicate risk as shareholders in a business should maintain an appropriate stake relative to its creditors. </w:t>
      </w:r>
      <w:r w:rsidR="0016033D">
        <w:rPr>
          <w:rFonts w:asciiTheme="majorHAnsi" w:eastAsia="Times New Roman" w:hAnsiTheme="majorHAnsi" w:cstheme="majorHAnsi"/>
          <w:sz w:val="24"/>
          <w:szCs w:val="24"/>
          <w:lang w:eastAsia="en-NZ"/>
        </w:rPr>
        <w:t>It is suggested as a rough ratio that a business should aim for a 40% p</w:t>
      </w:r>
      <w:r w:rsidR="0016033D" w:rsidRPr="0074681D">
        <w:rPr>
          <w:rFonts w:asciiTheme="majorHAnsi" w:eastAsia="Times New Roman" w:hAnsiTheme="majorHAnsi" w:cstheme="majorHAnsi"/>
          <w:sz w:val="24"/>
          <w:szCs w:val="24"/>
          <w:lang w:eastAsia="en-NZ"/>
        </w:rPr>
        <w:t>roprietorship</w:t>
      </w:r>
      <w:r w:rsidR="0016033D">
        <w:rPr>
          <w:rFonts w:asciiTheme="majorHAnsi" w:eastAsia="Times New Roman" w:hAnsiTheme="majorHAnsi" w:cstheme="majorHAnsi"/>
          <w:sz w:val="24"/>
          <w:szCs w:val="24"/>
          <w:lang w:eastAsia="en-NZ"/>
        </w:rPr>
        <w:t xml:space="preserve"> ratio </w:t>
      </w:r>
      <w:r w:rsidR="0071156E">
        <w:rPr>
          <w:rFonts w:asciiTheme="majorHAnsi" w:eastAsia="Times New Roman" w:hAnsiTheme="majorHAnsi" w:cstheme="majorHAnsi"/>
          <w:sz w:val="24"/>
          <w:szCs w:val="24"/>
          <w:lang w:eastAsia="en-NZ"/>
        </w:rPr>
        <w:t>as a minimum.</w:t>
      </w:r>
    </w:p>
    <w:p w:rsidR="00E01CEF" w:rsidRPr="009305E2" w:rsidRDefault="009305E2" w:rsidP="001B4BE4">
      <w:pPr>
        <w:spacing w:before="100" w:beforeAutospacing="1" w:after="100" w:afterAutospacing="1" w:line="240" w:lineRule="auto"/>
        <w:rPr>
          <w:rFonts w:asciiTheme="majorHAnsi" w:eastAsia="Times New Roman" w:hAnsiTheme="majorHAnsi" w:cstheme="majorHAnsi"/>
          <w:sz w:val="24"/>
          <w:szCs w:val="24"/>
          <w:lang w:eastAsia="en-NZ"/>
        </w:rPr>
      </w:pPr>
      <m:oMathPara>
        <m:oMath>
          <m:r>
            <m:rPr>
              <m:sty m:val="p"/>
            </m:rPr>
            <w:rPr>
              <w:rFonts w:ascii="Cambria Math" w:eastAsia="Times New Roman" w:hAnsi="Cambria Math" w:cstheme="majorHAnsi"/>
              <w:sz w:val="24"/>
              <w:szCs w:val="24"/>
              <w:lang w:eastAsia="en-NZ"/>
            </w:rPr>
            <m:t>P</m:t>
          </m:r>
          <m:r>
            <m:rPr>
              <m:sty m:val="p"/>
            </m:rPr>
            <w:rPr>
              <w:rFonts w:ascii="Cambria Math" w:eastAsia="Times New Roman" w:hAnsi="Cambria Math" w:cstheme="majorHAnsi"/>
              <w:sz w:val="24"/>
              <w:szCs w:val="24"/>
              <w:lang w:eastAsia="en-NZ"/>
            </w:rPr>
            <m:t xml:space="preserve">roprietorship </m:t>
          </m:r>
          <m:r>
            <w:rPr>
              <w:rFonts w:ascii="Cambria Math" w:eastAsia="Times New Roman" w:hAnsi="Cambria Math" w:cstheme="majorHAnsi"/>
              <w:sz w:val="24"/>
              <w:szCs w:val="24"/>
              <w:lang w:eastAsia="en-NZ"/>
            </w:rPr>
            <m:t xml:space="preserve">= </m:t>
          </m:r>
          <m:f>
            <m:fPr>
              <m:ctrlPr>
                <w:rPr>
                  <w:rFonts w:ascii="Cambria Math" w:eastAsia="Times New Roman" w:hAnsi="Cambria Math" w:cstheme="majorHAnsi"/>
                  <w:i/>
                  <w:sz w:val="24"/>
                  <w:szCs w:val="24"/>
                  <w:lang w:eastAsia="en-NZ"/>
                </w:rPr>
              </m:ctrlPr>
            </m:fPr>
            <m:num>
              <m:r>
                <m:rPr>
                  <m:sty m:val="p"/>
                </m:rPr>
                <w:rPr>
                  <w:rFonts w:ascii="Cambria Math" w:eastAsia="Times New Roman" w:hAnsi="Cambria Math" w:cstheme="majorHAnsi"/>
                  <w:sz w:val="24"/>
                  <w:szCs w:val="24"/>
                  <w:lang w:eastAsia="en-NZ"/>
                </w:rPr>
                <m:t>Total Equity</m:t>
              </m:r>
            </m:num>
            <m:den>
              <m:r>
                <m:rPr>
                  <m:sty m:val="p"/>
                </m:rPr>
                <w:rPr>
                  <w:rFonts w:ascii="Cambria Math" w:eastAsia="Times New Roman" w:hAnsi="Cambria Math" w:cstheme="majorHAnsi"/>
                  <w:sz w:val="24"/>
                  <w:szCs w:val="24"/>
                  <w:lang w:eastAsia="en-NZ"/>
                </w:rPr>
                <m:t>Total Assets</m:t>
              </m:r>
            </m:den>
          </m:f>
        </m:oMath>
      </m:oMathPara>
    </w:p>
    <w:tbl>
      <w:tblPr>
        <w:tblStyle w:val="TableGrid"/>
        <w:tblW w:w="9350" w:type="dxa"/>
        <w:tblLook w:val="04A0" w:firstRow="1" w:lastRow="0" w:firstColumn="1" w:lastColumn="0" w:noHBand="0" w:noVBand="1"/>
      </w:tblPr>
      <w:tblGrid>
        <w:gridCol w:w="2337"/>
        <w:gridCol w:w="2337"/>
        <w:gridCol w:w="2338"/>
        <w:gridCol w:w="2338"/>
      </w:tblGrid>
      <w:tr w:rsidR="009305E2" w:rsidTr="009305E2">
        <w:tc>
          <w:tcPr>
            <w:tcW w:w="2337" w:type="dxa"/>
            <w:shd w:val="clear" w:color="auto" w:fill="D0CECE" w:themeFill="background2" w:themeFillShade="E6"/>
          </w:tcPr>
          <w:p w:rsidR="009305E2" w:rsidRPr="003433A2" w:rsidRDefault="009305E2" w:rsidP="009305E2">
            <w:pPr>
              <w:spacing w:before="100" w:beforeAutospacing="1" w:after="100" w:afterAutospacing="1"/>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Year</w:t>
            </w:r>
          </w:p>
        </w:tc>
        <w:tc>
          <w:tcPr>
            <w:tcW w:w="2337" w:type="dxa"/>
            <w:shd w:val="clear" w:color="auto" w:fill="D0CECE" w:themeFill="background2" w:themeFillShade="E6"/>
          </w:tcPr>
          <w:p w:rsidR="009305E2" w:rsidRDefault="009305E2" w:rsidP="009305E2">
            <w:pPr>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Total Equity</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9305E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Total Assets</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9305E2" w:rsidRPr="009305E2" w:rsidRDefault="009305E2" w:rsidP="009305E2">
            <w:pPr>
              <w:jc w:val="center"/>
              <w:rPr>
                <w:rFonts w:asciiTheme="majorHAnsi" w:eastAsia="Times New Roman" w:hAnsiTheme="majorHAnsi" w:cstheme="majorHAnsi"/>
                <w:b/>
                <w:sz w:val="24"/>
                <w:szCs w:val="24"/>
                <w:lang w:eastAsia="en-NZ"/>
              </w:rPr>
            </w:pPr>
            <w:r w:rsidRPr="009305E2">
              <w:rPr>
                <w:rFonts w:asciiTheme="majorHAnsi" w:eastAsia="Times New Roman" w:hAnsiTheme="majorHAnsi" w:cstheme="majorHAnsi"/>
                <w:b/>
                <w:sz w:val="24"/>
                <w:szCs w:val="24"/>
                <w:lang w:eastAsia="en-NZ"/>
              </w:rPr>
              <w:t>Proprietorship</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w:t>
            </w:r>
          </w:p>
        </w:tc>
      </w:tr>
      <w:tr w:rsidR="009305E2" w:rsidTr="009305E2">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2021</w:t>
            </w:r>
          </w:p>
        </w:tc>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$745,946</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$2,024,028</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36.9%</w:t>
            </w:r>
          </w:p>
        </w:tc>
      </w:tr>
      <w:tr w:rsidR="009305E2" w:rsidTr="009305E2">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2020</w:t>
            </w:r>
          </w:p>
        </w:tc>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$422,366</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$1,153,688</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36.6%</w:t>
            </w:r>
          </w:p>
        </w:tc>
      </w:tr>
    </w:tbl>
    <w:p w:rsidR="0067588A" w:rsidRPr="0071156E" w:rsidRDefault="0071156E" w:rsidP="001B4BE4">
      <w:pPr>
        <w:spacing w:before="100" w:beforeAutospacing="1" w:after="100" w:afterAutospacing="1" w:line="240" w:lineRule="auto"/>
        <w:rPr>
          <w:rFonts w:asciiTheme="majorHAnsi" w:eastAsia="Times New Roman" w:hAnsiTheme="majorHAnsi" w:cstheme="majorHAnsi"/>
          <w:sz w:val="24"/>
          <w:szCs w:val="24"/>
          <w:lang w:eastAsia="en-NZ"/>
        </w:rPr>
      </w:pPr>
      <w:r w:rsidRPr="0071156E">
        <w:rPr>
          <w:rFonts w:asciiTheme="majorHAnsi" w:eastAsia="Times New Roman" w:hAnsiTheme="majorHAnsi" w:cstheme="majorHAnsi"/>
          <w:sz w:val="24"/>
          <w:szCs w:val="24"/>
          <w:lang w:eastAsia="en-NZ"/>
        </w:rPr>
        <w:t xml:space="preserve">From that table </w:t>
      </w:r>
      <w:r>
        <w:rPr>
          <w:rFonts w:asciiTheme="majorHAnsi" w:eastAsia="Times New Roman" w:hAnsiTheme="majorHAnsi" w:cstheme="majorHAnsi"/>
          <w:sz w:val="24"/>
          <w:szCs w:val="24"/>
          <w:lang w:eastAsia="en-NZ"/>
        </w:rPr>
        <w:t>above, we can see that the p</w:t>
      </w:r>
      <w:r w:rsidRPr="0074681D">
        <w:rPr>
          <w:rFonts w:asciiTheme="majorHAnsi" w:eastAsia="Times New Roman" w:hAnsiTheme="majorHAnsi" w:cstheme="majorHAnsi"/>
          <w:sz w:val="24"/>
          <w:szCs w:val="24"/>
          <w:lang w:eastAsia="en-NZ"/>
        </w:rPr>
        <w:t>roprietorship</w:t>
      </w:r>
      <w:r>
        <w:rPr>
          <w:rFonts w:asciiTheme="majorHAnsi" w:eastAsia="Times New Roman" w:hAnsiTheme="majorHAnsi" w:cstheme="majorHAnsi"/>
          <w:sz w:val="24"/>
          <w:szCs w:val="24"/>
          <w:lang w:eastAsia="en-NZ"/>
        </w:rPr>
        <w:t xml:space="preserve"> ratio for Xero appears to be below the suggested minimum, and hasn’t show substantial change between the 2020 and 2021 financial </w:t>
      </w:r>
      <w:r>
        <w:rPr>
          <w:rFonts w:asciiTheme="majorHAnsi" w:eastAsia="Times New Roman" w:hAnsiTheme="majorHAnsi" w:cstheme="majorHAnsi"/>
          <w:sz w:val="24"/>
          <w:szCs w:val="24"/>
          <w:lang w:eastAsia="en-NZ"/>
        </w:rPr>
        <w:lastRenderedPageBreak/>
        <w:t>year. Although this suggests a risk, it should be noted that Xero is still a recently started company that is actively looking to grow, and as such will be looking to acquire assets to grow. Based on this it can be suggested that this low p</w:t>
      </w:r>
      <w:r w:rsidRPr="0074681D">
        <w:rPr>
          <w:rFonts w:asciiTheme="majorHAnsi" w:eastAsia="Times New Roman" w:hAnsiTheme="majorHAnsi" w:cstheme="majorHAnsi"/>
          <w:sz w:val="24"/>
          <w:szCs w:val="24"/>
          <w:lang w:eastAsia="en-NZ"/>
        </w:rPr>
        <w:t>roprietorship</w:t>
      </w:r>
      <w:r>
        <w:rPr>
          <w:rFonts w:asciiTheme="majorHAnsi" w:eastAsia="Times New Roman" w:hAnsiTheme="majorHAnsi" w:cstheme="majorHAnsi"/>
          <w:sz w:val="24"/>
          <w:szCs w:val="24"/>
          <w:lang w:eastAsia="en-NZ"/>
        </w:rPr>
        <w:t xml:space="preserve"> ratio is not abnormal.</w:t>
      </w:r>
    </w:p>
    <w:p w:rsidR="0067588A" w:rsidRDefault="00FD7D9D" w:rsidP="001B4BE4">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E</w:t>
      </w:r>
      <w:r w:rsidR="0067588A" w:rsidRPr="0067588A">
        <w:rPr>
          <w:rFonts w:asciiTheme="majorHAnsi" w:eastAsia="Times New Roman" w:hAnsiTheme="majorHAnsi" w:cstheme="majorHAnsi"/>
          <w:b/>
          <w:sz w:val="24"/>
          <w:szCs w:val="24"/>
          <w:lang w:eastAsia="en-NZ"/>
        </w:rPr>
        <w:t>xpenses to sales (revenue) ratios</w:t>
      </w:r>
    </w:p>
    <w:p w:rsidR="0067588A" w:rsidRPr="0071156E" w:rsidRDefault="0071156E"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The expense to sale ratio provides a measure of a </w:t>
      </w:r>
      <w:r w:rsidR="00FA674F">
        <w:rPr>
          <w:rFonts w:asciiTheme="majorHAnsi" w:eastAsia="Times New Roman" w:hAnsiTheme="majorHAnsi" w:cstheme="majorHAnsi"/>
          <w:sz w:val="24"/>
          <w:szCs w:val="24"/>
          <w:lang w:eastAsia="en-NZ"/>
        </w:rPr>
        <w:t>business’</w:t>
      </w:r>
      <w:r>
        <w:rPr>
          <w:rFonts w:asciiTheme="majorHAnsi" w:eastAsia="Times New Roman" w:hAnsiTheme="majorHAnsi" w:cstheme="majorHAnsi"/>
          <w:sz w:val="24"/>
          <w:szCs w:val="24"/>
          <w:lang w:eastAsia="en-NZ"/>
        </w:rPr>
        <w:t xml:space="preserve"> profitability, looking at the ratio of expenses to sales. </w:t>
      </w:r>
      <w:r w:rsidR="00FA674F">
        <w:rPr>
          <w:rFonts w:asciiTheme="majorHAnsi" w:eastAsia="Times New Roman" w:hAnsiTheme="majorHAnsi" w:cstheme="majorHAnsi"/>
          <w:sz w:val="24"/>
          <w:szCs w:val="24"/>
          <w:lang w:eastAsia="en-NZ"/>
        </w:rPr>
        <w:t xml:space="preserve">This ratio is often used to help estimate future business expenses, and to help identify trends in expenses such as increases over time. </w:t>
      </w:r>
    </w:p>
    <w:p w:rsidR="009305E2" w:rsidRPr="009305E2" w:rsidRDefault="009305E2" w:rsidP="009305E2">
      <w:pPr>
        <w:spacing w:before="100" w:beforeAutospacing="1" w:after="100" w:afterAutospacing="1" w:line="240" w:lineRule="auto"/>
        <w:rPr>
          <w:rFonts w:asciiTheme="majorHAnsi" w:eastAsia="Times New Roman" w:hAnsiTheme="majorHAnsi" w:cstheme="majorHAnsi"/>
          <w:sz w:val="24"/>
          <w:szCs w:val="24"/>
          <w:lang w:eastAsia="en-NZ"/>
        </w:rPr>
      </w:pPr>
      <m:oMathPara>
        <m:oMath>
          <m:r>
            <m:rPr>
              <m:sty m:val="p"/>
            </m:rPr>
            <w:rPr>
              <w:rFonts w:ascii="Cambria Math" w:eastAsia="Times New Roman" w:hAnsi="Cambria Math" w:cstheme="majorHAnsi"/>
              <w:sz w:val="24"/>
              <w:szCs w:val="24"/>
              <w:lang w:eastAsia="en-NZ"/>
            </w:rPr>
            <m:t>Expense to Sales</m:t>
          </m:r>
          <m:r>
            <m:rPr>
              <m:sty m:val="p"/>
            </m:rPr>
            <w:rPr>
              <w:rFonts w:ascii="Cambria Math" w:eastAsia="Times New Roman" w:hAnsi="Cambria Math" w:cstheme="majorHAnsi"/>
              <w:sz w:val="24"/>
              <w:szCs w:val="24"/>
              <w:lang w:eastAsia="en-NZ"/>
            </w:rPr>
            <m:t xml:space="preserve"> </m:t>
          </m:r>
          <m:r>
            <w:rPr>
              <w:rFonts w:ascii="Cambria Math" w:eastAsia="Times New Roman" w:hAnsi="Cambria Math" w:cstheme="majorHAnsi"/>
              <w:sz w:val="24"/>
              <w:szCs w:val="24"/>
              <w:lang w:eastAsia="en-NZ"/>
            </w:rPr>
            <m:t xml:space="preserve">= </m:t>
          </m:r>
          <m:f>
            <m:fPr>
              <m:ctrlPr>
                <w:rPr>
                  <w:rFonts w:ascii="Cambria Math" w:eastAsia="Times New Roman" w:hAnsi="Cambria Math" w:cstheme="majorHAnsi"/>
                  <w:i/>
                  <w:sz w:val="24"/>
                  <w:szCs w:val="24"/>
                  <w:lang w:eastAsia="en-NZ"/>
                </w:rPr>
              </m:ctrlPr>
            </m:fPr>
            <m:num>
              <m:r>
                <m:rPr>
                  <m:sty m:val="p"/>
                </m:rPr>
                <w:rPr>
                  <w:rFonts w:ascii="Cambria Math" w:eastAsia="Times New Roman" w:hAnsi="Cambria Math" w:cstheme="majorHAnsi"/>
                  <w:sz w:val="24"/>
                  <w:szCs w:val="24"/>
                  <w:lang w:eastAsia="en-NZ"/>
                </w:rPr>
                <m:t>Total expenses</m:t>
              </m:r>
            </m:num>
            <m:den>
              <m:r>
                <m:rPr>
                  <m:sty m:val="p"/>
                </m:rPr>
                <w:rPr>
                  <w:rFonts w:ascii="Cambria Math" w:eastAsia="Times New Roman" w:hAnsi="Cambria Math" w:cstheme="majorHAnsi"/>
                  <w:sz w:val="24"/>
                  <w:szCs w:val="24"/>
                  <w:lang w:eastAsia="en-NZ"/>
                </w:rPr>
                <m:t>Total Sales</m:t>
              </m:r>
            </m:den>
          </m:f>
        </m:oMath>
      </m:oMathPara>
    </w:p>
    <w:tbl>
      <w:tblPr>
        <w:tblStyle w:val="TableGrid"/>
        <w:tblW w:w="9350" w:type="dxa"/>
        <w:tblLook w:val="04A0" w:firstRow="1" w:lastRow="0" w:firstColumn="1" w:lastColumn="0" w:noHBand="0" w:noVBand="1"/>
      </w:tblPr>
      <w:tblGrid>
        <w:gridCol w:w="2337"/>
        <w:gridCol w:w="2337"/>
        <w:gridCol w:w="2338"/>
        <w:gridCol w:w="2338"/>
      </w:tblGrid>
      <w:tr w:rsidR="009305E2" w:rsidTr="009305E2">
        <w:tc>
          <w:tcPr>
            <w:tcW w:w="2337" w:type="dxa"/>
            <w:shd w:val="clear" w:color="auto" w:fill="D0CECE" w:themeFill="background2" w:themeFillShade="E6"/>
          </w:tcPr>
          <w:p w:rsidR="009305E2" w:rsidRPr="003433A2" w:rsidRDefault="009305E2" w:rsidP="009305E2">
            <w:pPr>
              <w:spacing w:before="100" w:beforeAutospacing="1" w:after="100" w:afterAutospacing="1"/>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Year</w:t>
            </w:r>
          </w:p>
        </w:tc>
        <w:tc>
          <w:tcPr>
            <w:tcW w:w="2337" w:type="dxa"/>
            <w:shd w:val="clear" w:color="auto" w:fill="D0CECE" w:themeFill="background2" w:themeFillShade="E6"/>
          </w:tcPr>
          <w:p w:rsidR="009305E2" w:rsidRDefault="009305E2" w:rsidP="009305E2">
            <w:pPr>
              <w:jc w:val="center"/>
              <w:rPr>
                <w:rFonts w:asciiTheme="majorHAnsi" w:eastAsia="Times New Roman" w:hAnsiTheme="majorHAnsi" w:cstheme="majorHAnsi"/>
                <w:b/>
                <w:sz w:val="24"/>
                <w:szCs w:val="24"/>
                <w:lang w:eastAsia="en-NZ"/>
              </w:rPr>
            </w:pPr>
            <w:r w:rsidRPr="003433A2">
              <w:rPr>
                <w:rFonts w:asciiTheme="majorHAnsi" w:eastAsia="Times New Roman" w:hAnsiTheme="majorHAnsi" w:cstheme="majorHAnsi"/>
                <w:b/>
                <w:sz w:val="24"/>
                <w:szCs w:val="24"/>
                <w:lang w:eastAsia="en-NZ"/>
              </w:rPr>
              <w:t xml:space="preserve">Total </w:t>
            </w:r>
            <w:r>
              <w:rPr>
                <w:rFonts w:asciiTheme="majorHAnsi" w:eastAsia="Times New Roman" w:hAnsiTheme="majorHAnsi" w:cstheme="majorHAnsi"/>
                <w:b/>
                <w:sz w:val="24"/>
                <w:szCs w:val="24"/>
                <w:lang w:eastAsia="en-NZ"/>
              </w:rPr>
              <w:t>Expenses</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9305E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Total Sales</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 xml:space="preserve">($000s) </w:t>
            </w:r>
          </w:p>
        </w:tc>
        <w:tc>
          <w:tcPr>
            <w:tcW w:w="2338" w:type="dxa"/>
            <w:shd w:val="clear" w:color="auto" w:fill="D0CECE" w:themeFill="background2" w:themeFillShade="E6"/>
          </w:tcPr>
          <w:p w:rsidR="00FD7D9D" w:rsidRDefault="00FD7D9D"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Expense to Sales</w:t>
            </w:r>
          </w:p>
          <w:p w:rsidR="009305E2" w:rsidRPr="003433A2" w:rsidRDefault="009305E2" w:rsidP="009305E2">
            <w:pPr>
              <w:jc w:val="center"/>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w:t>
            </w:r>
          </w:p>
        </w:tc>
      </w:tr>
      <w:tr w:rsidR="009305E2" w:rsidTr="009305E2">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2021</w:t>
            </w:r>
          </w:p>
        </w:tc>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t>
            </w:r>
            <w:r w:rsidR="00FD7D9D">
              <w:rPr>
                <w:rFonts w:asciiTheme="majorHAnsi" w:eastAsia="Times New Roman" w:hAnsiTheme="majorHAnsi" w:cstheme="majorHAnsi"/>
                <w:sz w:val="24"/>
                <w:szCs w:val="24"/>
                <w:lang w:eastAsia="en-NZ"/>
              </w:rPr>
              <w:t>663,825</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t>
            </w:r>
            <w:r w:rsidR="00FD7D9D">
              <w:rPr>
                <w:rFonts w:asciiTheme="majorHAnsi" w:eastAsia="Times New Roman" w:hAnsiTheme="majorHAnsi" w:cstheme="majorHAnsi"/>
                <w:sz w:val="24"/>
                <w:szCs w:val="24"/>
                <w:lang w:eastAsia="en-NZ"/>
              </w:rPr>
              <w:t>848,782</w:t>
            </w:r>
          </w:p>
        </w:tc>
        <w:tc>
          <w:tcPr>
            <w:tcW w:w="2338" w:type="dxa"/>
          </w:tcPr>
          <w:p w:rsidR="009305E2" w:rsidRDefault="00FD7D9D"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78.2</w:t>
            </w:r>
            <w:r w:rsidR="009305E2">
              <w:rPr>
                <w:rFonts w:asciiTheme="majorHAnsi" w:eastAsia="Times New Roman" w:hAnsiTheme="majorHAnsi" w:cstheme="majorHAnsi"/>
                <w:sz w:val="24"/>
                <w:szCs w:val="24"/>
                <w:lang w:eastAsia="en-NZ"/>
              </w:rPr>
              <w:t>%</w:t>
            </w:r>
          </w:p>
        </w:tc>
      </w:tr>
      <w:tr w:rsidR="009305E2" w:rsidTr="009305E2">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2020</w:t>
            </w:r>
          </w:p>
        </w:tc>
        <w:tc>
          <w:tcPr>
            <w:tcW w:w="2337"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t>
            </w:r>
            <w:r w:rsidR="00FD7D9D">
              <w:rPr>
                <w:rFonts w:asciiTheme="majorHAnsi" w:eastAsia="Times New Roman" w:hAnsiTheme="majorHAnsi" w:cstheme="majorHAnsi"/>
                <w:sz w:val="24"/>
                <w:szCs w:val="24"/>
                <w:lang w:eastAsia="en-NZ"/>
              </w:rPr>
              <w:t>580,090</w:t>
            </w:r>
          </w:p>
        </w:tc>
        <w:tc>
          <w:tcPr>
            <w:tcW w:w="2338" w:type="dxa"/>
          </w:tcPr>
          <w:p w:rsidR="009305E2" w:rsidRDefault="009305E2"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t>
            </w:r>
            <w:r w:rsidR="00FD7D9D">
              <w:rPr>
                <w:rFonts w:asciiTheme="majorHAnsi" w:eastAsia="Times New Roman" w:hAnsiTheme="majorHAnsi" w:cstheme="majorHAnsi"/>
                <w:sz w:val="24"/>
                <w:szCs w:val="24"/>
                <w:lang w:eastAsia="en-NZ"/>
              </w:rPr>
              <w:t>718,231</w:t>
            </w:r>
          </w:p>
        </w:tc>
        <w:tc>
          <w:tcPr>
            <w:tcW w:w="2338" w:type="dxa"/>
          </w:tcPr>
          <w:p w:rsidR="009305E2" w:rsidRDefault="00FD7D9D" w:rsidP="009305E2">
            <w:pPr>
              <w:spacing w:before="100" w:beforeAutospacing="1" w:after="100" w:afterAutospacing="1"/>
              <w:jc w:val="cente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80.7</w:t>
            </w:r>
            <w:r w:rsidR="009305E2">
              <w:rPr>
                <w:rFonts w:asciiTheme="majorHAnsi" w:eastAsia="Times New Roman" w:hAnsiTheme="majorHAnsi" w:cstheme="majorHAnsi"/>
                <w:sz w:val="24"/>
                <w:szCs w:val="24"/>
                <w:lang w:eastAsia="en-NZ"/>
              </w:rPr>
              <w:t>%</w:t>
            </w:r>
          </w:p>
        </w:tc>
      </w:tr>
    </w:tbl>
    <w:p w:rsidR="009305E2" w:rsidRDefault="00FA674F"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From the table above, we can see that Xero has a very high expense to sale ratio. Although it is high, it can be expected due to their current and previous efforts to expand their business, which will be greatly increasing their expenses. We can also see from this ratio that Xero’s expense to sale ratio from the 2021 financial year is substantially lower than that of 2020, which suggests that their expenses are currently decreasing. </w:t>
      </w:r>
    </w:p>
    <w:p w:rsidR="007D5188" w:rsidRDefault="007D5188"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Default="007D5188"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Default="007D5188"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Pr="00780006" w:rsidRDefault="00320101" w:rsidP="007D5188">
      <w:pPr>
        <w:spacing w:before="100" w:beforeAutospacing="1" w:after="100" w:afterAutospacing="1" w:line="240" w:lineRule="auto"/>
        <w:rPr>
          <w:rFonts w:asciiTheme="majorHAnsi" w:eastAsia="Times New Roman" w:hAnsiTheme="majorHAnsi" w:cstheme="majorHAnsi"/>
          <w:b/>
          <w:sz w:val="24"/>
          <w:szCs w:val="24"/>
          <w:lang w:eastAsia="en-NZ"/>
        </w:rPr>
      </w:pPr>
      <w:r>
        <w:rPr>
          <w:rFonts w:asciiTheme="majorHAnsi" w:eastAsia="Times New Roman" w:hAnsiTheme="majorHAnsi" w:cstheme="majorHAnsi"/>
          <w:b/>
          <w:sz w:val="24"/>
          <w:szCs w:val="24"/>
          <w:lang w:eastAsia="en-NZ"/>
        </w:rPr>
        <w:t>S</w:t>
      </w:r>
      <w:r w:rsidR="007D5188" w:rsidRPr="00780006">
        <w:rPr>
          <w:rFonts w:asciiTheme="majorHAnsi" w:eastAsia="Times New Roman" w:hAnsiTheme="majorHAnsi" w:cstheme="majorHAnsi"/>
          <w:b/>
          <w:sz w:val="24"/>
          <w:szCs w:val="24"/>
          <w:lang w:eastAsia="en-NZ"/>
        </w:rPr>
        <w:t>ummary of the Vox article:</w:t>
      </w: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r w:rsidRPr="00780006">
        <w:rPr>
          <w:rFonts w:asciiTheme="majorHAnsi" w:eastAsia="Times New Roman" w:hAnsiTheme="majorHAnsi" w:cstheme="majorHAnsi"/>
          <w:sz w:val="24"/>
          <w:szCs w:val="24"/>
          <w:lang w:eastAsia="en-NZ"/>
        </w:rPr>
        <w:t xml:space="preserve">This Vox article on the Myers-Briggs Type Indicator test brings forth a myriad of complaints and issues regarding the use and validity of this test. Their argument rests mainly on three key points, the test is based on unproven theories, it provides inconsistent and inaccurate results, and it has been disregarded by psychologists. The test is based on the untested theories of Carl Jung, in which he stipulated that every person can be categorised using 4 personality type indicators.  Dr Jung himself even stipulated that his theory was limiting, and wrote that "Every individual is an exception to the rule,". These theories were later adapted into the test we know today by Katherine Briggs and her daughter Isabel Briggs Myers, both of which had no academic training in psychology. It was also discussed in the article that over half of the people that take the test a second time will be given a different answer from their original, outlining how the test is very inconsistent. Finally, the article discusses how the test is widely disregarded by psychologists, and not considered to be suitable for use within a clinical setting. This is attributed to the factors </w:t>
      </w:r>
      <w:r w:rsidRPr="00780006">
        <w:rPr>
          <w:rFonts w:asciiTheme="majorHAnsi" w:eastAsia="Times New Roman" w:hAnsiTheme="majorHAnsi" w:cstheme="majorHAnsi"/>
          <w:sz w:val="24"/>
          <w:szCs w:val="24"/>
          <w:lang w:eastAsia="en-NZ"/>
        </w:rPr>
        <w:lastRenderedPageBreak/>
        <w:t>discussed above, as well as issue with the test being designed to be pleasing to take rather than accurate in its results.  </w:t>
      </w: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Pr="006A50A3" w:rsidRDefault="007D5188" w:rsidP="007D5188">
      <w:pPr>
        <w:spacing w:before="100" w:beforeAutospacing="1" w:after="100" w:afterAutospacing="1" w:line="240" w:lineRule="auto"/>
        <w:rPr>
          <w:rFonts w:asciiTheme="majorHAnsi" w:eastAsia="Times New Roman" w:hAnsiTheme="majorHAnsi" w:cstheme="majorHAnsi"/>
          <w:b/>
          <w:sz w:val="24"/>
          <w:szCs w:val="24"/>
          <w:lang w:eastAsia="en-NZ"/>
        </w:rPr>
      </w:pPr>
      <w:r w:rsidRPr="006A50A3">
        <w:rPr>
          <w:rFonts w:asciiTheme="majorHAnsi" w:eastAsia="Times New Roman" w:hAnsiTheme="majorHAnsi" w:cstheme="majorHAnsi"/>
          <w:b/>
          <w:sz w:val="24"/>
          <w:szCs w:val="24"/>
          <w:lang w:eastAsia="en-NZ"/>
        </w:rPr>
        <w:t>Test Construction &amp; Accuracy:</w:t>
      </w: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The </w:t>
      </w:r>
      <w:r w:rsidRPr="00780006">
        <w:rPr>
          <w:rFonts w:asciiTheme="majorHAnsi" w:eastAsia="Times New Roman" w:hAnsiTheme="majorHAnsi" w:cstheme="majorHAnsi"/>
          <w:sz w:val="24"/>
          <w:szCs w:val="24"/>
          <w:lang w:eastAsia="en-NZ"/>
        </w:rPr>
        <w:t>Myers-Briggs Type Indicator test</w:t>
      </w:r>
      <w:r>
        <w:rPr>
          <w:rFonts w:asciiTheme="majorHAnsi" w:eastAsia="Times New Roman" w:hAnsiTheme="majorHAnsi" w:cstheme="majorHAnsi"/>
          <w:sz w:val="24"/>
          <w:szCs w:val="24"/>
          <w:lang w:eastAsia="en-NZ"/>
        </w:rPr>
        <w:t xml:space="preserve"> consists of 90 yes/no questions that have been designed to identify how a person fits into the 4 identifying categories of ‘extraverted/introverted’, intuitive/observant’, ‘thinking/feeling’, and ‘judging/prospecting’.  As was suggested by the Vox article discussed above, constructing the test to use binary yes/no questions to identify complex and fluid personal characteristics results in mischaracterisations and inaccuracy. The construction of the testing questions is also highly ambiguous, and subject to constant changes throughout the period of a day, let alone a person’s life.  An example of this would be the question “You often feel overwhelmed”, as a person’s answer to this question may change with current workload, home environment, time of day, sleep schedule, and many more. With regards to the </w:t>
      </w:r>
      <w:r w:rsidRPr="00414414">
        <w:rPr>
          <w:rFonts w:asciiTheme="majorHAnsi" w:eastAsia="Times New Roman" w:hAnsiTheme="majorHAnsi" w:cstheme="majorHAnsi"/>
          <w:sz w:val="24"/>
          <w:szCs w:val="24"/>
          <w:lang w:eastAsia="en-NZ"/>
        </w:rPr>
        <w:t>16personalities.com</w:t>
      </w:r>
      <w:r>
        <w:rPr>
          <w:rFonts w:asciiTheme="majorHAnsi" w:eastAsia="Times New Roman" w:hAnsiTheme="majorHAnsi" w:cstheme="majorHAnsi"/>
          <w:sz w:val="24"/>
          <w:szCs w:val="24"/>
          <w:lang w:eastAsia="en-NZ"/>
        </w:rPr>
        <w:t xml:space="preserve"> iteration of the test, it would seem that they may have at least tried to circumvent the issue of using a binary yes/no answer through the use of a scale ranging from agree to disagree. As we have no way of knowing the true implementation of their testing system however, it is difficult to know if this provides any substantial changes to the test. It should also be noted that </w:t>
      </w:r>
      <w:r w:rsidRPr="00414414">
        <w:rPr>
          <w:rFonts w:asciiTheme="majorHAnsi" w:eastAsia="Times New Roman" w:hAnsiTheme="majorHAnsi" w:cstheme="majorHAnsi"/>
          <w:sz w:val="24"/>
          <w:szCs w:val="24"/>
          <w:lang w:eastAsia="en-NZ"/>
        </w:rPr>
        <w:t>16personalities.com</w:t>
      </w:r>
      <w:r>
        <w:rPr>
          <w:rFonts w:asciiTheme="majorHAnsi" w:eastAsia="Times New Roman" w:hAnsiTheme="majorHAnsi" w:cstheme="majorHAnsi"/>
          <w:sz w:val="24"/>
          <w:szCs w:val="24"/>
          <w:lang w:eastAsia="en-NZ"/>
        </w:rPr>
        <w:t xml:space="preserve"> also only provides 60 of the original 90 questions required to administer the official test. Overall, it is agreed upon by psychologists that the original </w:t>
      </w:r>
      <w:r w:rsidRPr="00780006">
        <w:rPr>
          <w:rFonts w:asciiTheme="majorHAnsi" w:eastAsia="Times New Roman" w:hAnsiTheme="majorHAnsi" w:cstheme="majorHAnsi"/>
          <w:sz w:val="24"/>
          <w:szCs w:val="24"/>
          <w:lang w:eastAsia="en-NZ"/>
        </w:rPr>
        <w:t>Myers-Briggs Type Indicator test</w:t>
      </w:r>
      <w:r>
        <w:rPr>
          <w:rFonts w:asciiTheme="majorHAnsi" w:eastAsia="Times New Roman" w:hAnsiTheme="majorHAnsi" w:cstheme="majorHAnsi"/>
          <w:sz w:val="24"/>
          <w:szCs w:val="24"/>
          <w:lang w:eastAsia="en-NZ"/>
        </w:rPr>
        <w:t xml:space="preserve"> provides little to no accurate and reproducible results, and it is unclear what improvements the </w:t>
      </w:r>
      <w:r w:rsidRPr="00414414">
        <w:rPr>
          <w:rFonts w:asciiTheme="majorHAnsi" w:eastAsia="Times New Roman" w:hAnsiTheme="majorHAnsi" w:cstheme="majorHAnsi"/>
          <w:sz w:val="24"/>
          <w:szCs w:val="24"/>
          <w:lang w:eastAsia="en-NZ"/>
        </w:rPr>
        <w:t>16personalities.com</w:t>
      </w:r>
      <w:r>
        <w:rPr>
          <w:rFonts w:asciiTheme="majorHAnsi" w:eastAsia="Times New Roman" w:hAnsiTheme="majorHAnsi" w:cstheme="majorHAnsi"/>
          <w:sz w:val="24"/>
          <w:szCs w:val="24"/>
          <w:lang w:eastAsia="en-NZ"/>
        </w:rPr>
        <w:t xml:space="preserve"> iteration of the test provides if any. </w:t>
      </w: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p>
    <w:p w:rsidR="007D5188" w:rsidRPr="006A50A3" w:rsidRDefault="007D5188" w:rsidP="007D5188">
      <w:pPr>
        <w:spacing w:before="100" w:beforeAutospacing="1" w:after="100" w:afterAutospacing="1" w:line="240" w:lineRule="auto"/>
        <w:rPr>
          <w:rFonts w:asciiTheme="majorHAnsi" w:eastAsia="Times New Roman" w:hAnsiTheme="majorHAnsi" w:cstheme="majorHAnsi"/>
          <w:b/>
          <w:sz w:val="24"/>
          <w:szCs w:val="24"/>
          <w:lang w:eastAsia="en-NZ"/>
        </w:rPr>
      </w:pPr>
      <w:r w:rsidRPr="006A50A3">
        <w:rPr>
          <w:rFonts w:asciiTheme="majorHAnsi" w:eastAsia="Times New Roman" w:hAnsiTheme="majorHAnsi" w:cstheme="majorHAnsi"/>
          <w:b/>
          <w:sz w:val="24"/>
          <w:szCs w:val="24"/>
          <w:lang w:eastAsia="en-NZ"/>
        </w:rPr>
        <w:t>Personal Comment on Accuracy</w:t>
      </w:r>
      <w:r>
        <w:rPr>
          <w:rFonts w:asciiTheme="majorHAnsi" w:eastAsia="Times New Roman" w:hAnsiTheme="majorHAnsi" w:cstheme="majorHAnsi"/>
          <w:b/>
          <w:sz w:val="24"/>
          <w:szCs w:val="24"/>
          <w:lang w:eastAsia="en-NZ"/>
        </w:rPr>
        <w:t>:</w:t>
      </w:r>
    </w:p>
    <w:p w:rsidR="007D5188" w:rsidRDefault="007D5188" w:rsidP="007D5188">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 xml:space="preserve">Over the past 3 years I have taken the </w:t>
      </w:r>
      <w:r w:rsidRPr="00780006">
        <w:rPr>
          <w:rFonts w:asciiTheme="majorHAnsi" w:eastAsia="Times New Roman" w:hAnsiTheme="majorHAnsi" w:cstheme="majorHAnsi"/>
          <w:sz w:val="24"/>
          <w:szCs w:val="24"/>
          <w:lang w:eastAsia="en-NZ"/>
        </w:rPr>
        <w:t>Myers-Briggs Type Indicator test</w:t>
      </w:r>
      <w:r>
        <w:rPr>
          <w:rFonts w:asciiTheme="majorHAnsi" w:eastAsia="Times New Roman" w:hAnsiTheme="majorHAnsi" w:cstheme="majorHAnsi"/>
          <w:sz w:val="24"/>
          <w:szCs w:val="24"/>
          <w:lang w:eastAsia="en-NZ"/>
        </w:rPr>
        <w:t xml:space="preserve"> 5 times, and I have never once received the same result. I have even received different results when taking the test a few hours apart. Due to this, I can personally attest to the inaccuracy and unrepeatability of this test, as I believe that any clinical test should at least have the ability to return similar results over the course of the same day. It is also clear that this test attempts to draw conclusions well beyond the bounds of what it can concluded based on the questions asked. Once a test has been completed it provides you with a lengthy description of your personality type, attempting to present information pertaining to your romantic relationships, friendships, parenthood, and career. This information has been set in an intentionally broad scope, and is full of generic statements that anyone could identify with such as “you tend focus on using your strengths”. It has also been intentionally constructed to never provide any type with negative feedback, ensuring that those taking the test will always complete it and feel validated. Based on this I </w:t>
      </w:r>
      <w:r>
        <w:rPr>
          <w:rFonts w:asciiTheme="majorHAnsi" w:eastAsia="Times New Roman" w:hAnsiTheme="majorHAnsi" w:cstheme="majorHAnsi"/>
          <w:sz w:val="24"/>
          <w:szCs w:val="24"/>
          <w:lang w:eastAsia="en-NZ"/>
        </w:rPr>
        <w:lastRenderedPageBreak/>
        <w:t xml:space="preserve">personally believe that the </w:t>
      </w:r>
      <w:r w:rsidRPr="00780006">
        <w:rPr>
          <w:rFonts w:asciiTheme="majorHAnsi" w:eastAsia="Times New Roman" w:hAnsiTheme="majorHAnsi" w:cstheme="majorHAnsi"/>
          <w:sz w:val="24"/>
          <w:szCs w:val="24"/>
          <w:lang w:eastAsia="en-NZ"/>
        </w:rPr>
        <w:t>Myers-Briggs Type Indicator test</w:t>
      </w:r>
      <w:r>
        <w:rPr>
          <w:rFonts w:asciiTheme="majorHAnsi" w:eastAsia="Times New Roman" w:hAnsiTheme="majorHAnsi" w:cstheme="majorHAnsi"/>
          <w:sz w:val="24"/>
          <w:szCs w:val="24"/>
          <w:lang w:eastAsia="en-NZ"/>
        </w:rPr>
        <w:t xml:space="preserve"> is closer to ‘psychological astrology’ than it is to a clinical test.</w:t>
      </w:r>
    </w:p>
    <w:p w:rsidR="007D5188" w:rsidRPr="00FA674F" w:rsidRDefault="007D5188"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67588A" w:rsidRDefault="0067588A" w:rsidP="001B4BE4">
      <w:pPr>
        <w:spacing w:before="100" w:beforeAutospacing="1" w:after="100" w:afterAutospacing="1" w:line="240" w:lineRule="auto"/>
        <w:rPr>
          <w:rFonts w:asciiTheme="majorHAnsi" w:eastAsia="Times New Roman" w:hAnsiTheme="majorHAnsi" w:cstheme="majorHAnsi"/>
          <w:b/>
          <w:sz w:val="24"/>
          <w:szCs w:val="24"/>
          <w:lang w:eastAsia="en-NZ"/>
        </w:rPr>
      </w:pPr>
    </w:p>
    <w:p w:rsidR="0067588A" w:rsidRPr="0067588A" w:rsidRDefault="0067588A" w:rsidP="001B4BE4">
      <w:pPr>
        <w:spacing w:before="100" w:beforeAutospacing="1" w:after="100" w:afterAutospacing="1" w:line="240" w:lineRule="auto"/>
        <w:rPr>
          <w:rFonts w:asciiTheme="majorHAnsi" w:eastAsia="Times New Roman" w:hAnsiTheme="majorHAnsi" w:cstheme="majorHAnsi"/>
          <w:b/>
          <w:sz w:val="24"/>
          <w:szCs w:val="24"/>
          <w:lang w:eastAsia="en-NZ"/>
        </w:rPr>
      </w:pPr>
    </w:p>
    <w:sectPr w:rsidR="0067588A" w:rsidRPr="0067588A" w:rsidSect="0094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039"/>
    <w:multiLevelType w:val="multilevel"/>
    <w:tmpl w:val="E08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A23"/>
    <w:multiLevelType w:val="hybridMultilevel"/>
    <w:tmpl w:val="72A81258"/>
    <w:lvl w:ilvl="0" w:tplc="14090001">
      <w:start w:val="1"/>
      <w:numFmt w:val="bullet"/>
      <w:lvlText w:val=""/>
      <w:lvlJc w:val="left"/>
      <w:pPr>
        <w:ind w:left="405"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077EFC"/>
    <w:multiLevelType w:val="hybridMultilevel"/>
    <w:tmpl w:val="DD1C1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C360CD"/>
    <w:multiLevelType w:val="hybridMultilevel"/>
    <w:tmpl w:val="19449382"/>
    <w:lvl w:ilvl="0" w:tplc="14090001">
      <w:start w:val="1"/>
      <w:numFmt w:val="bullet"/>
      <w:lvlText w:val=""/>
      <w:lvlJc w:val="left"/>
      <w:pPr>
        <w:ind w:left="405"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2744EB"/>
    <w:multiLevelType w:val="multilevel"/>
    <w:tmpl w:val="3A5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01DFB"/>
    <w:multiLevelType w:val="hybridMultilevel"/>
    <w:tmpl w:val="9E2EB50C"/>
    <w:lvl w:ilvl="0" w:tplc="FCC6E126">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1D93DF3"/>
    <w:multiLevelType w:val="hybridMultilevel"/>
    <w:tmpl w:val="1C4606D4"/>
    <w:lvl w:ilvl="0" w:tplc="FCC6E126">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7" w15:restartNumberingAfterBreak="0">
    <w:nsid w:val="6244137B"/>
    <w:multiLevelType w:val="multilevel"/>
    <w:tmpl w:val="2FA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C079F"/>
    <w:multiLevelType w:val="multilevel"/>
    <w:tmpl w:val="0D8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56FB1"/>
    <w:multiLevelType w:val="hybridMultilevel"/>
    <w:tmpl w:val="8F8EA3A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8"/>
  </w:num>
  <w:num w:numId="6">
    <w:abstractNumId w:val="0"/>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C4"/>
    <w:rsid w:val="00001DEE"/>
    <w:rsid w:val="00035938"/>
    <w:rsid w:val="000871E3"/>
    <w:rsid w:val="0009466E"/>
    <w:rsid w:val="000A3C2F"/>
    <w:rsid w:val="00101AB2"/>
    <w:rsid w:val="00134084"/>
    <w:rsid w:val="001449BE"/>
    <w:rsid w:val="001471F0"/>
    <w:rsid w:val="00147CA3"/>
    <w:rsid w:val="0016033D"/>
    <w:rsid w:val="00164B17"/>
    <w:rsid w:val="00171386"/>
    <w:rsid w:val="001A7BAF"/>
    <w:rsid w:val="001B4BE4"/>
    <w:rsid w:val="001D225E"/>
    <w:rsid w:val="001F6700"/>
    <w:rsid w:val="00207303"/>
    <w:rsid w:val="00223F16"/>
    <w:rsid w:val="00254659"/>
    <w:rsid w:val="002C24AF"/>
    <w:rsid w:val="002C4CCB"/>
    <w:rsid w:val="00320101"/>
    <w:rsid w:val="00330652"/>
    <w:rsid w:val="003433A2"/>
    <w:rsid w:val="003811C3"/>
    <w:rsid w:val="00391C05"/>
    <w:rsid w:val="00414414"/>
    <w:rsid w:val="00421210"/>
    <w:rsid w:val="00476148"/>
    <w:rsid w:val="004838C7"/>
    <w:rsid w:val="004A7559"/>
    <w:rsid w:val="004C170B"/>
    <w:rsid w:val="004E2B0A"/>
    <w:rsid w:val="00574809"/>
    <w:rsid w:val="005D7172"/>
    <w:rsid w:val="005F0AF3"/>
    <w:rsid w:val="006206D4"/>
    <w:rsid w:val="0067588A"/>
    <w:rsid w:val="006A50A3"/>
    <w:rsid w:val="0071156E"/>
    <w:rsid w:val="007162C4"/>
    <w:rsid w:val="0074681D"/>
    <w:rsid w:val="00763E37"/>
    <w:rsid w:val="00780006"/>
    <w:rsid w:val="00785E7A"/>
    <w:rsid w:val="007D5188"/>
    <w:rsid w:val="008E33B9"/>
    <w:rsid w:val="008E78AB"/>
    <w:rsid w:val="00912ED5"/>
    <w:rsid w:val="00914FCE"/>
    <w:rsid w:val="009261F1"/>
    <w:rsid w:val="009305E2"/>
    <w:rsid w:val="00943161"/>
    <w:rsid w:val="0098349D"/>
    <w:rsid w:val="00985567"/>
    <w:rsid w:val="00A65DAD"/>
    <w:rsid w:val="00A732B5"/>
    <w:rsid w:val="00A8786C"/>
    <w:rsid w:val="00AC72F9"/>
    <w:rsid w:val="00B04BE1"/>
    <w:rsid w:val="00B0792C"/>
    <w:rsid w:val="00B767E7"/>
    <w:rsid w:val="00BA7608"/>
    <w:rsid w:val="00BC4938"/>
    <w:rsid w:val="00BD736E"/>
    <w:rsid w:val="00BF427A"/>
    <w:rsid w:val="00C02CB1"/>
    <w:rsid w:val="00C23BDD"/>
    <w:rsid w:val="00C953EA"/>
    <w:rsid w:val="00CB7D4C"/>
    <w:rsid w:val="00D00AA6"/>
    <w:rsid w:val="00D92407"/>
    <w:rsid w:val="00DA0B3D"/>
    <w:rsid w:val="00E01CEF"/>
    <w:rsid w:val="00E83233"/>
    <w:rsid w:val="00F35BD7"/>
    <w:rsid w:val="00F43340"/>
    <w:rsid w:val="00F446CA"/>
    <w:rsid w:val="00F564C8"/>
    <w:rsid w:val="00FA237B"/>
    <w:rsid w:val="00FA674F"/>
    <w:rsid w:val="00FD7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C92E"/>
  <w15:chartTrackingRefBased/>
  <w15:docId w15:val="{760EC731-F251-4B72-B2A4-6EFA0EB8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2C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23BDD"/>
    <w:pPr>
      <w:ind w:left="720"/>
      <w:contextualSpacing/>
    </w:pPr>
  </w:style>
  <w:style w:type="character" w:styleId="Strong">
    <w:name w:val="Strong"/>
    <w:basedOn w:val="DefaultParagraphFont"/>
    <w:uiPriority w:val="22"/>
    <w:qFormat/>
    <w:rsid w:val="00F35BD7"/>
    <w:rPr>
      <w:b/>
      <w:bCs/>
    </w:rPr>
  </w:style>
  <w:style w:type="character" w:styleId="CommentReference">
    <w:name w:val="annotation reference"/>
    <w:basedOn w:val="DefaultParagraphFont"/>
    <w:uiPriority w:val="99"/>
    <w:semiHidden/>
    <w:unhideWhenUsed/>
    <w:rsid w:val="005F0AF3"/>
    <w:rPr>
      <w:sz w:val="16"/>
      <w:szCs w:val="16"/>
    </w:rPr>
  </w:style>
  <w:style w:type="paragraph" w:styleId="CommentText">
    <w:name w:val="annotation text"/>
    <w:basedOn w:val="Normal"/>
    <w:link w:val="CommentTextChar"/>
    <w:uiPriority w:val="99"/>
    <w:semiHidden/>
    <w:unhideWhenUsed/>
    <w:rsid w:val="005F0AF3"/>
    <w:pPr>
      <w:spacing w:line="240" w:lineRule="auto"/>
    </w:pPr>
    <w:rPr>
      <w:sz w:val="20"/>
      <w:szCs w:val="20"/>
    </w:rPr>
  </w:style>
  <w:style w:type="character" w:customStyle="1" w:styleId="CommentTextChar">
    <w:name w:val="Comment Text Char"/>
    <w:basedOn w:val="DefaultParagraphFont"/>
    <w:link w:val="CommentText"/>
    <w:uiPriority w:val="99"/>
    <w:semiHidden/>
    <w:rsid w:val="005F0AF3"/>
    <w:rPr>
      <w:sz w:val="20"/>
      <w:szCs w:val="20"/>
    </w:rPr>
  </w:style>
  <w:style w:type="paragraph" w:styleId="CommentSubject">
    <w:name w:val="annotation subject"/>
    <w:basedOn w:val="CommentText"/>
    <w:next w:val="CommentText"/>
    <w:link w:val="CommentSubjectChar"/>
    <w:uiPriority w:val="99"/>
    <w:semiHidden/>
    <w:unhideWhenUsed/>
    <w:rsid w:val="005F0AF3"/>
    <w:rPr>
      <w:b/>
      <w:bCs/>
    </w:rPr>
  </w:style>
  <w:style w:type="character" w:customStyle="1" w:styleId="CommentSubjectChar">
    <w:name w:val="Comment Subject Char"/>
    <w:basedOn w:val="CommentTextChar"/>
    <w:link w:val="CommentSubject"/>
    <w:uiPriority w:val="99"/>
    <w:semiHidden/>
    <w:rsid w:val="005F0AF3"/>
    <w:rPr>
      <w:b/>
      <w:bCs/>
      <w:sz w:val="20"/>
      <w:szCs w:val="20"/>
    </w:rPr>
  </w:style>
  <w:style w:type="paragraph" w:styleId="BalloonText">
    <w:name w:val="Balloon Text"/>
    <w:basedOn w:val="Normal"/>
    <w:link w:val="BalloonTextChar"/>
    <w:uiPriority w:val="99"/>
    <w:semiHidden/>
    <w:unhideWhenUsed/>
    <w:rsid w:val="005F0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AF3"/>
    <w:rPr>
      <w:rFonts w:ascii="Segoe UI" w:hAnsi="Segoe UI" w:cs="Segoe UI"/>
      <w:sz w:val="18"/>
      <w:szCs w:val="18"/>
    </w:rPr>
  </w:style>
  <w:style w:type="character" w:styleId="PlaceholderText">
    <w:name w:val="Placeholder Text"/>
    <w:basedOn w:val="DefaultParagraphFont"/>
    <w:uiPriority w:val="99"/>
    <w:semiHidden/>
    <w:rsid w:val="003433A2"/>
    <w:rPr>
      <w:color w:val="808080"/>
    </w:rPr>
  </w:style>
  <w:style w:type="table" w:styleId="TableGrid">
    <w:name w:val="Table Grid"/>
    <w:basedOn w:val="TableNormal"/>
    <w:uiPriority w:val="39"/>
    <w:rsid w:val="00343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7E7"/>
    <w:rPr>
      <w:color w:val="0563C1" w:themeColor="hyperlink"/>
      <w:u w:val="single"/>
    </w:rPr>
  </w:style>
  <w:style w:type="character" w:styleId="UnresolvedMention">
    <w:name w:val="Unresolved Mention"/>
    <w:basedOn w:val="DefaultParagraphFont"/>
    <w:uiPriority w:val="99"/>
    <w:semiHidden/>
    <w:unhideWhenUsed/>
    <w:rsid w:val="00B76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911934">
      <w:bodyDiv w:val="1"/>
      <w:marLeft w:val="0"/>
      <w:marRight w:val="0"/>
      <w:marTop w:val="0"/>
      <w:marBottom w:val="0"/>
      <w:divBdr>
        <w:top w:val="none" w:sz="0" w:space="0" w:color="auto"/>
        <w:left w:val="none" w:sz="0" w:space="0" w:color="auto"/>
        <w:bottom w:val="none" w:sz="0" w:space="0" w:color="auto"/>
        <w:right w:val="none" w:sz="0" w:space="0" w:color="auto"/>
      </w:divBdr>
    </w:div>
    <w:div w:id="1888951078">
      <w:bodyDiv w:val="1"/>
      <w:marLeft w:val="0"/>
      <w:marRight w:val="0"/>
      <w:marTop w:val="0"/>
      <w:marBottom w:val="0"/>
      <w:divBdr>
        <w:top w:val="none" w:sz="0" w:space="0" w:color="auto"/>
        <w:left w:val="none" w:sz="0" w:space="0" w:color="auto"/>
        <w:bottom w:val="none" w:sz="0" w:space="0" w:color="auto"/>
        <w:right w:val="none" w:sz="0" w:space="0" w:color="auto"/>
      </w:divBdr>
    </w:div>
    <w:div w:id="1994214509">
      <w:bodyDiv w:val="1"/>
      <w:marLeft w:val="0"/>
      <w:marRight w:val="0"/>
      <w:marTop w:val="0"/>
      <w:marBottom w:val="0"/>
      <w:divBdr>
        <w:top w:val="none" w:sz="0" w:space="0" w:color="auto"/>
        <w:left w:val="none" w:sz="0" w:space="0" w:color="auto"/>
        <w:bottom w:val="none" w:sz="0" w:space="0" w:color="auto"/>
        <w:right w:val="none" w:sz="0" w:space="0" w:color="auto"/>
      </w:divBdr>
    </w:div>
    <w:div w:id="2052462309">
      <w:bodyDiv w:val="1"/>
      <w:marLeft w:val="0"/>
      <w:marRight w:val="0"/>
      <w:marTop w:val="0"/>
      <w:marBottom w:val="0"/>
      <w:divBdr>
        <w:top w:val="none" w:sz="0" w:space="0" w:color="auto"/>
        <w:left w:val="none" w:sz="0" w:space="0" w:color="auto"/>
        <w:bottom w:val="none" w:sz="0" w:space="0" w:color="auto"/>
        <w:right w:val="none" w:sz="0" w:space="0" w:color="auto"/>
      </w:divBdr>
    </w:div>
    <w:div w:id="2060930040">
      <w:bodyDiv w:val="1"/>
      <w:marLeft w:val="0"/>
      <w:marRight w:val="0"/>
      <w:marTop w:val="0"/>
      <w:marBottom w:val="0"/>
      <w:divBdr>
        <w:top w:val="none" w:sz="0" w:space="0" w:color="auto"/>
        <w:left w:val="none" w:sz="0" w:space="0" w:color="auto"/>
        <w:bottom w:val="none" w:sz="0" w:space="0" w:color="auto"/>
        <w:right w:val="none" w:sz="0" w:space="0" w:color="auto"/>
      </w:divBdr>
    </w:div>
    <w:div w:id="21233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ovt.nz/assets/Uploads/Presentation-Tahu-Kukuta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4946</TotalTime>
  <Pages>7</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3</cp:revision>
  <dcterms:created xsi:type="dcterms:W3CDTF">2021-05-30T02:46:00Z</dcterms:created>
  <dcterms:modified xsi:type="dcterms:W3CDTF">2021-06-15T02:53:00Z</dcterms:modified>
</cp:coreProperties>
</file>