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Introduction:</w:t>
      </w:r>
    </w:p>
    <w:p>
      <w:pPr>
        <w:pStyle w:val="Normal"/>
        <w:rPr/>
      </w:pPr>
      <w:r>
        <w:rPr/>
        <w:t>The positive correlation between health and wealth has been shown many times. Pollack et al. (2007)⁠ for example found 29 studies testing for the correlation between health and wealth. But as they note in the discussion of their paper,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rPr/>
      </w:pPr>
      <w:r>
        <w:rP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w:t>
      </w:r>
      <w:r>
        <w:rPr>
          <w:position w:val="0"/>
          <w:sz w:val="24"/>
          <w:sz w:val="24"/>
          <w:vertAlign w:val="baseline"/>
        </w:rPr>
        <w:t>(Aittomäki, Martikainen, Laaksonen, Lahelma, &amp; Rahkonen, 2010, p. 1025)</w:t>
      </w:r>
      <w:r>
        <w:rPr/>
        <w:t xml:space="preserve">⁠. They find that wealth is highly relevant in explaining health. </w:t>
      </w:r>
    </w:p>
    <w:p>
      <w:pPr>
        <w:pStyle w:val="Normal"/>
        <w:rPr/>
      </w:pPr>
      <w:r>
        <w:rP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self rated health.</w:t>
      </w:r>
    </w:p>
    <w:p>
      <w:pPr>
        <w:pStyle w:val="Normal"/>
        <w:rPr/>
      </w:pPr>
      <w:r>
        <w:rPr/>
        <w:tab/>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Using different waves of this dataset will allow </w:t>
      </w:r>
      <w:r>
        <w:rPr>
          <w:color w:val="000000"/>
          <w:highlight w:val="white"/>
        </w:rPr>
        <w:t>this paper</w:t>
      </w:r>
      <w:r>
        <w:rPr>
          <w:color w:val="000000"/>
          <w:highlight w:val="white"/>
        </w:rPr>
        <w:t xml:space="preserve"> to try and find a causal relationship using the difference in difference analysis.</w:t>
      </w:r>
    </w:p>
    <w:p>
      <w:pPr>
        <w:pStyle w:val="Normal"/>
        <w:rPr/>
      </w:pPr>
      <w:r>
        <w:rPr>
          <w:color w:val="000000"/>
          <w:highlight w:val="white"/>
        </w:rPr>
        <w:tab/>
        <w:t xml:space="preserve">The paper will be structured as follows. Chapter 2 will discuss relevant literature on the subject of causality between health and wealth. Chapter 3 will describe the data used </w:t>
      </w:r>
      <w:r>
        <w:rPr>
          <w:color w:val="000000"/>
          <w:highlight w:val="white"/>
        </w:rPr>
        <w:t>and of what the variables consists of</w:t>
      </w:r>
      <w:r>
        <w:rPr>
          <w:color w:val="000000"/>
          <w:highlight w:val="white"/>
        </w:rPr>
        <w:t xml:space="preserve">. Chapter 4 will describe the statistical methods used. Firstly there will be </w:t>
      </w:r>
      <w:r>
        <w:rPr>
          <w:color w:val="000000"/>
          <w:highlight w:val="white"/>
        </w:rPr>
        <w:t>explained how there will be showed</w:t>
      </w:r>
      <w:r>
        <w:rPr>
          <w:color w:val="000000"/>
          <w:highlight w:val="white"/>
        </w:rPr>
        <w:t xml:space="preserve">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t>Related literatuur:</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w:t>
      </w:r>
      <w:r>
        <w:rPr>
          <w:color w:val="000000"/>
          <w:position w:val="0"/>
          <w:sz w:val="24"/>
          <w:sz w:val="24"/>
          <w:highlight w:val="white"/>
          <w:vertAlign w:val="baseline"/>
        </w:rPr>
        <w:t>(Meer, Miller, &amp; Rosen, 2003, p. 729)</w:t>
      </w:r>
      <w:r>
        <w:rPr>
          <w:color w:val="000000"/>
          <w:highlight w:val="white"/>
        </w:rPr>
        <w:t xml:space="preserve">⁠. Kim and Ruhm (2012)⁠ also use inheritance as exogenous wealth shocks and also find no significant effect on health. </w:t>
      </w:r>
    </w:p>
    <w:p>
      <w:pPr>
        <w:pStyle w:val="Normal"/>
        <w:rPr>
          <w:color w:val="000000"/>
          <w:highlight w:val="white"/>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 xml:space="preserve">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w:t>
      </w:r>
      <w:r>
        <w:rPr>
          <w:color w:val="000000"/>
          <w:highlight w:val="white"/>
        </w:rPr>
        <w:t>on the possible causal relationship</w:t>
      </w:r>
      <w:r>
        <w:rPr>
          <w:color w:val="000000"/>
          <w:highlight w:val="white"/>
        </w:rPr>
        <w:t>.</w:t>
      </w:r>
    </w:p>
    <w:p>
      <w:pPr>
        <w:pStyle w:val="Normal"/>
        <w:rPr/>
      </w:pPr>
      <w:r>
        <w:rPr>
          <w:color w:val="000000"/>
          <w:highlight w:val="white"/>
        </w:rPr>
        <w:tab/>
        <w:t xml:space="preserve">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the paper.   </w:t>
      </w:r>
    </w:p>
    <w:p>
      <w:pPr>
        <w:pStyle w:val="Normal"/>
        <w:rPr>
          <w:color w:val="000000"/>
          <w:highlight w:val="white"/>
        </w:rPr>
      </w:pPr>
      <w:r>
        <w:rPr>
          <w:color w:val="000000"/>
          <w:highlight w:val="white"/>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b/>
          <w:bCs/>
          <w:color w:val="000000"/>
          <w:highlight w:val="white"/>
        </w:rPr>
        <w:t>Data</w:t>
      </w:r>
    </w:p>
    <w:p>
      <w:pPr>
        <w:pStyle w:val="Normal"/>
        <w:rPr>
          <w:rFonts w:ascii="Liberation Serif" w:hAnsi="Liberation Serif"/>
          <w:color w:val="000000"/>
          <w:sz w:val="24"/>
          <w:szCs w:val="24"/>
          <w:highlight w:val="white"/>
        </w:rPr>
      </w:pPr>
      <w:r>
        <w:rPr>
          <w:color w:val="000000"/>
          <w:sz w:val="24"/>
          <w:szCs w:val="24"/>
          <w:highlight w:val="white"/>
        </w:rPr>
        <w:t>The data consists of different (yearly) waves from the DHS. The data is collected every year by the CentERdata. The DHS consists of six questionnaires:</w:t>
      </w:r>
    </w:p>
    <w:p>
      <w:pPr>
        <w:pStyle w:val="Normal"/>
        <w:rPr>
          <w:rFonts w:ascii="Liberation Serif" w:hAnsi="Liberation Serif"/>
          <w:sz w:val="24"/>
          <w:szCs w:val="24"/>
        </w:rPr>
      </w:pPr>
      <w:r>
        <w:rPr>
          <w:color w:val="000000"/>
          <w:spacing w:val="15"/>
          <w:sz w:val="24"/>
          <w:szCs w:val="24"/>
          <w:highlight w:val="white"/>
        </w:rPr>
        <w:t>1. General Information on the Household</w:t>
      </w:r>
      <w:r>
        <w:rPr>
          <w:color w:val="000000"/>
          <w:sz w:val="24"/>
          <w:szCs w:val="24"/>
          <w:highlight w:val="white"/>
        </w:rPr>
        <w:br/>
      </w:r>
      <w:r>
        <w:rPr>
          <w:color w:val="000000"/>
          <w:spacing w:val="15"/>
          <w:sz w:val="24"/>
          <w:szCs w:val="24"/>
          <w:highlight w:val="white"/>
        </w:rPr>
        <w:t>2. Household and Work</w:t>
      </w:r>
      <w:r>
        <w:rPr>
          <w:color w:val="000000"/>
          <w:sz w:val="24"/>
          <w:szCs w:val="24"/>
          <w:highlight w:val="white"/>
        </w:rPr>
        <w:br/>
      </w:r>
      <w:r>
        <w:rPr>
          <w:color w:val="000000"/>
          <w:spacing w:val="15"/>
          <w:sz w:val="24"/>
          <w:szCs w:val="24"/>
          <w:highlight w:val="white"/>
        </w:rPr>
        <w:t>3. Accommodation and Mortgages</w:t>
      </w:r>
      <w:r>
        <w:rPr>
          <w:color w:val="000000"/>
          <w:sz w:val="24"/>
          <w:szCs w:val="24"/>
          <w:highlight w:val="white"/>
        </w:rPr>
        <w:br/>
      </w:r>
      <w:r>
        <w:rPr>
          <w:color w:val="000000"/>
          <w:spacing w:val="15"/>
          <w:sz w:val="24"/>
          <w:szCs w:val="24"/>
          <w:highlight w:val="white"/>
        </w:rPr>
        <w:t>4. Health and Income</w:t>
      </w:r>
      <w:r>
        <w:rPr>
          <w:color w:val="000000"/>
          <w:sz w:val="24"/>
          <w:szCs w:val="24"/>
          <w:highlight w:val="white"/>
        </w:rPr>
        <w:br/>
      </w:r>
      <w:r>
        <w:rPr>
          <w:color w:val="000000"/>
          <w:spacing w:val="15"/>
          <w:sz w:val="24"/>
          <w:szCs w:val="24"/>
          <w:highlight w:val="white"/>
        </w:rPr>
        <w:t>5. Assets and Liabilities</w:t>
      </w:r>
      <w:r>
        <w:rPr>
          <w:color w:val="000000"/>
          <w:sz w:val="24"/>
          <w:szCs w:val="24"/>
          <w:highlight w:val="white"/>
        </w:rPr>
        <w:br/>
      </w:r>
      <w:r>
        <w:rPr>
          <w:color w:val="000000"/>
          <w:spacing w:val="15"/>
          <w:sz w:val="24"/>
          <w:szCs w:val="24"/>
          <w:highlight w:val="white"/>
        </w:rPr>
        <w:t>6. Economic and Psychological Concepts </w:t>
      </w:r>
    </w:p>
    <w:p>
      <w:pPr>
        <w:pStyle w:val="Normal"/>
        <w:rPr>
          <w:rFonts w:ascii="Liberation Serif" w:hAnsi="Liberation Serif"/>
          <w:color w:val="000000"/>
          <w:spacing w:val="15"/>
          <w:sz w:val="24"/>
          <w:szCs w:val="24"/>
          <w:highlight w:val="white"/>
        </w:rPr>
      </w:pPr>
      <w:r>
        <w:rPr>
          <w:color w:val="000000"/>
          <w:spacing w:val="15"/>
          <w:sz w:val="24"/>
          <w:szCs w:val="24"/>
          <w:highlight w:val="white"/>
        </w:rPr>
        <w:t xml:space="preserve">(“DHS data access | CentERdata.nl,” n.d.)⁠ </w:t>
      </w:r>
    </w:p>
    <w:p>
      <w:pPr>
        <w:pStyle w:val="Normal"/>
        <w:rPr/>
      </w:pPr>
      <w:r>
        <w:rPr>
          <w:color w:val="000000"/>
          <w:spacing w:val="15"/>
          <w:sz w:val="24"/>
          <w:szCs w:val="24"/>
          <w:highlight w:val="white"/>
        </w:rPr>
        <w:t xml:space="preserve">Besides the questionnaire data, the CentERdata also provides two aggregated data files, </w:t>
      </w:r>
      <w:r>
        <w:rPr>
          <w:color w:val="000000"/>
          <w:spacing w:val="15"/>
          <w:sz w:val="24"/>
          <w:szCs w:val="24"/>
          <w:highlight w:val="white"/>
        </w:rPr>
        <w:t>the aggregated income data and the aggregated wealth data</w:t>
      </w:r>
      <w:r>
        <w:rPr>
          <w:color w:val="000000"/>
          <w:spacing w:val="15"/>
          <w:sz w:val="24"/>
          <w:szCs w:val="24"/>
          <w:highlight w:val="white"/>
        </w:rPr>
        <w:t xml:space="preserve">. This paper will only use the Healh and Income questionnaire which includes the self-rated health variable and the aggregated wealth data. The aggregated wealth data is made up from different questionnaires and consists of all the </w:t>
      </w:r>
      <w:r>
        <w:rPr>
          <w:color w:val="000000"/>
          <w:spacing w:val="15"/>
          <w:sz w:val="24"/>
          <w:szCs w:val="24"/>
          <w:highlight w:val="white"/>
        </w:rPr>
        <w:t>assets</w:t>
      </w:r>
      <w:r>
        <w:rPr>
          <w:color w:val="000000"/>
          <w:spacing w:val="15"/>
          <w:sz w:val="24"/>
          <w:szCs w:val="24"/>
          <w:highlight w:val="white"/>
        </w:rPr>
        <w:t xml:space="preserve"> and </w:t>
      </w:r>
      <w:r>
        <w:rPr>
          <w:color w:val="000000"/>
          <w:spacing w:val="15"/>
          <w:sz w:val="24"/>
          <w:szCs w:val="24"/>
          <w:highlight w:val="white"/>
        </w:rPr>
        <w:t>liabilities</w:t>
      </w:r>
      <w:r>
        <w:rPr>
          <w:color w:val="000000"/>
          <w:spacing w:val="15"/>
          <w:sz w:val="24"/>
          <w:szCs w:val="24"/>
          <w:highlight w:val="white"/>
        </w:rPr>
        <w:t xml:space="preserve"> someone might have.</w:t>
      </w:r>
    </w:p>
    <w:p>
      <w:pPr>
        <w:pStyle w:val="Normal"/>
        <w:rPr/>
      </w:pPr>
      <w:r>
        <w:rPr>
          <w:color w:val="000000"/>
          <w:spacing w:val="15"/>
          <w:sz w:val="24"/>
          <w:szCs w:val="24"/>
          <w:highlight w:val="white"/>
        </w:rPr>
        <w:tab/>
        <w:t xml:space="preserve">The health variable will be a categorical variable with two options, either </w:t>
      </w:r>
      <w:r>
        <w:rPr>
          <w:i/>
          <w:iCs/>
          <w:color w:val="000000"/>
          <w:spacing w:val="15"/>
          <w:sz w:val="24"/>
          <w:szCs w:val="24"/>
          <w:highlight w:val="white"/>
        </w:rPr>
        <w:t>healthy</w:t>
      </w:r>
      <w:r>
        <w:rPr>
          <w:color w:val="000000"/>
          <w:spacing w:val="15"/>
          <w:sz w:val="24"/>
          <w:szCs w:val="24"/>
          <w:highlight w:val="white"/>
        </w:rPr>
        <w:t xml:space="preserve"> or </w:t>
      </w:r>
      <w:r>
        <w:rPr>
          <w:i/>
          <w:iCs/>
          <w:color w:val="000000"/>
          <w:spacing w:val="15"/>
          <w:sz w:val="24"/>
          <w:szCs w:val="24"/>
          <w:highlight w:val="white"/>
        </w:rPr>
        <w:t>not healthy</w:t>
      </w:r>
      <w:r>
        <w:rPr>
          <w:color w:val="000000"/>
          <w:spacing w:val="15"/>
          <w:sz w:val="24"/>
          <w:szCs w:val="24"/>
          <w:highlight w:val="white"/>
        </w:rPr>
        <w:t xml:space="preserve">. The data received from the DHS has five categories for health: </w:t>
      </w:r>
      <w:r>
        <w:rPr>
          <w:i/>
          <w:iCs/>
          <w:color w:val="000000"/>
          <w:spacing w:val="15"/>
          <w:sz w:val="24"/>
          <w:szCs w:val="24"/>
          <w:highlight w:val="white"/>
        </w:rPr>
        <w:t xml:space="preserve">poor, not so good, fair, good </w:t>
      </w:r>
      <w:r>
        <w:rPr>
          <w:color w:val="000000"/>
          <w:spacing w:val="15"/>
          <w:sz w:val="24"/>
          <w:szCs w:val="24"/>
          <w:highlight w:val="white"/>
        </w:rPr>
        <w:t xml:space="preserve">and </w:t>
      </w:r>
      <w:r>
        <w:rPr>
          <w:i/>
          <w:iCs/>
          <w:color w:val="000000"/>
          <w:spacing w:val="15"/>
          <w:sz w:val="24"/>
          <w:szCs w:val="24"/>
          <w:highlight w:val="white"/>
        </w:rPr>
        <w:t>excellent.</w:t>
      </w:r>
      <w:r>
        <w:rPr>
          <w:color w:val="000000"/>
          <w:spacing w:val="15"/>
          <w:sz w:val="24"/>
          <w:szCs w:val="24"/>
          <w:highlight w:val="white"/>
        </w:rPr>
        <w:t xml:space="preserve"> Persons who considered themselves to be in </w:t>
      </w:r>
      <w:r>
        <w:rPr>
          <w:i/>
          <w:iCs/>
          <w:color w:val="000000"/>
          <w:spacing w:val="15"/>
          <w:sz w:val="24"/>
          <w:szCs w:val="24"/>
          <w:highlight w:val="white"/>
        </w:rPr>
        <w:t xml:space="preserve">poor </w:t>
      </w:r>
      <w:r>
        <w:rPr>
          <w:color w:val="000000"/>
          <w:spacing w:val="15"/>
          <w:sz w:val="24"/>
          <w:szCs w:val="24"/>
          <w:highlight w:val="white"/>
        </w:rPr>
        <w:t xml:space="preserve">or </w:t>
      </w:r>
      <w:r>
        <w:rPr>
          <w:i/>
          <w:iCs/>
          <w:color w:val="000000"/>
          <w:spacing w:val="15"/>
          <w:sz w:val="24"/>
          <w:szCs w:val="24"/>
          <w:highlight w:val="white"/>
        </w:rPr>
        <w:t>not so good</w:t>
      </w:r>
      <w:r>
        <w:rPr>
          <w:color w:val="000000"/>
          <w:spacing w:val="15"/>
          <w:sz w:val="24"/>
          <w:szCs w:val="24"/>
          <w:highlight w:val="white"/>
        </w:rPr>
        <w:t xml:space="preserve"> health will be places in the </w:t>
      </w:r>
      <w:r>
        <w:rPr>
          <w:i/>
          <w:iCs/>
          <w:color w:val="000000"/>
          <w:spacing w:val="15"/>
          <w:sz w:val="24"/>
          <w:szCs w:val="24"/>
          <w:highlight w:val="white"/>
        </w:rPr>
        <w:t>not healthy</w:t>
      </w:r>
      <w:r>
        <w:rPr>
          <w:color w:val="000000"/>
          <w:spacing w:val="15"/>
          <w:sz w:val="24"/>
          <w:szCs w:val="24"/>
          <w:highlight w:val="white"/>
        </w:rPr>
        <w:t xml:space="preserve"> category. The persons that consider themselves to be in </w:t>
      </w:r>
      <w:r>
        <w:rPr>
          <w:i/>
          <w:iCs/>
          <w:color w:val="000000"/>
          <w:spacing w:val="15"/>
          <w:sz w:val="24"/>
          <w:szCs w:val="24"/>
          <w:highlight w:val="white"/>
        </w:rPr>
        <w:t xml:space="preserve">fair, good </w:t>
      </w:r>
      <w:r>
        <w:rPr>
          <w:color w:val="000000"/>
          <w:spacing w:val="15"/>
          <w:sz w:val="24"/>
          <w:szCs w:val="24"/>
          <w:highlight w:val="white"/>
        </w:rPr>
        <w:t xml:space="preserve">or </w:t>
      </w:r>
      <w:r>
        <w:rPr>
          <w:i/>
          <w:iCs/>
          <w:color w:val="000000"/>
          <w:spacing w:val="15"/>
          <w:sz w:val="24"/>
          <w:szCs w:val="24"/>
          <w:highlight w:val="white"/>
        </w:rPr>
        <w:t>excellent</w:t>
      </w:r>
      <w:r>
        <w:rPr>
          <w:color w:val="000000"/>
          <w:spacing w:val="15"/>
          <w:sz w:val="24"/>
          <w:szCs w:val="24"/>
          <w:highlight w:val="white"/>
        </w:rPr>
        <w:t xml:space="preserve"> health will be placed in the healthy category. Self rated health is a good predictor for mortality (Idler &amp; Benyamini, 1997)⁠ </w:t>
      </w:r>
      <w:r>
        <w:rPr>
          <w:color w:val="000000"/>
          <w:spacing w:val="15"/>
          <w:sz w:val="24"/>
          <w:szCs w:val="24"/>
          <w:highlight w:val="white"/>
        </w:rPr>
        <w:t>which</w:t>
      </w:r>
      <w:r>
        <w:rPr>
          <w:color w:val="000000"/>
          <w:spacing w:val="15"/>
          <w:sz w:val="24"/>
          <w:szCs w:val="24"/>
          <w:highlight w:val="white"/>
        </w:rPr>
        <w:t xml:space="preserve"> is a good indicator for health.</w:t>
      </w:r>
    </w:p>
    <w:p>
      <w:pPr>
        <w:pStyle w:val="Normal"/>
        <w:rPr/>
      </w:pPr>
      <w:r>
        <w:rPr>
          <w:color w:val="000000"/>
          <w:spacing w:val="15"/>
          <w:sz w:val="24"/>
          <w:szCs w:val="24"/>
          <w:highlight w:val="white"/>
        </w:rPr>
        <w:tab/>
        <w:t xml:space="preserve">To check if there is a correlation between wealth and health, a wealth variable needs to be created. For wealth this paper uses the net </w:t>
      </w:r>
      <w:r>
        <w:rPr>
          <w:color w:val="000000"/>
          <w:spacing w:val="15"/>
          <w:sz w:val="24"/>
          <w:szCs w:val="24"/>
          <w:highlight w:val="white"/>
        </w:rPr>
        <w:t>wealth</w:t>
      </w:r>
      <w:r>
        <w:rPr>
          <w:color w:val="000000"/>
          <w:spacing w:val="15"/>
          <w:sz w:val="24"/>
          <w:szCs w:val="24"/>
          <w:highlight w:val="white"/>
        </w:rPr>
        <w:t xml:space="preserve"> of a person. Someone might well own a  nice car and a house, but if he has a loan for the car and two mortgages on the house, he might still </w:t>
      </w:r>
      <w:r>
        <w:rPr>
          <w:color w:val="000000"/>
          <w:spacing w:val="15"/>
          <w:sz w:val="24"/>
          <w:szCs w:val="24"/>
          <w:highlight w:val="white"/>
        </w:rPr>
        <w:t>have a negative net wealth</w:t>
      </w:r>
      <w:r>
        <w:rPr>
          <w:color w:val="000000"/>
          <w:spacing w:val="15"/>
          <w:sz w:val="24"/>
          <w:szCs w:val="24"/>
          <w:highlight w:val="white"/>
        </w:rPr>
        <w:t xml:space="preserve">. To calculate the net </w:t>
      </w:r>
      <w:r>
        <w:rPr>
          <w:color w:val="000000"/>
          <w:spacing w:val="15"/>
          <w:sz w:val="24"/>
          <w:szCs w:val="24"/>
          <w:highlight w:val="white"/>
        </w:rPr>
        <w:t>wealth</w:t>
      </w:r>
      <w:r>
        <w:rPr>
          <w:color w:val="000000"/>
          <w:spacing w:val="15"/>
          <w:sz w:val="24"/>
          <w:szCs w:val="24"/>
          <w:highlight w:val="white"/>
        </w:rPr>
        <w:t>, all the assets of a person have been added together and the liabilities have been subtracted from the assets. The questionnaires are quite detailed on wealth which is important as was pointed out by Pollack et al. (2007).</w:t>
      </w:r>
    </w:p>
    <w:p>
      <w:pPr>
        <w:pStyle w:val="Normal"/>
        <w:rPr/>
      </w:pPr>
      <w:r>
        <w:rPr>
          <w:color w:val="000000"/>
          <w:spacing w:val="15"/>
          <w:sz w:val="24"/>
          <w:szCs w:val="24"/>
          <w:highlight w:val="white"/>
        </w:rPr>
        <w:tab/>
        <w:t xml:space="preserve">The assets that could be found in the aggregated wealth data were: </w:t>
      </w:r>
    </w:p>
    <w:p>
      <w:pPr>
        <w:pStyle w:val="Normal"/>
        <w:rPr>
          <w:rFonts w:ascii="Liberation Serif" w:hAnsi="Liberation Serif"/>
          <w:color w:val="000000"/>
          <w:spacing w:val="15"/>
          <w:sz w:val="24"/>
          <w:szCs w:val="24"/>
          <w:highlight w:val="white"/>
        </w:rPr>
      </w:pPr>
      <w:r>
        <w:rPr/>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checking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employer-sponsored savings plans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deposit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deposit books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certificates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single-premium annuity insurance policies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endowment insurance policies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growth funds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mutual funds and/or mutual fund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bonds and/or mortgage bonds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stocks and shares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put options bought</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put options written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call options bought</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call options written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pieces of real estate, not being used for own accommodation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value of life insurance mortgage real estate</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cars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motorbikes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boats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(site-)caravans/trailers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money lent out to family or friends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investments not mentioned before</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stocks from substantial holding</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business equity (professions)</w:t>
      </w:r>
    </w:p>
    <w:p>
      <w:pPr>
        <w:pStyle w:val="Normal"/>
        <w:numPr>
          <w:ilvl w:val="0"/>
          <w:numId w:val="1"/>
        </w:numPr>
        <w:rPr/>
      </w:pPr>
      <w:r>
        <w:rPr>
          <w:color w:val="000000"/>
          <w:spacing w:val="15"/>
          <w:sz w:val="24"/>
          <w:szCs w:val="24"/>
          <w:highlight w:val="white"/>
        </w:rPr>
        <w:t>business equity self-employed</w:t>
      </w:r>
    </w:p>
    <w:p>
      <w:pPr>
        <w:pStyle w:val="Normal"/>
        <w:numPr>
          <w:ilvl w:val="0"/>
          <w:numId w:val="0"/>
        </w:numPr>
        <w:ind w:left="720" w:hanging="0"/>
        <w:rPr>
          <w:rFonts w:ascii="Liberation Serif" w:hAnsi="Liberation Serif"/>
          <w:color w:val="000000"/>
          <w:spacing w:val="15"/>
          <w:sz w:val="24"/>
          <w:szCs w:val="24"/>
          <w:highlight w:val="white"/>
        </w:rPr>
      </w:pPr>
      <w:r>
        <w:rPr/>
      </w:r>
    </w:p>
    <w:p>
      <w:pPr>
        <w:pStyle w:val="Normal"/>
        <w:rPr/>
      </w:pPr>
      <w:r>
        <w:rPr>
          <w:color w:val="000000"/>
          <w:spacing w:val="15"/>
          <w:sz w:val="24"/>
          <w:szCs w:val="24"/>
          <w:highlight w:val="white"/>
        </w:rPr>
        <w:t>The liabilities consist of:</w:t>
      </w:r>
    </w:p>
    <w:p>
      <w:pPr>
        <w:pStyle w:val="Normal"/>
        <w:rPr>
          <w:rFonts w:ascii="Liberation Serif" w:hAnsi="Liberation Serif"/>
          <w:color w:val="000000"/>
          <w:spacing w:val="15"/>
          <w:sz w:val="24"/>
          <w:szCs w:val="24"/>
          <w:highlight w:val="white"/>
        </w:rPr>
      </w:pPr>
      <w:r>
        <w:rPr/>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private loans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extended lines of credit</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outstanding debts not mentioned earlier</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finance debts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loans from family or friends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study loans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credit card debts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loans not mentioned before</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checking accounts with negative balance</w:t>
      </w:r>
    </w:p>
    <w:p>
      <w:pPr>
        <w:pStyle w:val="Normal"/>
        <w:rPr>
          <w:rFonts w:ascii="Liberation Serif" w:hAnsi="Liberation Serif"/>
          <w:color w:val="000000"/>
          <w:spacing w:val="15"/>
          <w:sz w:val="24"/>
          <w:szCs w:val="24"/>
          <w:highlight w:val="white"/>
        </w:rPr>
      </w:pPr>
      <w:r>
        <w:rPr>
          <w:color w:val="000000"/>
          <w:spacing w:val="15"/>
          <w:sz w:val="24"/>
          <w:szCs w:val="24"/>
          <w:highlight w:val="white"/>
        </w:rPr>
      </w:r>
    </w:p>
    <w:p>
      <w:pPr>
        <w:pStyle w:val="Normal"/>
        <w:rPr>
          <w:rFonts w:ascii="Liberation Serif" w:hAnsi="Liberation Serif"/>
          <w:color w:val="000000"/>
          <w:spacing w:val="15"/>
          <w:sz w:val="24"/>
          <w:szCs w:val="24"/>
          <w:highlight w:val="white"/>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7330" cy="5213350"/>
                <wp:effectExtent l="0" t="0" r="0" b="0"/>
                <wp:wrapSquare wrapText="bothSides"/>
                <wp:docPr id="1" name="Frame1"/>
                <a:graphic xmlns:a="http://schemas.openxmlformats.org/drawingml/2006/main">
                  <a:graphicData uri="http://schemas.microsoft.com/office/word/2010/wordprocessingShape">
                    <wps:wsp>
                      <wps:cNvSpPr/>
                      <wps:spPr>
                        <a:xfrm>
                          <a:off x="0" y="0"/>
                          <a:ext cx="5306760" cy="521280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drawing>
                                <wp:inline distT="0" distB="0" distL="0" distR="0">
                                  <wp:extent cx="4972050" cy="488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r>
                              <w:rPr/>
                              <w:br/>
                              <w:t>figure 1</w:t>
                            </w:r>
                          </w:p>
                        </w:txbxContent>
                      </wps:txbx>
                      <wps:bodyPr lIns="90000" rIns="90000" tIns="45000" bIns="45000">
                        <a:noAutofit/>
                      </wps:bodyPr>
                    </wps:wsp>
                  </a:graphicData>
                </a:graphic>
              </wp:anchor>
            </w:drawing>
          </mc:Choice>
          <mc:Fallback>
            <w:pict>
              <v:rect id="shape_0" ID="Frame1" fillcolor="white" stroked="t" style="position:absolute;margin-left:32pt;margin-top:0.05pt;width:417.8pt;height:410.4pt;mso-position-horizontal:center">
                <w10:wrap type="square"/>
                <v:fill o:detectmouseclick="t" type="solid" color2="black"/>
                <v:stroke color="black" weight="720" joinstyle="round" endcap="flat"/>
                <v:textbox>
                  <w:txbxContent>
                    <w:p>
                      <w:pPr>
                        <w:pStyle w:val="Illustration"/>
                        <w:spacing w:before="120" w:after="120"/>
                        <w:rPr/>
                      </w:pPr>
                      <w:r>
                        <w:rPr/>
                        <w:drawing>
                          <wp:inline distT="0" distB="0" distL="0" distR="0">
                            <wp:extent cx="4972050" cy="48863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r>
                        <w:rPr/>
                        <w:br/>
                        <w:t>figure 1</w:t>
                      </w:r>
                    </w:p>
                  </w:txbxContent>
                </v:textbox>
              </v:rect>
            </w:pict>
          </mc:Fallback>
        </mc:AlternateContent>
      </w:r>
      <w:r>
        <w:rPr>
          <w:color w:val="000000"/>
          <w:spacing w:val="15"/>
          <w:sz w:val="24"/>
          <w:szCs w:val="24"/>
          <w:highlight w:val="white"/>
        </w:rPr>
        <w:tab/>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pPr>
      <w:r>
        <w:rPr>
          <w:color w:val="000000"/>
          <w:spacing w:val="15"/>
          <w:sz w:val="24"/>
          <w:szCs w:val="24"/>
          <w:highlight w:val="white"/>
        </w:rPr>
        <w:t xml:space="preserve">This paper will use the waves from 2007, 2013 and 2017. As is clearly visible in figure 1, the housing prices peaked somewhere in 2008. Because it is not clear when the data is collected it makes sense to take 2007 as the pretreatment year. 2013 is the year when the housing prices were at the lowest in the Netherlands. If wealth would cause short-term changes in health, it should be visible in 2013. So 2013 will be the first </w:t>
      </w:r>
      <w:r>
        <w:rPr>
          <w:color w:val="000000"/>
          <w:spacing w:val="15"/>
          <w:sz w:val="24"/>
          <w:szCs w:val="24"/>
          <w:highlight w:val="white"/>
        </w:rPr>
        <w:t>post</w:t>
      </w:r>
      <w:r>
        <w:rPr>
          <w:color w:val="000000"/>
          <w:spacing w:val="15"/>
          <w:sz w:val="24"/>
          <w:szCs w:val="24"/>
          <w:highlight w:val="white"/>
        </w:rPr>
        <w:t xml:space="preserve"> treatment year. In 2017, the housing prices were still not as high as in 2007. Using 2017 as another after treatment year it could show us more about the mid-term effect of wealth on health.</w:t>
      </w:r>
    </w:p>
    <w:p>
      <w:pPr>
        <w:pStyle w:val="Normal"/>
        <w:rPr>
          <w:rFonts w:ascii="Liberation Serif" w:hAnsi="Liberation Serif"/>
          <w:color w:val="000000"/>
          <w:spacing w:val="15"/>
          <w:sz w:val="24"/>
          <w:szCs w:val="24"/>
          <w:highlight w:val="white"/>
        </w:rPr>
      </w:pPr>
      <w:r>
        <w:rPr>
          <w:color w:val="000000"/>
          <w:spacing w:val="15"/>
          <w:sz w:val="24"/>
          <w:szCs w:val="24"/>
          <w:highlight w:val="white"/>
        </w:rPr>
      </w:r>
    </w:p>
    <w:p>
      <w:pPr>
        <w:pStyle w:val="Normal"/>
        <w:rPr>
          <w:b/>
          <w:b/>
          <w:bCs/>
          <w:color w:val="000000"/>
          <w:spacing w:val="15"/>
          <w:sz w:val="24"/>
          <w:szCs w:val="24"/>
          <w:highlight w:val="white"/>
        </w:rPr>
      </w:pPr>
      <w:r>
        <w:rPr/>
      </w:r>
    </w:p>
    <w:p>
      <w:pPr>
        <w:pStyle w:val="Normal"/>
        <w:rPr>
          <w:b/>
          <w:b/>
          <w:bCs/>
          <w:color w:val="000000"/>
          <w:spacing w:val="15"/>
          <w:sz w:val="24"/>
          <w:szCs w:val="24"/>
          <w:highlight w:val="white"/>
        </w:rPr>
      </w:pPr>
      <w:r>
        <w:rPr/>
      </w:r>
    </w:p>
    <w:p>
      <w:pPr>
        <w:pStyle w:val="Normal"/>
        <w:rPr>
          <w:b/>
          <w:b/>
          <w:bCs/>
          <w:color w:val="000000"/>
          <w:spacing w:val="15"/>
          <w:sz w:val="24"/>
          <w:szCs w:val="24"/>
          <w:highlight w:val="white"/>
        </w:rPr>
      </w:pPr>
      <w:r>
        <w:rPr/>
      </w:r>
    </w:p>
    <w:p>
      <w:pPr>
        <w:pStyle w:val="Normal"/>
        <w:rPr/>
      </w:pPr>
      <w:r>
        <w:rPr>
          <w:b/>
          <w:bCs/>
          <w:color w:val="000000"/>
          <w:spacing w:val="15"/>
          <w:sz w:val="24"/>
          <w:szCs w:val="24"/>
          <w:highlight w:val="white"/>
        </w:rPr>
        <w:t>Methods</w:t>
      </w:r>
    </w:p>
    <w:p>
      <w:pPr>
        <w:pStyle w:val="Normal"/>
        <w:rPr>
          <w:rFonts w:ascii="Liberation Serif" w:hAnsi="Liberation Serif"/>
          <w:sz w:val="24"/>
          <w:szCs w:val="24"/>
        </w:rPr>
      </w:pPr>
      <w:r>
        <w:rPr>
          <w:sz w:val="24"/>
          <w:szCs w:val="24"/>
        </w:rPr>
        <w:t xml:space="preserve">First this paper will use a simple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sz w:val="24"/>
          <w:szCs w:val="24"/>
        </w:rPr>
        <w:tab/>
        <w:t xml:space="preserve">Secondly, this paper uses a difference in difference (DD) analysis to look for a causal effect from wealth to health. A DD analysis is a quasi-experimental design with a treatment group, a control group and a treatment. A DD analysis is used to estimate the effect of a treatment by comparing </w:t>
      </w:r>
      <w:r>
        <w:rPr>
          <w:sz w:val="24"/>
          <w:szCs w:val="24"/>
        </w:rPr>
        <w:t xml:space="preserve">the differences in </w:t>
      </w:r>
      <w:r>
        <w:rPr>
          <w:sz w:val="24"/>
          <w:szCs w:val="24"/>
        </w:rPr>
        <w:t xml:space="preserve">the outcomes </w:t>
      </w:r>
      <w:r>
        <w:rPr>
          <w:sz w:val="24"/>
          <w:szCs w:val="24"/>
        </w:rPr>
        <w:t>between</w:t>
      </w:r>
      <w:r>
        <w:rPr>
          <w:sz w:val="24"/>
          <w:szCs w:val="24"/>
        </w:rPr>
        <w:t xml:space="preserve"> before and after the treatment between the treatment and the control group.</w:t>
      </w:r>
    </w:p>
    <w:p>
      <w:pPr>
        <w:pStyle w:val="Normal"/>
        <w:rPr>
          <w:rFonts w:ascii="Liberation Serif" w:hAnsi="Liberation Serif"/>
          <w:sz w:val="24"/>
          <w:szCs w:val="24"/>
        </w:rPr>
      </w:pPr>
      <w:r>
        <w:rPr>
          <w:sz w:val="24"/>
          <w:szCs w:val="24"/>
        </w:rP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pPr>
        <w:pStyle w:val="Normal"/>
        <w:rPr>
          <w:rFonts w:ascii="Liberation Serif" w:hAnsi="Liberation Serif"/>
          <w:sz w:val="24"/>
          <w:szCs w:val="24"/>
        </w:rPr>
      </w:pPr>
      <w:r>
        <w:rPr>
          <w:sz w:val="24"/>
          <w:szCs w:val="24"/>
        </w:rPr>
        <w:tab/>
      </w:r>
    </w:p>
    <w:p>
      <w:pPr>
        <w:pStyle w:val="Normal"/>
        <w:rPr>
          <w:rFonts w:ascii="Liberation Serif" w:hAnsi="Liberation Serif"/>
          <w:sz w:val="24"/>
          <w:szCs w:val="24"/>
        </w:rPr>
      </w:pPr>
      <w:r>
        <w:rPr>
          <w:sz w:val="24"/>
          <w:szCs w:val="24"/>
        </w:rPr>
        <w:t>The following regression model will be used:</w:t>
      </w:r>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Diff</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Diff</m:t>
        </m:r>
        <m:r>
          <w:rPr>
            <w:rFonts w:ascii="Cambria Math" w:hAnsi="Cambria Math"/>
          </w:rPr>
          <m:t xml:space="preserve">+</m:t>
        </m:r>
        <m:r>
          <w:rPr>
            <w:rFonts w:ascii="Cambria Math" w:hAnsi="Cambria Math"/>
          </w:rPr>
          <m:t xml:space="preserve">ε</m:t>
        </m:r>
      </m:oMath>
    </w:p>
    <w:p>
      <w:pPr>
        <w:pStyle w:val="Normal"/>
        <w:rPr>
          <w:rFonts w:ascii="Liberation Serif" w:hAnsi="Liberation Serif"/>
          <w:sz w:val="24"/>
          <w:szCs w:val="24"/>
        </w:rPr>
      </w:pPr>
      <w:r>
        <w:rPr>
          <w:sz w:val="24"/>
          <w:szCs w:val="24"/>
        </w:rPr>
        <w:t>Where Time is the time trend in the control group, Diff is the difference between the two groups pre-intervention and Time * Diff is the difference in change over time.</w:t>
      </w:r>
    </w:p>
    <w:p>
      <w:pPr>
        <w:pStyle w:val="Normal"/>
        <w:rPr>
          <w:rFonts w:ascii="Liberation Serif" w:hAnsi="Liberation Serif"/>
          <w:sz w:val="24"/>
          <w:szCs w:val="24"/>
        </w:rPr>
      </w:pPr>
      <w:r>
        <w:rPr>
          <w:sz w:val="24"/>
          <w:szCs w:val="24"/>
        </w:rPr>
        <w:tab/>
        <w:t>Therefore the hypotheses are:</w:t>
      </w:r>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VisitedInternetLink">
    <w:name w:val="Visited Internet Link"/>
    <w:rPr>
      <w:color w:val="800000"/>
      <w:u w:val="single"/>
    </w:rPr>
  </w:style>
  <w:style w:type="character" w:styleId="TekstopmerkingChar">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name w:val="Ballontekst Char"/>
    <w:basedOn w:val="DefaultParagraphFont"/>
    <w:qFormat/>
    <w:rPr>
      <w:rFonts w:ascii="Tahoma" w:hAnsi="Tahoma" w:cs="Mangal"/>
      <w:sz w:val="16"/>
      <w:szCs w:val="14"/>
    </w:rPr>
  </w:style>
  <w:style w:type="character" w:styleId="OnderwerpvanopmerkingChar">
    <w:name w:val="Onderwerp van opmerking Char"/>
    <w:basedOn w:val="TekstopmerkingChar"/>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Illustration">
    <w:name w:val="Illustration"/>
    <w:basedOn w:val="Caption"/>
    <w:qFormat/>
    <w:pPr/>
    <w:rPr/>
  </w:style>
  <w:style w:type="paragraph" w:styleId="FrameContents">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97</TotalTime>
  <Application>LibreOffice/5.1.6.2$Linux_X86_64 LibreOffice_project/10m0$Build-2</Application>
  <Pages>5</Pages>
  <Words>2224</Words>
  <Characters>11102</Characters>
  <CharactersWithSpaces>13253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2019-01-02T20:16:00Z</dcterms:created>
  <dc:creator>Emma Hissink Muller</dc:creator>
  <dc:description/>
  <dc:language>en-US</dc:language>
  <cp:lastModifiedBy/>
  <dcterms:modified xsi:type="dcterms:W3CDTF">2019-01-04T08:59:55Z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0</vt:bool>
  </property>
  <property fmtid="{D5CDD505-2E9C-101B-9397-08002B2CF9AE}" pid="10" name="ShareDoc">
    <vt:bool>0</vt:bool>
  </property>
</Properties>
</file>