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062155">
      <w:r>
        <w:rPr>
          <w:b/>
          <w:bCs/>
          <w:color w:val="000000"/>
          <w:highlight w:val="white"/>
        </w:rPr>
        <w:t>Niels van Opstal 4-1</w:t>
      </w:r>
    </w:p>
    <w:p w:rsidR="00DF1E63" w:rsidRDefault="00DF1E63">
      <w:pPr>
        <w:rPr>
          <w:b/>
          <w:bCs/>
          <w:color w:val="000000"/>
          <w:highlight w:val="white"/>
        </w:rPr>
      </w:pPr>
    </w:p>
    <w:p w:rsidR="00DF1E63" w:rsidRDefault="00DF1E63">
      <w:pPr>
        <w:rPr>
          <w:b/>
          <w:bCs/>
          <w:color w:val="000000"/>
          <w:highlight w:val="white"/>
        </w:rPr>
      </w:pPr>
    </w:p>
    <w:p w:rsidR="00DF1E63" w:rsidRDefault="00062155">
      <w:r w:rsidRPr="00C033D5">
        <w:rPr>
          <w:b/>
          <w:bCs/>
          <w:color w:val="000000"/>
          <w:sz w:val="28"/>
          <w:highlight w:val="white"/>
        </w:rPr>
        <w:t>Introduction</w:t>
      </w:r>
      <w:r>
        <w:rPr>
          <w:b/>
          <w:bCs/>
          <w:color w:val="000000"/>
          <w:highlight w:val="white"/>
        </w:rPr>
        <w:t>:</w:t>
      </w:r>
    </w:p>
    <w:p w:rsidR="00DF1E63" w:rsidRDefault="00062155">
      <w:r>
        <w:t xml:space="preserve">The positive correlation between health and wealth has been shown many times. Pollack et al. (2007)⁠ for example found 29 studies </w:t>
      </w:r>
      <w:r w:rsidR="00012E05">
        <w:t>that tested</w:t>
      </w:r>
      <w:r>
        <w:t xml:space="preserve"> for the correlation between health and wealth. But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DF1E63" w:rsidRDefault="00062155">
      <w: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(Aittomäki, Martikainen, Laaksonen, Lahelma, &amp; Rahkonen, 2010, p. 1025)⁠. They find that wealth is highly relevant in explaining health. </w:t>
      </w:r>
    </w:p>
    <w:p w:rsidR="00DF1E63" w:rsidRDefault="00062155">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affect the wealth of the home-owners</w:t>
      </w:r>
      <w:r w:rsidR="00012E05">
        <w:t xml:space="preserve"> more than the wealth of tenants since the wealth of home owners is more exposed to changes in housing prices than the wealth of tenants. I</w:t>
      </w:r>
      <w:r>
        <w:t xml:space="preserve">t stands to reason that </w:t>
      </w:r>
      <w:r w:rsidR="00012E05">
        <w:t>the change in housing prices</w:t>
      </w:r>
      <w:r>
        <w:t xml:space="preserve"> does not </w:t>
      </w:r>
      <w:r w:rsidR="00012E05">
        <w:t xml:space="preserve">directly </w:t>
      </w:r>
      <w:r>
        <w:t xml:space="preserve">affect or is affected by health status of the home-owner or home-renters alike. </w:t>
      </w:r>
      <w:commentRangeStart w:id="0"/>
      <w:r>
        <w:t xml:space="preserve">The wealth of a person will be defined as the net worth of a person, i.e. all their assets minus their liabilities. Each person will be placed into one of two categories, i.e. healthy (1) or not healthy (0), based on their </w:t>
      </w:r>
      <w:r w:rsidR="00012E05">
        <w:t>self-assessed</w:t>
      </w:r>
      <w:r>
        <w:t xml:space="preserve"> health.</w:t>
      </w:r>
      <w:commentRangeEnd w:id="0"/>
      <w:r w:rsidR="00012E05">
        <w:rPr>
          <w:rStyle w:val="CommentReference"/>
          <w:rFonts w:cs="Mangal"/>
        </w:rPr>
        <w:commentReference w:id="0"/>
      </w:r>
    </w:p>
    <w:p w:rsidR="00DF1E63" w:rsidRDefault="00062155">
      <w:r>
        <w:tab/>
        <w:t>To try to find the causal relationship between health and wealth the data from the DNB Household Survey (DHS) from CentERdata. This survey is described as “</w:t>
      </w:r>
      <w:r>
        <w:rPr>
          <w:color w:val="000000"/>
          <w:highlight w:val="white"/>
        </w:rPr>
        <w:t>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this paper to try and find a causal relationship using the difference in difference analysis.</w:t>
      </w:r>
    </w:p>
    <w:p w:rsidR="00DF1E63" w:rsidRDefault="00062155">
      <w:r>
        <w:rPr>
          <w:color w:val="000000"/>
          <w:highlight w:val="white"/>
        </w:rPr>
        <w:tab/>
        <w:t xml:space="preserve">The paper will be structured as follows. </w:t>
      </w:r>
      <w:r w:rsidR="00012E05">
        <w:rPr>
          <w:color w:val="000000"/>
          <w:highlight w:val="white"/>
        </w:rPr>
        <w:t>The first chapter</w:t>
      </w:r>
      <w:r>
        <w:rPr>
          <w:color w:val="000000"/>
          <w:highlight w:val="white"/>
        </w:rPr>
        <w:t xml:space="preserve"> will discuss relevant literature on the subject of causality between health and wealth.</w:t>
      </w:r>
      <w:r w:rsidR="00012E05">
        <w:rPr>
          <w:color w:val="000000"/>
          <w:highlight w:val="white"/>
        </w:rPr>
        <w:t xml:space="preserve"> The second chapter</w:t>
      </w:r>
      <w:r>
        <w:rPr>
          <w:color w:val="000000"/>
          <w:highlight w:val="white"/>
        </w:rPr>
        <w:t xml:space="preserve"> will describe the data used and of what the variables consists of. </w:t>
      </w:r>
      <w:r w:rsidR="00012E05">
        <w:rPr>
          <w:color w:val="000000"/>
          <w:highlight w:val="white"/>
        </w:rPr>
        <w:t>The fourth chapter</w:t>
      </w:r>
      <w:r>
        <w:rPr>
          <w:color w:val="000000"/>
          <w:highlight w:val="white"/>
        </w:rPr>
        <w:t xml:space="preserve"> will describe the statistical methods used. </w:t>
      </w:r>
      <w:r w:rsidR="00012E05">
        <w:rPr>
          <w:color w:val="000000"/>
          <w:highlight w:val="white"/>
        </w:rPr>
        <w:t xml:space="preserve">First will be described how a correlation between wealth and health will be </w:t>
      </w:r>
      <w:r w:rsidR="00012E05">
        <w:rPr>
          <w:color w:val="000000"/>
          <w:highlight w:val="white"/>
        </w:rPr>
        <w:t>found</w:t>
      </w:r>
      <w:r>
        <w:rPr>
          <w:color w:val="000000"/>
          <w:highlight w:val="white"/>
        </w:rPr>
        <w:t xml:space="preserve">. Secondly the method that will be used to test for a causal relationship will be described. </w:t>
      </w:r>
      <w:r w:rsidR="00012E05">
        <w:rPr>
          <w:color w:val="000000"/>
          <w:highlight w:val="white"/>
        </w:rPr>
        <w:t>The fifth chapter</w:t>
      </w:r>
      <w:r>
        <w:rPr>
          <w:color w:val="000000"/>
          <w:highlight w:val="white"/>
        </w:rPr>
        <w:t xml:space="preserve"> will present the results found by the s</w:t>
      </w:r>
      <w:r w:rsidR="00012E05">
        <w:rPr>
          <w:color w:val="000000"/>
          <w:highlight w:val="white"/>
        </w:rPr>
        <w:t>tatistical analysis and the final chapter</w:t>
      </w:r>
      <w:r>
        <w:rPr>
          <w:color w:val="000000"/>
          <w:highlight w:val="white"/>
        </w:rPr>
        <w:t xml:space="preserve"> will discuss the results and improvements for this study. </w:t>
      </w: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C033D5">
      <w:pPr>
        <w:rPr>
          <w:b/>
          <w:bCs/>
          <w:color w:val="000000"/>
          <w:sz w:val="28"/>
          <w:highlight w:val="white"/>
        </w:rPr>
      </w:pPr>
      <w:r w:rsidRPr="00C033D5">
        <w:rPr>
          <w:b/>
          <w:bCs/>
          <w:color w:val="000000"/>
          <w:sz w:val="28"/>
          <w:highlight w:val="white"/>
        </w:rPr>
        <w:t>Related literat</w:t>
      </w:r>
      <w:r w:rsidR="00062155" w:rsidRPr="00C033D5">
        <w:rPr>
          <w:b/>
          <w:bCs/>
          <w:color w:val="000000"/>
          <w:sz w:val="28"/>
          <w:highlight w:val="white"/>
        </w:rPr>
        <w:t>ur</w:t>
      </w:r>
      <w:r w:rsidRPr="00C033D5">
        <w:rPr>
          <w:b/>
          <w:bCs/>
          <w:color w:val="000000"/>
          <w:sz w:val="28"/>
          <w:highlight w:val="white"/>
        </w:rPr>
        <w:t>e</w:t>
      </w:r>
      <w:r w:rsidR="00062155" w:rsidRPr="00C033D5">
        <w:rPr>
          <w:b/>
          <w:bCs/>
          <w:color w:val="000000"/>
          <w:sz w:val="28"/>
          <w:highlight w:val="white"/>
        </w:rPr>
        <w:t>:</w:t>
      </w:r>
    </w:p>
    <w:p w:rsidR="00DF1E63" w:rsidRDefault="00062155">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w:t>
      </w:r>
      <w:r w:rsidR="00BC6F92">
        <w:rPr>
          <w:color w:val="000000"/>
          <w:highlight w:val="white"/>
        </w:rPr>
        <w:t>t</w:t>
      </w:r>
      <w:bookmarkStart w:id="1" w:name="_GoBack"/>
      <w:bookmarkEnd w:id="1"/>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DF1E63" w:rsidRDefault="00062155">
      <w:r>
        <w:rPr>
          <w:color w:val="000000"/>
          <w:highlight w:val="white"/>
        </w:rPr>
        <w:tab/>
        <w:t xml:space="preserve">There are however some studies that do address causality in the health wealth connection </w:t>
      </w:r>
      <w:r w:rsidR="00891442">
        <w:rPr>
          <w:color w:val="000000"/>
          <w:highlight w:val="white"/>
        </w:rPr>
        <w:t>and they mostly find insignificant causal effects</w:t>
      </w:r>
      <w:r>
        <w:rPr>
          <w:color w:val="000000"/>
          <w:highlight w:val="white"/>
        </w:rPr>
        <w:t xml:space="preserve">.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w:t>
      </w:r>
    </w:p>
    <w:p w:rsidR="00DF1E63" w:rsidRDefault="00062155">
      <w:pPr>
        <w:rPr>
          <w:color w:val="000000"/>
          <w:highlight w:val="white"/>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DF1E63" w:rsidRDefault="00062155">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DF1E63" w:rsidRDefault="00062155">
      <w:r>
        <w:rPr>
          <w:color w:val="000000"/>
          <w:highlight w:val="white"/>
        </w:rPr>
        <w:tab/>
        <w:t xml:space="preserve">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w:t>
      </w:r>
      <w:r w:rsidR="00891442">
        <w:rPr>
          <w:color w:val="000000"/>
          <w:highlight w:val="white"/>
        </w:rPr>
        <w:t>her</w:t>
      </w:r>
      <w:r>
        <w:rPr>
          <w:color w:val="000000"/>
          <w:highlight w:val="white"/>
        </w:rPr>
        <w:t xml:space="preserv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062155">
      <w:pPr>
        <w:rPr>
          <w:b/>
          <w:bCs/>
          <w:color w:val="000000"/>
          <w:sz w:val="28"/>
          <w:highlight w:val="white"/>
        </w:rPr>
      </w:pPr>
      <w:r w:rsidRPr="00C033D5">
        <w:rPr>
          <w:b/>
          <w:bCs/>
          <w:color w:val="000000"/>
          <w:sz w:val="28"/>
          <w:highlight w:val="white"/>
        </w:rPr>
        <w:t>Data</w:t>
      </w:r>
    </w:p>
    <w:p w:rsidR="00DF1E63" w:rsidRPr="00A10042" w:rsidRDefault="00062155">
      <w:pPr>
        <w:rPr>
          <w:color w:val="000000"/>
          <w:highlight w:val="white"/>
        </w:rPr>
      </w:pPr>
      <w:r>
        <w:rPr>
          <w:color w:val="000000"/>
          <w:highlight w:val="white"/>
        </w:rPr>
        <w:t>The data consists of different (yearly) waves from the DHS. The data is collected every year by the CentERdata. The DHS</w:t>
      </w:r>
      <w:r w:rsidR="0073286C">
        <w:rPr>
          <w:color w:val="000000"/>
          <w:highlight w:val="white"/>
        </w:rPr>
        <w:t xml:space="preserve"> consists of six questionnaires, General Information on the Household, Household and Work, Accommodation </w:t>
      </w:r>
      <w:r w:rsidR="00A10042">
        <w:rPr>
          <w:color w:val="000000"/>
          <w:highlight w:val="white"/>
        </w:rPr>
        <w:t>and Mortgages, Health and Income, Assets and Liabilities and Economic and Psychological Concepts.</w:t>
      </w:r>
      <w:r w:rsidR="00A10042">
        <w:rPr>
          <w:color w:val="000000"/>
          <w:spacing w:val="15"/>
          <w:highlight w:val="white"/>
        </w:rPr>
        <w:t xml:space="preserve"> </w:t>
      </w:r>
      <w:r>
        <w:rPr>
          <w:color w:val="000000"/>
          <w:spacing w:val="15"/>
          <w:highlight w:val="white"/>
        </w:rPr>
        <w:t xml:space="preserve">(“DHS data access | CentERdata.nl,” n.d.)⁠ </w:t>
      </w:r>
    </w:p>
    <w:p w:rsidR="00DF1E63" w:rsidRDefault="00062155">
      <w:r>
        <w:rPr>
          <w:color w:val="000000"/>
          <w:spacing w:val="15"/>
          <w:highlight w:val="white"/>
        </w:rPr>
        <w:t>Besides the questionnaire data, the CentERdata also provides two aggregated data files, the aggregated income data and the aggregated wealth data. This paper will only use the Heal</w:t>
      </w:r>
      <w:r w:rsidR="00A10042">
        <w:rPr>
          <w:color w:val="000000"/>
          <w:spacing w:val="15"/>
          <w:highlight w:val="white"/>
        </w:rPr>
        <w:t>t</w:t>
      </w:r>
      <w:r>
        <w:rPr>
          <w:color w:val="000000"/>
          <w:spacing w:val="15"/>
          <w:highlight w:val="white"/>
        </w:rPr>
        <w:t>h and Income questionnaire which includes the self-rated health variable and the aggregated wealth data. The aggregated wealth data is made up from different questionnaires and consists of all the assets and liabilities someone might have.</w:t>
      </w:r>
    </w:p>
    <w:p w:rsidR="00DF1E63" w:rsidRDefault="00062155">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Self rated health is a good predictor for mortality (Idler &amp; Benyamini, 1997)⁠ which is a good indicator for health.</w:t>
      </w:r>
    </w:p>
    <w:p w:rsidR="00DF1E63" w:rsidRDefault="00062155">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DF1E63" w:rsidRDefault="00062155">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1</w:t>
        </w:r>
      </w:fldSimple>
      <w:r>
        <w:t xml:space="preserve"> Assets and liabilities of which net worth is made up off</w:t>
      </w:r>
    </w:p>
    <w:tbl>
      <w:tblPr>
        <w:tblStyle w:val="LightShading-Accent5"/>
        <w:tblW w:w="0" w:type="auto"/>
        <w:tblLook w:val="04A0" w:firstRow="1" w:lastRow="0" w:firstColumn="1" w:lastColumn="0" w:noHBand="0" w:noVBand="1"/>
      </w:tblPr>
      <w:tblGrid>
        <w:gridCol w:w="4927"/>
        <w:gridCol w:w="4927"/>
      </w:tblGrid>
      <w:tr w:rsidR="00D336F0" w:rsidRPr="00D336F0" w:rsidTr="00D33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color w:val="000000"/>
                <w:spacing w:val="15"/>
              </w:rPr>
            </w:pPr>
            <w:r w:rsidRPr="00D336F0">
              <w:rPr>
                <w:color w:val="000000"/>
                <w:spacing w:val="15"/>
              </w:rPr>
              <w:t>Assets</w:t>
            </w:r>
          </w:p>
        </w:tc>
        <w:tc>
          <w:tcPr>
            <w:tcW w:w="4927" w:type="dxa"/>
          </w:tcPr>
          <w:p w:rsidR="00D336F0" w:rsidRPr="00D336F0" w:rsidRDefault="00D336F0" w:rsidP="00D336F0">
            <w:pPr>
              <w:ind w:left="360"/>
              <w:cnfStyle w:val="100000000000" w:firstRow="1"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Liabilities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checking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private loans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employer-sponsored savings plans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extended lines of credit</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deposit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outstanding debts not mentioned earlier</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deposit books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finance debts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certificates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loans from family or friends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single-premium annuity insurance policies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study loans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endowment insurance policies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credit card debts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growth funds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loans not mentioned before</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mutual funds and/or mutual fund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checking accounts with negative balance</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bonds and/or mortgage bonds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and shares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call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lastRenderedPageBreak/>
              <w:t>call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pieces of real estate, not being used for own accommodation</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value of life insurance mortgage real estate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cars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motorbikes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boats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(site-)caravans/trailers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money lent out to family or friends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investments not mentioned before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from substantial holding</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business equity (professions)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rPr>
            </w:pPr>
            <w:r w:rsidRPr="00D336F0">
              <w:rPr>
                <w:b w:val="0"/>
                <w:color w:val="000000"/>
                <w:spacing w:val="15"/>
              </w:rPr>
              <w:t>business equity self-employed</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8E7CFC">
            <w:pPr>
              <w:rPr>
                <w:color w:val="000000"/>
                <w:spacing w:val="15"/>
              </w:rPr>
            </w:pPr>
          </w:p>
        </w:tc>
        <w:tc>
          <w:tcPr>
            <w:tcW w:w="4927" w:type="dxa"/>
          </w:tcPr>
          <w:p w:rsidR="00D336F0" w:rsidRPr="00D336F0" w:rsidRDefault="00D336F0" w:rsidP="008E7CFC">
            <w:pPr>
              <w:cnfStyle w:val="000000100000" w:firstRow="0" w:lastRow="0" w:firstColumn="0" w:lastColumn="0" w:oddVBand="0" w:evenVBand="0" w:oddHBand="1" w:evenHBand="0" w:firstRowFirstColumn="0" w:firstRowLastColumn="0" w:lastRowFirstColumn="0" w:lastRowLastColumn="0"/>
              <w:rPr>
                <w:color w:val="000000"/>
                <w:spacing w:val="15"/>
              </w:rPr>
            </w:pPr>
          </w:p>
        </w:tc>
      </w:tr>
    </w:tbl>
    <w:p w:rsidR="00DF1E63" w:rsidRDefault="00DF1E63">
      <w:pPr>
        <w:rPr>
          <w:color w:val="000000"/>
          <w:spacing w:val="15"/>
          <w:highlight w:val="white"/>
        </w:rPr>
      </w:pPr>
    </w:p>
    <w:p w:rsidR="00DF1E63" w:rsidRDefault="00DF1E63">
      <w:pPr>
        <w:rPr>
          <w:color w:val="000000"/>
          <w:spacing w:val="15"/>
          <w:highlight w:val="white"/>
        </w:rPr>
      </w:pPr>
    </w:p>
    <w:p w:rsidR="00644187" w:rsidRDefault="00644187" w:rsidP="00644187">
      <w:pPr>
        <w:keepNext/>
        <w:jc w:val="right"/>
      </w:pPr>
      <w:r>
        <w:rPr>
          <w:noProof/>
          <w:lang w:eastAsia="en-US" w:bidi="ar-SA"/>
        </w:rPr>
        <w:drawing>
          <wp:inline distT="0" distB="0" distL="0" distR="0" wp14:anchorId="4A305E50" wp14:editId="3C9F0CA3">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fldSimple w:instr=" SEQ Figure \* ARABIC ">
        <w:r>
          <w:rPr>
            <w:noProof/>
          </w:rPr>
          <w:t>1</w:t>
        </w:r>
      </w:fldSimple>
      <w:r>
        <w:t xml:space="preserve"> Housing Prices in the Netherlands</w:t>
      </w:r>
    </w:p>
    <w:p w:rsidR="00DF1E63" w:rsidRDefault="00062155"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062155">
      <w:pPr>
        <w:rPr>
          <w:color w:val="000000"/>
          <w:spacing w:val="15"/>
        </w:rPr>
      </w:pPr>
      <w:r>
        <w:rPr>
          <w:color w:val="000000"/>
          <w:spacing w:val="15"/>
          <w:highlight w:val="white"/>
        </w:rPr>
        <w:t>This paper will use the waves from 2007, 2013 and 2017. As is clearly visible in figure 1, the housing prices peaked somewhere in 2008. Because the data is collected</w:t>
      </w:r>
      <w:r w:rsidR="00D336F0">
        <w:rPr>
          <w:color w:val="000000"/>
          <w:spacing w:val="15"/>
          <w:highlight w:val="white"/>
        </w:rPr>
        <w:t xml:space="preserve"> throughout the whole year</w:t>
      </w:r>
      <w:r>
        <w:rPr>
          <w:color w:val="000000"/>
          <w:spacing w:val="15"/>
          <w:highlight w:val="white"/>
        </w:rPr>
        <w:t xml:space="preserve"> it makes sense to take 2007 as the pretreatment year</w:t>
      </w:r>
      <w:r w:rsidR="00D336F0">
        <w:rPr>
          <w:color w:val="000000"/>
          <w:spacing w:val="15"/>
          <w:highlight w:val="white"/>
        </w:rPr>
        <w:t xml:space="preserve"> because the financial crisis hit in September 2008 it might have affected some observations</w:t>
      </w:r>
      <w:r>
        <w:rPr>
          <w:color w:val="000000"/>
          <w:spacing w:val="15"/>
          <w:highlight w:val="white"/>
        </w:rPr>
        <w:t>.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rsidR="00D336F0" w:rsidRDefault="006A6EF9">
      <w:r>
        <w:rPr>
          <w:color w:val="000000"/>
          <w:spacing w:val="15"/>
        </w:rPr>
        <w:tab/>
        <w:t>Table two</w:t>
      </w:r>
      <w:r w:rsidR="00D336F0">
        <w:rPr>
          <w:color w:val="000000"/>
          <w:spacing w:val="15"/>
        </w:rPr>
        <w:t xml:space="preserve"> shows the number of observations per year and the size of the treatment and control group. In all the three years the ratio of treatment group to control group is rather consistent and lies around 1:1. There is a trend where the treatment group grows between </w:t>
      </w:r>
      <w:commentRangeStart w:id="2"/>
      <w:r w:rsidR="00D336F0">
        <w:rPr>
          <w:color w:val="000000"/>
          <w:spacing w:val="15"/>
        </w:rPr>
        <w:t>the years</w:t>
      </w:r>
      <w:commentRangeEnd w:id="2"/>
      <w:r>
        <w:rPr>
          <w:rStyle w:val="CommentReference"/>
          <w:rFonts w:cs="Mangal"/>
        </w:rPr>
        <w:commentReference w:id="2"/>
      </w:r>
      <w:r>
        <w:rPr>
          <w:color w:val="000000"/>
          <w:spacing w:val="15"/>
        </w:rPr>
        <w:t>.</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2</w:t>
        </w:r>
      </w:fldSimple>
      <w:r>
        <w:t xml:space="preserve"> distribution of the control and treatment groups</w:t>
      </w:r>
    </w:p>
    <w:tbl>
      <w:tblPr>
        <w:tblStyle w:val="LightShading-Accent5"/>
        <w:tblW w:w="0" w:type="auto"/>
        <w:jc w:val="center"/>
        <w:tblLook w:val="04A0" w:firstRow="1" w:lastRow="0" w:firstColumn="1" w:lastColumn="0" w:noHBand="0" w:noVBand="1"/>
      </w:tblPr>
      <w:tblGrid>
        <w:gridCol w:w="2033"/>
        <w:gridCol w:w="2033"/>
        <w:gridCol w:w="2033"/>
        <w:gridCol w:w="2033"/>
      </w:tblGrid>
      <w:tr w:rsidR="00421C64" w:rsidTr="004E7C1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C35FE8" w:rsidRDefault="00421C64" w:rsidP="00C35FE8">
            <w:pPr>
              <w:rPr>
                <w:color w:val="000000"/>
                <w:spacing w:val="15"/>
                <w:highlight w:val="white"/>
              </w:rPr>
            </w:pPr>
            <w:r>
              <w:rPr>
                <w:color w:val="000000"/>
                <w:spacing w:val="15"/>
                <w:highlight w:val="white"/>
              </w:rPr>
              <w:t>Year</w:t>
            </w:r>
          </w:p>
        </w:tc>
        <w:tc>
          <w:tcPr>
            <w:tcW w:w="2033" w:type="dxa"/>
          </w:tcPr>
          <w:p w:rsidR="00421C64" w:rsidRDefault="00421C64" w:rsidP="00C35FE8">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rsidP="00C35FE8">
            <w:pPr>
              <w:rPr>
                <w:color w:val="000000"/>
                <w:spacing w:val="15"/>
              </w:rPr>
            </w:pPr>
            <w:r w:rsidRPr="00421C64">
              <w:rPr>
                <w:color w:val="000000"/>
                <w:spacing w:val="15"/>
              </w:rPr>
              <w:t>2007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835 (46.14%)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974 (53.84%)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1809</w:t>
            </w:r>
          </w:p>
        </w:tc>
      </w:tr>
      <w:tr w:rsidR="00421C64" w:rsidRPr="00421C64" w:rsidTr="004E7C1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2013</w:t>
            </w:r>
          </w:p>
        </w:tc>
        <w:tc>
          <w:tcPr>
            <w:tcW w:w="2033" w:type="dxa"/>
          </w:tcPr>
          <w:p w:rsidR="00421C64" w:rsidRPr="00421C64" w:rsidRDefault="00421C64" w:rsidP="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807 (48.94%)</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842 (51.06%)</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1649</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1161 (52.42%)</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1054 (47.58%)</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2215</w:t>
            </w:r>
          </w:p>
        </w:tc>
      </w:tr>
    </w:tbl>
    <w:p w:rsidR="006A6EF9" w:rsidRDefault="006A6EF9">
      <w:pPr>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w:t>
      </w:r>
      <w:r>
        <w:rPr>
          <w:color w:val="000000"/>
          <w:spacing w:val="15"/>
        </w:rPr>
        <w:lastRenderedPageBreak/>
        <w:t>2017 that is 96%. In the control group 95% of the people observed are healthy in 2007 and 2013 and 92% of the people are healthy in 2017.</w:t>
      </w:r>
    </w:p>
    <w:p w:rsidR="006A6EF9" w:rsidRPr="00421C64" w:rsidRDefault="006A6EF9">
      <w:pPr>
        <w:rPr>
          <w:color w:val="000000"/>
          <w:spacing w:val="15"/>
        </w:rPr>
      </w:pPr>
      <w:r>
        <w:rPr>
          <w:color w:val="000000"/>
          <w:spacing w:val="15"/>
        </w:rPr>
        <w:tab/>
        <w:t>The</w:t>
      </w:r>
      <w:r w:rsidR="0073286C">
        <w:rPr>
          <w:color w:val="000000"/>
          <w:spacing w:val="15"/>
        </w:rPr>
        <w:t xml:space="preserve"> average</w:t>
      </w:r>
      <w:r>
        <w:rPr>
          <w:color w:val="000000"/>
          <w:spacing w:val="15"/>
        </w:rPr>
        <w:t xml:space="preserve"> net worth of the treatment group decreases between 2007 and 2013 and then increases between 2013 and 2017. The</w:t>
      </w:r>
      <w:r w:rsidR="0073286C">
        <w:rPr>
          <w:color w:val="000000"/>
          <w:spacing w:val="15"/>
        </w:rPr>
        <w:t xml:space="preserve"> average</w:t>
      </w:r>
      <w:r>
        <w:rPr>
          <w:color w:val="000000"/>
          <w:spacing w:val="15"/>
        </w:rPr>
        <w:t xml:space="preserve"> net worth of </w:t>
      </w:r>
      <w:r w:rsidR="0073286C">
        <w:rPr>
          <w:color w:val="000000"/>
          <w:spacing w:val="15"/>
        </w:rPr>
        <w:t xml:space="preserve">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AF0BB8" w:rsidRDefault="00AF0BB8" w:rsidP="00AF0BB8">
      <w:pPr>
        <w:pStyle w:val="Caption"/>
        <w:keepNext/>
      </w:pPr>
      <w:r>
        <w:t xml:space="preserve">Table </w:t>
      </w:r>
      <w:fldSimple w:instr=" SEQ Table \* ARABIC ">
        <w:r w:rsidR="00D336F0">
          <w:rPr>
            <w:noProof/>
          </w:rPr>
          <w:t>3</w:t>
        </w:r>
      </w:fldSimple>
      <w:r>
        <w:t xml:space="preserve"> </w:t>
      </w:r>
      <w:r w:rsidR="006A6EF9">
        <w:t xml:space="preserve">summary statistics </w:t>
      </w:r>
      <w:r>
        <w:t>2007</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Variable</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Health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0.97</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Net worth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275,271</w:t>
            </w:r>
          </w:p>
        </w:tc>
        <w:tc>
          <w:tcPr>
            <w:tcW w:w="1787" w:type="dxa"/>
          </w:tcPr>
          <w:p w:rsidR="00AF0BB8" w:rsidRPr="004E7C1B" w:rsidRDefault="00AF0BB8" w:rsidP="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329,037</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25,400</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75,946</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4</w:t>
        </w:r>
      </w:fldSimple>
      <w:r>
        <w:t xml:space="preserve"> </w:t>
      </w:r>
      <w:r w:rsidR="006A6EF9">
        <w:t xml:space="preserve">summary statistics </w:t>
      </w:r>
      <w:r>
        <w:t>2013</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Variable</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Health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0.20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Net worth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256,521</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249,175</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28,933</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91,215</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5</w:t>
        </w:r>
      </w:fldSimple>
      <w:r>
        <w:t xml:space="preserve"> </w:t>
      </w:r>
      <w:r w:rsidR="006A6EF9">
        <w:t xml:space="preserve">summary statistics </w:t>
      </w:r>
      <w:r>
        <w:t>2017</w:t>
      </w:r>
    </w:p>
    <w:tbl>
      <w:tblPr>
        <w:tblStyle w:val="LightShading-Accent1"/>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Variable</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Health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0.92</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0.27</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Net worth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263,053</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291,670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31,530</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102,177</w:t>
            </w:r>
          </w:p>
        </w:tc>
      </w:tr>
    </w:tbl>
    <w:p w:rsidR="00AF0BB8" w:rsidRDefault="00AF0BB8">
      <w:pPr>
        <w:rPr>
          <w:b/>
          <w:bCs/>
          <w:color w:val="000000"/>
          <w:spacing w:val="15"/>
          <w:highlight w:val="white"/>
        </w:rPr>
      </w:pPr>
    </w:p>
    <w:p w:rsidR="00DF1E63" w:rsidRDefault="00DF1E63">
      <w:pPr>
        <w:rPr>
          <w:b/>
          <w:bCs/>
          <w:color w:val="000000"/>
          <w:spacing w:val="15"/>
          <w:highlight w:val="white"/>
        </w:rPr>
      </w:pPr>
    </w:p>
    <w:p w:rsidR="00DF1E63" w:rsidRPr="00C033D5" w:rsidRDefault="00062155">
      <w:pPr>
        <w:rPr>
          <w:sz w:val="28"/>
        </w:rPr>
      </w:pPr>
      <w:r w:rsidRPr="00C033D5">
        <w:rPr>
          <w:b/>
          <w:bCs/>
          <w:color w:val="000000"/>
          <w:spacing w:val="15"/>
          <w:sz w:val="28"/>
          <w:highlight w:val="white"/>
        </w:rPr>
        <w:t>Methods</w:t>
      </w:r>
    </w:p>
    <w:p w:rsidR="00DF1E63" w:rsidRDefault="00062155" w:rsidP="00A10042">
      <w:r>
        <w:t xml:space="preserve">First this paper will use a simple </w:t>
      </w:r>
      <w:r w:rsidR="00C033D5">
        <w:t>ordinary least squares (OLS)</w:t>
      </w:r>
      <w:r>
        <w:t xml:space="preserve">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DF1E63" w:rsidRDefault="00062155" w:rsidP="00A10042">
      <w:r>
        <w:tab/>
        <w:t>Secondly, this paper uses a difference in difference (DD) analysis to look for a causal effect from wealth to health.</w:t>
      </w:r>
      <w:r w:rsidR="00071F0B">
        <w:t xml:space="preserve"> Health is defined in the same way as in the OLS regression.</w:t>
      </w:r>
      <w:r>
        <w:t xml:space="preserve">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DF1E63" w:rsidRDefault="00062155" w:rsidP="00A10042">
      <w: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w:t>
      </w:r>
      <w:r>
        <w:lastRenderedPageBreak/>
        <w:t>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rsidR="00DF1E63" w:rsidRDefault="00062155" w:rsidP="00A10042">
      <w:r>
        <w:tab/>
      </w:r>
      <w:r w:rsidR="00A10042">
        <w:tab/>
      </w:r>
    </w:p>
    <w:p w:rsidR="00DF1E63" w:rsidRDefault="00062155" w:rsidP="00A10042">
      <w:r>
        <w:t>The following regression model will be used:</w:t>
      </w:r>
    </w:p>
    <w:p w:rsidR="00DF1E63" w:rsidRDefault="00062155" w:rsidP="00A10042">
      <w:r>
        <w:tab/>
      </w:r>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w:p>
    <w:p w:rsidR="00DF1E63" w:rsidRDefault="00062155">
      <w:r>
        <w:t xml:space="preserve">Where Time is the time trend in the control group, </w:t>
      </w:r>
      <w:r w:rsidR="00D50999">
        <w:t>Treated</w:t>
      </w:r>
      <w:r>
        <w:t xml:space="preserve"> is the difference between the two groups pre-intervention and Time * Diff is the difference in change over time.</w:t>
      </w:r>
      <w:r w:rsidR="001A7998">
        <w:t xml:space="preserve"> If the Time * Diff coefficient is statistically different from zero, there is an effect from the treatment on the dependent variable.</w:t>
      </w:r>
    </w:p>
    <w:p w:rsidR="00DF1E63" w:rsidRDefault="00062155">
      <w:r>
        <w:tab/>
        <w:t>Therefore the hypotheses are:</w:t>
      </w:r>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w:p>
    <w:p w:rsidR="00DF1E63" w:rsidRDefault="00DF1E63"/>
    <w:p w:rsidR="00DF1E63" w:rsidRDefault="00DF1E63"/>
    <w:p w:rsidR="00DF1E63" w:rsidRDefault="00DF1E63"/>
    <w:p w:rsidR="00C033D5" w:rsidRDefault="00C033D5">
      <w:pPr>
        <w:rPr>
          <w:b/>
          <w:sz w:val="28"/>
          <w:szCs w:val="28"/>
        </w:rPr>
      </w:pPr>
    </w:p>
    <w:p w:rsidR="00644187" w:rsidRDefault="00644187">
      <w:pPr>
        <w:rPr>
          <w:b/>
        </w:rPr>
      </w:pPr>
      <w:r w:rsidRPr="00C033D5">
        <w:rPr>
          <w:b/>
          <w:sz w:val="28"/>
          <w:szCs w:val="28"/>
        </w:rPr>
        <w:t>Results</w:t>
      </w:r>
      <w:r>
        <w:rPr>
          <w:b/>
        </w:rPr>
        <w:t>:</w:t>
      </w:r>
    </w:p>
    <w:p w:rsidR="00C033D5" w:rsidRDefault="00C033D5">
      <w:pPr>
        <w:rPr>
          <w:b/>
        </w:rPr>
      </w:pPr>
    </w:p>
    <w:p w:rsidR="00C033D5" w:rsidRDefault="00C033D5">
      <w:pPr>
        <w:rPr>
          <w:b/>
        </w:rPr>
      </w:pPr>
      <w:r>
        <w:rPr>
          <w:b/>
        </w:rPr>
        <w:t>Basic OLS results</w:t>
      </w:r>
    </w:p>
    <w:p w:rsidR="00FE29A0" w:rsidRDefault="00C033D5">
      <w:r>
        <w:t xml:space="preserve">A simple OLS regression was conducted </w:t>
      </w:r>
      <w:r w:rsidR="00FE29A0">
        <w:t xml:space="preserve">first </w:t>
      </w:r>
      <w:r>
        <w:t>to check whether or not there exists a correlation between health  and health in this dataset.</w:t>
      </w:r>
      <w:r w:rsidR="00FE29A0">
        <w:t xml:space="preserve"> With the simple model:</w:t>
      </w:r>
    </w:p>
    <w:p w:rsidR="00FE29A0" w:rsidRDefault="00FE29A0" w:rsidP="00FE29A0">
      <w:pPr>
        <w:jc w:val="center"/>
      </w:pPr>
      <m:oMathPara>
        <m:oMath>
          <m:r>
            <w:rPr>
              <w:rFonts w:ascii="Cambria Math" w:hAnsi="Cambria Math"/>
            </w:rPr>
            <m:t xml:space="preserve">Health=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 worth+ε</m:t>
          </m:r>
        </m:oMath>
      </m:oMathPara>
    </w:p>
    <w:p w:rsidR="00C033D5" w:rsidRPr="00FE29A0" w:rsidRDefault="00C033D5">
      <w:r>
        <w:t xml:space="preserve"> The results of this regression can be seen in </w:t>
      </w:r>
      <w:r w:rsidR="0073286C">
        <w:t>table 6</w:t>
      </w:r>
      <w:r>
        <w:t>. A significant (</w:t>
      </w:r>
      <w:r w:rsidR="00071F0B">
        <w:t xml:space="preserve">p &lt; 5%) positive  correlation between health and wealth was found as expected. Because health was defined as either healthy of unhealthy the regression tells us something about the chance of being healthy. According to the results a </w:t>
      </w:r>
      <w:r w:rsidR="00071F0B">
        <w:rPr>
          <w:rFonts w:ascii="Times New Roman" w:hAnsi="Times New Roman" w:cs="Times New Roman"/>
        </w:rPr>
        <w:t>€</w:t>
      </w:r>
      <w:r w:rsidR="00071F0B">
        <w:t>1000 increase in net wealth corresponds with an increase of 2,81</w:t>
      </w:r>
      <m:oMath>
        <m:sSup>
          <m:sSupPr>
            <m:ctrlPr>
              <w:rPr>
                <w:rFonts w:ascii="Cambria Math" w:hAnsi="Cambria Math"/>
                <w:i/>
              </w:rPr>
            </m:ctrlPr>
          </m:sSupPr>
          <m:e>
            <m:r>
              <w:rPr>
                <w:rFonts w:ascii="Cambria Math" w:hAnsi="Cambria Math"/>
              </w:rPr>
              <m:t>e</m:t>
            </m:r>
          </m:e>
          <m:sup>
            <m:r>
              <w:rPr>
                <w:rFonts w:ascii="Cambria Math" w:hAnsi="Cambria Math"/>
              </w:rPr>
              <m:t>-3</m:t>
            </m:r>
          </m:sup>
        </m:sSup>
      </m:oMath>
      <w:r w:rsidR="00614CF9">
        <w:t xml:space="preserve"> percentage points</w:t>
      </w:r>
      <w:r w:rsidR="00071F0B">
        <w:t xml:space="preserve"> to the chance of being healthy. Note that this correlation does not say anything about the possible causal effect. </w:t>
      </w:r>
    </w:p>
    <w:p w:rsidR="00644187" w:rsidRPr="00FE29A0" w:rsidRDefault="00644187"/>
    <w:p w:rsidR="00FE29A0" w:rsidRDefault="00FE29A0" w:rsidP="00FE29A0">
      <w:pPr>
        <w:pStyle w:val="Caption"/>
        <w:keepNext/>
      </w:pPr>
      <w:r>
        <w:t xml:space="preserve">Table </w:t>
      </w:r>
      <w:r w:rsidR="00BC6F92">
        <w:fldChar w:fldCharType="begin"/>
      </w:r>
      <w:r w:rsidR="00BC6F92">
        <w:instrText xml:space="preserve"> SEQ Table \* ARABIC </w:instrText>
      </w:r>
      <w:r w:rsidR="00BC6F92">
        <w:fldChar w:fldCharType="separate"/>
      </w:r>
      <w:r w:rsidR="00D336F0">
        <w:rPr>
          <w:noProof/>
        </w:rPr>
        <w:t>6</w:t>
      </w:r>
      <w:r w:rsidR="00BC6F92">
        <w:rPr>
          <w:noProof/>
        </w:rPr>
        <w:fldChar w:fldCharType="end"/>
      </w:r>
      <w:r>
        <w:t xml:space="preserve"> OLS results</w:t>
      </w:r>
    </w:p>
    <w:tbl>
      <w:tblPr>
        <w:tblStyle w:val="LightShading-Accent5"/>
        <w:tblW w:w="0" w:type="auto"/>
        <w:jc w:val="center"/>
        <w:tblLook w:val="04A0" w:firstRow="1" w:lastRow="0" w:firstColumn="1" w:lastColumn="0" w:noHBand="0" w:noVBand="1"/>
      </w:tblPr>
      <w:tblGrid>
        <w:gridCol w:w="2410"/>
        <w:gridCol w:w="2410"/>
      </w:tblGrid>
      <w:tr w:rsidR="00FE29A0" w:rsidRPr="00FE29A0" w:rsidTr="00014D9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Intercept</w:t>
            </w:r>
          </w:p>
        </w:tc>
        <w:tc>
          <w:tcPr>
            <w:tcW w:w="2410" w:type="dxa"/>
          </w:tcPr>
          <w:p w:rsidR="00FE29A0" w:rsidRPr="00FE29A0" w:rsidRDefault="00FE29A0">
            <w:pPr>
              <w:cnfStyle w:val="100000000000" w:firstRow="1" w:lastRow="0" w:firstColumn="0" w:lastColumn="0" w:oddVBand="0" w:evenVBand="0" w:oddHBand="0" w:evenHBand="0" w:firstRowFirstColumn="0" w:firstRowLastColumn="0" w:lastRowFirstColumn="0" w:lastRowLastColumn="0"/>
            </w:pPr>
            <w:r w:rsidRPr="00FE29A0">
              <w:t>0.9476</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rsidP="00FE29A0">
            <w:pPr>
              <w:cnfStyle w:val="000000100000" w:firstRow="0" w:lastRow="0" w:firstColumn="0" w:lastColumn="0" w:oddVBand="0" w:evenVBand="0" w:oddHBand="1" w:evenHBand="0" w:firstRowFirstColumn="0" w:firstRowLastColumn="0" w:lastRowFirstColumn="0" w:lastRowLastColumn="0"/>
            </w:pPr>
            <w:r w:rsidRPr="00FE29A0">
              <w:t>(0.000)</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Net worth</w:t>
            </w:r>
          </w:p>
        </w:tc>
        <w:tc>
          <w:tcPr>
            <w:tcW w:w="2410" w:type="dxa"/>
          </w:tcPr>
          <w:p w:rsidR="00FE29A0" w:rsidRPr="00FE29A0" w:rsidRDefault="00FE29A0" w:rsidP="00FE29A0">
            <w:pPr>
              <w:cnfStyle w:val="000000000000" w:firstRow="0" w:lastRow="0" w:firstColumn="0" w:lastColumn="0" w:oddVBand="0" w:evenVBand="0" w:oddHBand="0" w:evenHBand="0" w:firstRowFirstColumn="0" w:firstRowLastColumn="0" w:lastRowFirstColumn="0" w:lastRowLastColumn="0"/>
            </w:pPr>
            <w:r>
              <w:t>2.81</w:t>
            </w:r>
            <m:oMath>
              <m:sSup>
                <m:sSupPr>
                  <m:ctrlPr>
                    <w:rPr>
                      <w:rFonts w:ascii="Cambria Math" w:hAnsi="Cambria Math"/>
                      <w:i/>
                    </w:rPr>
                  </m:ctrlPr>
                </m:sSupPr>
                <m:e>
                  <m:r>
                    <w:rPr>
                      <w:rFonts w:ascii="Cambria Math" w:hAnsi="Cambria Math"/>
                    </w:rPr>
                    <m:t>e</m:t>
                  </m:r>
                </m:e>
                <m:sup>
                  <m:r>
                    <w:rPr>
                      <w:rFonts w:ascii="Cambria Math" w:hAnsi="Cambria Math"/>
                    </w:rPr>
                    <m:t>-8</m:t>
                  </m:r>
                </m:sup>
              </m:sSup>
            </m:oMath>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pPr>
              <w:cnfStyle w:val="000000100000" w:firstRow="0" w:lastRow="0" w:firstColumn="0" w:lastColumn="0" w:oddVBand="0" w:evenVBand="0" w:oddHBand="1" w:evenHBand="0" w:firstRowFirstColumn="0" w:firstRowLastColumn="0" w:lastRowFirstColumn="0" w:lastRowLastColumn="0"/>
            </w:pPr>
            <w:r>
              <w:t>(0.016)</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t>F-statistic</w:t>
            </w:r>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 xml:space="preserve">5.86 </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Default="00FE29A0">
            <w:pPr>
              <w:cnfStyle w:val="000000100000" w:firstRow="0" w:lastRow="0" w:firstColumn="0" w:lastColumn="0" w:oddVBand="0" w:evenVBand="0" w:oddHBand="1" w:evenHBand="0" w:firstRowFirstColumn="0" w:firstRowLastColumn="0" w:lastRowFirstColumn="0" w:lastRowLastColumn="0"/>
            </w:pPr>
            <w:r>
              <w:t>(0.0155)</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BC6F92">
            <m:oMathPara>
              <m:oMathParaPr>
                <m:jc m:val="left"/>
              </m:oMathParaP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m:oMathPara>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0.0010</w:t>
            </w:r>
          </w:p>
        </w:tc>
      </w:tr>
    </w:tbl>
    <w:p w:rsidR="00644187" w:rsidRDefault="00644187">
      <w:pPr>
        <w:rPr>
          <w:b/>
        </w:rPr>
      </w:pPr>
    </w:p>
    <w:p w:rsidR="00644187" w:rsidRDefault="00644187">
      <w:pPr>
        <w:rPr>
          <w:b/>
        </w:rPr>
      </w:pPr>
    </w:p>
    <w:p w:rsidR="00644187" w:rsidRDefault="00644187">
      <w:pPr>
        <w:rPr>
          <w:b/>
        </w:rPr>
      </w:pPr>
    </w:p>
    <w:p w:rsidR="00644187" w:rsidRDefault="00644187" w:rsidP="00644187">
      <w:pPr>
        <w:pStyle w:val="Caption"/>
      </w:pPr>
    </w:p>
    <w:p w:rsidR="00167C3A" w:rsidRDefault="00167C3A" w:rsidP="00644187">
      <w:pPr>
        <w:pStyle w:val="Caption"/>
        <w:rPr>
          <w:b/>
          <w:i w:val="0"/>
        </w:rPr>
      </w:pPr>
      <w:r>
        <w:rPr>
          <w:b/>
          <w:i w:val="0"/>
        </w:rPr>
        <w:t>Difference in Difference Analysis</w:t>
      </w:r>
    </w:p>
    <w:p w:rsidR="00413D85" w:rsidRDefault="00167C3A" w:rsidP="00A10042">
      <w:pPr>
        <w:rPr>
          <w:i/>
        </w:rPr>
      </w:pPr>
      <w:r>
        <w:t xml:space="preserve">As pointed out before in this paper, endogeneity is a problem when considering the effects of wealth on health. Two </w:t>
      </w:r>
      <w:r w:rsidR="00413D85">
        <w:t>DD</w:t>
      </w:r>
      <w:r>
        <w:t xml:space="preserve"> analysis have been done to try to find a causal effect in the short-term and the mid-term of wealth on health. The first analyses the short term effects of wealth on health. It </w:t>
      </w:r>
      <w:r>
        <w:lastRenderedPageBreak/>
        <w:t>uses the waves from 2007 and 2013. The second one analyses the mid-term effects of wealth on health. For this it uses the 2007 and 2017 waves from the data.</w:t>
      </w:r>
    </w:p>
    <w:p w:rsidR="00FE29A0" w:rsidRDefault="00413D85" w:rsidP="00A10042">
      <w:pPr>
        <w:rPr>
          <w:i/>
        </w:rPr>
      </w:pPr>
      <w:r>
        <w:t xml:space="preserve">The results </w:t>
      </w:r>
      <w:r w:rsidR="00167C3A">
        <w:t>for the short term analysis can be seen in table 3</w:t>
      </w:r>
      <w:r w:rsidR="00A10042">
        <w:t>, column 2007 - 2013</w:t>
      </w:r>
      <w:r w:rsidR="00167C3A">
        <w:t>. This analysis does not find a significant causal relationship between health and wealth.</w:t>
      </w:r>
      <w:r>
        <w:t xml:space="preserve"> This corresponds with the results found by Meer, Miller and Rosen (2003) who also checked for short-term changes in health driven by wealth. </w:t>
      </w:r>
    </w:p>
    <w:p w:rsidR="00C90DB0" w:rsidRDefault="00C90DB0" w:rsidP="00A10042">
      <w:pPr>
        <w:rPr>
          <w:i/>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014D95" w:rsidRDefault="00014D95" w:rsidP="00014D95">
      <w:pPr>
        <w:pStyle w:val="Caption"/>
        <w:keepNext/>
      </w:pPr>
      <w:r>
        <w:t xml:space="preserve">Table </w:t>
      </w:r>
      <w:fldSimple w:instr=" SEQ Table \* ARABIC ">
        <w:r w:rsidR="00D336F0">
          <w:rPr>
            <w:noProof/>
          </w:rPr>
          <w:t>7</w:t>
        </w:r>
      </w:fldSimple>
      <w:r>
        <w:t xml:space="preserve"> DD analysis results</w:t>
      </w:r>
    </w:p>
    <w:tbl>
      <w:tblPr>
        <w:tblStyle w:val="LightShading-Accent5"/>
        <w:tblW w:w="0" w:type="auto"/>
        <w:jc w:val="center"/>
        <w:tblLook w:val="04A0" w:firstRow="1" w:lastRow="0" w:firstColumn="1" w:lastColumn="0" w:noHBand="0" w:noVBand="1"/>
      </w:tblPr>
      <w:tblGrid>
        <w:gridCol w:w="1334"/>
        <w:gridCol w:w="1334"/>
        <w:gridCol w:w="1334"/>
        <w:gridCol w:w="1335"/>
      </w:tblGrid>
      <w:tr w:rsidR="00FE29A0" w:rsidTr="00014D95">
        <w:trPr>
          <w:cnfStyle w:val="100000000000" w:firstRow="1" w:lastRow="0" w:firstColumn="0" w:lastColumn="0" w:oddVBand="0" w:evenVBand="0" w:oddHBand="0"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 2013</w:t>
            </w: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2007 -2017</w:t>
            </w:r>
          </w:p>
        </w:tc>
        <w:tc>
          <w:tcPr>
            <w:tcW w:w="1335"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2013 - 2017</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Intercept</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0.9513</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Time</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0.0026</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w:t>
            </w:r>
            <w:r w:rsidR="00AB400C">
              <w:rPr>
                <w:i w:val="0"/>
              </w:rPr>
              <w:t>0265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-0.0291</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(0.784)</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(0.006)</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(0.004)</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Treated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0.0078</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(0.049)</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(0.063)</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(0.470)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DID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-0.0111</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0.0235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0.0347</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(0.422)</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(0.088)</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(0.015)</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r>
              <w:rPr>
                <w:i w:val="0"/>
              </w:rPr>
              <w:t>F-statistic</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1.53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9.42</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7.821</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(0.203)</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Pr="00C90DB0" w:rsidRDefault="00BC6F92" w:rsidP="00413D85">
            <w:pPr>
              <w:pStyle w:val="Caption"/>
              <w:rPr>
                <w:i w:val="0"/>
              </w:rPr>
            </w:pPr>
            <m:oMathPara>
              <m:oMathParaPr>
                <m:jc m:val="left"/>
              </m:oMathParaPr>
              <m:oMath>
                <m:sSup>
                  <m:sSupPr>
                    <m:ctrlPr>
                      <w:rPr>
                        <w:rFonts w:ascii="Cambria Math" w:hAnsi="Cambria Math"/>
                        <w:iCs w:val="0"/>
                      </w:rPr>
                    </m:ctrlPr>
                  </m:sSupPr>
                  <m:e>
                    <m:r>
                      <m:rPr>
                        <m:sty m:val="bi"/>
                      </m:rPr>
                      <w:rPr>
                        <w:rFonts w:ascii="Cambria Math" w:hAnsi="Cambria Math"/>
                      </w:rPr>
                      <m:t>R</m:t>
                    </m:r>
                  </m:e>
                  <m:sup>
                    <m:r>
                      <m:rPr>
                        <m:sty m:val="bi"/>
                      </m:rPr>
                      <w:rPr>
                        <w:rFonts w:ascii="Cambria Math" w:hAnsi="Cambria Math"/>
                      </w:rPr>
                      <m:t>2</m:t>
                    </m:r>
                  </m:sup>
                </m:sSup>
              </m:oMath>
            </m:oMathPara>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0.0013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0.0070</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0.006</w:t>
            </w:r>
          </w:p>
        </w:tc>
      </w:tr>
    </w:tbl>
    <w:p w:rsidR="00FE29A0" w:rsidRDefault="00FE29A0" w:rsidP="00413D85">
      <w:pPr>
        <w:pStyle w:val="Caption"/>
        <w:ind w:firstLine="720"/>
        <w:rPr>
          <w:i w:val="0"/>
        </w:rPr>
      </w:pPr>
    </w:p>
    <w:p w:rsidR="00644187" w:rsidRDefault="00614CF9" w:rsidP="00A10042">
      <w:r>
        <w:t>The results from the mid-term</w:t>
      </w:r>
      <w:r w:rsidR="00A10042">
        <w:t xml:space="preserve"> analysis can be seen in table 7, column 2007 - 2017</w:t>
      </w:r>
      <w:r>
        <w:t>. This analysis does find a significant (p&lt;10%) causal relationship between wealth and health using the DD analysis. This suggests that in the Netherlands</w:t>
      </w:r>
      <w:r w:rsidR="00A10042">
        <w:rPr>
          <w:i/>
        </w:rPr>
        <w:t>,</w:t>
      </w:r>
      <w:r>
        <w:t xml:space="preserve"> wealth does have an impact on the chance of being </w:t>
      </w:r>
      <w:r w:rsidRPr="00A10042">
        <w:t xml:space="preserve">healthy. </w:t>
      </w:r>
      <w:r w:rsidR="00D50999" w:rsidRPr="00A10042">
        <w:t xml:space="preserve">The </w:t>
      </w:r>
      <w:r w:rsidR="001A7998" w:rsidRPr="00A10042">
        <w:t xml:space="preserve">coefficient of time is -0.026 which implies that in the time of 2007 until 2017, the chance of being healthy decreased by 2.6 percentage point in the control group. The coefficient of treated of 0.19 means that before the treatment, </w:t>
      </w:r>
      <w:r w:rsidR="00946A3E" w:rsidRPr="00A10042">
        <w:t>people who were in the treatment group, the home-owners, had a 1.9 percentage point more chance of being healthy than the people in the control group, the tenants. The interaction coefficient</w:t>
      </w:r>
      <w:r w:rsidR="00AB400C">
        <w:t xml:space="preserve"> (DID in the table)</w:t>
      </w:r>
      <w:r w:rsidR="00946A3E" w:rsidRPr="00A10042">
        <w:t xml:space="preserve"> is 0.023, which </w:t>
      </w:r>
      <w:r w:rsidR="00A10042" w:rsidRPr="00A10042">
        <w:t>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w:t>
      </w:r>
      <w:r w:rsidR="00A10042">
        <w:t>f the expected negative effect.</w:t>
      </w:r>
    </w:p>
    <w:p w:rsidR="00A10042" w:rsidRPr="00A10042" w:rsidRDefault="00A10042" w:rsidP="00A10042">
      <w:r>
        <w:tab/>
        <w:t xml:space="preserve">To check </w:t>
      </w:r>
      <w:r w:rsidR="00A24557">
        <w:t>whether the positive interaction coefficient can be explained by the rise in housing prices between 2013 and 2017</w:t>
      </w:r>
      <w:r>
        <w:t xml:space="preserve"> a third DD analysis was conducted between 2013 and 2017. Here the treatment was the rise in housing prices between 2013 and 2017. Therefore the pre-treatment year is 2013 and the </w:t>
      </w:r>
      <w:r w:rsidR="00AB400C">
        <w:t>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w:t>
      </w:r>
      <w:r w:rsidR="00A24557">
        <w:t>nce of being healthy than the tenants.</w:t>
      </w:r>
    </w:p>
    <w:p w:rsidR="00A10042" w:rsidRPr="00014D95" w:rsidRDefault="00A10042" w:rsidP="00A10042">
      <w:pPr>
        <w:rPr>
          <w:color w:val="FF0000"/>
        </w:rPr>
      </w:pPr>
    </w:p>
    <w:sectPr w:rsidR="00A10042" w:rsidRPr="00014D95">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6:21:00Z" w:initials="UvA">
    <w:p w:rsidR="00012E05" w:rsidRPr="00012E05" w:rsidRDefault="00012E05">
      <w:pPr>
        <w:pStyle w:val="CommentText"/>
        <w:rPr>
          <w:lang w:val="nl-NL"/>
        </w:rPr>
      </w:pPr>
      <w:r>
        <w:rPr>
          <w:rStyle w:val="CommentReference"/>
        </w:rPr>
        <w:annotationRef/>
      </w:r>
      <w:r w:rsidRPr="00012E05">
        <w:rPr>
          <w:lang w:val="nl-NL"/>
        </w:rPr>
        <w:t>Kan dit niet gewoon naar beneden naar de data of methoden sectie?</w:t>
      </w:r>
    </w:p>
    <w:p w:rsidR="00012E05" w:rsidRPr="00012E05" w:rsidRDefault="00012E05">
      <w:pPr>
        <w:pStyle w:val="CommentText"/>
        <w:rPr>
          <w:lang w:val="nl-NL"/>
        </w:rPr>
      </w:pPr>
    </w:p>
  </w:comment>
  <w:comment w:id="2" w:author="UvA" w:date="2019-01-09T15:21:00Z" w:initials="UvA">
    <w:p w:rsidR="006A6EF9" w:rsidRDefault="006A6EF9">
      <w:pPr>
        <w:pStyle w:val="CommentText"/>
      </w:pPr>
      <w:r>
        <w:rPr>
          <w:rStyle w:val="CommentReference"/>
        </w:rPr>
        <w:annotationRef/>
      </w:r>
      <w:r>
        <w:t>Gevolg?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245E"/>
    <w:multiLevelType w:val="hybridMultilevel"/>
    <w:tmpl w:val="165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2078"/>
    <w:multiLevelType w:val="hybridMultilevel"/>
    <w:tmpl w:val="BFE41D52"/>
    <w:lvl w:ilvl="0" w:tplc="2B62ACC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C31E28"/>
    <w:multiLevelType w:val="hybridMultilevel"/>
    <w:tmpl w:val="CE28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012E05"/>
    <w:rsid w:val="00014D95"/>
    <w:rsid w:val="000337AF"/>
    <w:rsid w:val="00062155"/>
    <w:rsid w:val="00071F0B"/>
    <w:rsid w:val="00167C3A"/>
    <w:rsid w:val="001A7998"/>
    <w:rsid w:val="00310B80"/>
    <w:rsid w:val="00413D85"/>
    <w:rsid w:val="00421C64"/>
    <w:rsid w:val="004E7C1B"/>
    <w:rsid w:val="00614CF9"/>
    <w:rsid w:val="00644187"/>
    <w:rsid w:val="006A6EF9"/>
    <w:rsid w:val="006C0BA2"/>
    <w:rsid w:val="0073286C"/>
    <w:rsid w:val="007642A5"/>
    <w:rsid w:val="007E4F2D"/>
    <w:rsid w:val="00891442"/>
    <w:rsid w:val="00946A3E"/>
    <w:rsid w:val="00A10042"/>
    <w:rsid w:val="00A24557"/>
    <w:rsid w:val="00AB400C"/>
    <w:rsid w:val="00AF0BB8"/>
    <w:rsid w:val="00BC6F92"/>
    <w:rsid w:val="00C033D5"/>
    <w:rsid w:val="00C35FE8"/>
    <w:rsid w:val="00C90DB0"/>
    <w:rsid w:val="00D336F0"/>
    <w:rsid w:val="00D50999"/>
    <w:rsid w:val="00DE23EC"/>
    <w:rsid w:val="00DF1E63"/>
    <w:rsid w:val="00F919C9"/>
    <w:rsid w:val="00FE2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5E034-5D76-4AC4-95EB-DCDFE8EA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20456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11</cp:revision>
  <dcterms:created xsi:type="dcterms:W3CDTF">2019-01-09T15:03:00Z</dcterms:created>
  <dcterms:modified xsi:type="dcterms:W3CDTF">2019-01-09T15:30:00Z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