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Introduction</w:t>
      </w:r>
      <w:r>
        <w:rPr>
          <w:b/>
          <w:bCs/>
          <w:color w:val="000000"/>
          <w:highlight w:val="white"/>
        </w:rPr>
        <w:t>:</w:t>
      </w:r>
    </w:p>
    <w:p>
      <w:pPr>
        <w:pStyle w:val="Normal"/>
        <w:rPr/>
      </w:pPr>
      <w:r>
        <w:rPr/>
        <w:t>The positive correlation between health and wealth has been shown many times. Pollack et al. (2007)</w:t>
      </w:r>
      <w:r>
        <w:rPr>
          <w:rFonts w:cs="Times New Roman" w:ascii="Times New Roman" w:hAnsi="Times New Roman"/>
        </w:rPr>
        <w:t>⁠</w:t>
      </w:r>
      <w:r>
        <w:rPr/>
        <w:t xml:space="preserve">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cs="Times New Roman" w:ascii="Times New Roman" w:hAnsi="Times New Roman"/>
        </w:rPr>
        <w:t>⁠</w:t>
      </w:r>
      <w:r>
        <w:rPr/>
        <w:t>.</w:t>
      </w:r>
    </w:p>
    <w:p>
      <w:pPr>
        <w:pStyle w:val="Normal"/>
        <w:rPr/>
      </w:pPr>
      <w:r>
        <w:rPr/>
        <w:tab/>
        <w:t>As Aittomäki, Martikainen, Laaksonen, Lahelma, and Rahkonen (2010)</w:t>
      </w:r>
      <w:r>
        <w:rPr>
          <w:rFonts w:cs="Times New Roman" w:ascii="Times New Roman" w:hAnsi="Times New Roman"/>
        </w:rPr>
        <w:t>⁠</w:t>
      </w:r>
      <w:r>
        <w:rPr/>
        <w:t xml:space="preserve"> point out, </w:t>
      </w:r>
      <w:r>
        <w:rPr>
          <w:rFonts w:cs="Times New Roman" w:ascii="Times New Roman" w:hAnsi="Times New Roman"/>
        </w:rPr>
        <w:t>“</w:t>
      </w:r>
      <w:r>
        <w:rPr/>
        <w:t>Wealth in particular is not directly affected by changes in labour market participation that may radically alter the current income level</w:t>
      </w:r>
      <w:r>
        <w:rPr>
          <w:rFonts w:cs="Times New Roman" w:ascii="Times New Roman" w:hAnsi="Times New Roman"/>
        </w:rPr>
        <w:t>”</w:t>
      </w:r>
      <w:r>
        <w:rPr/>
        <w:t xml:space="preserve">. This is important </w:t>
      </w:r>
      <w:r>
        <w:rPr>
          <w:rFonts w:cs="Times New Roman" w:ascii="Times New Roman" w:hAnsi="Times New Roman"/>
        </w:rPr>
        <w:t>“…</w:t>
      </w:r>
      <w:r>
        <w:rPr/>
        <w:t xml:space="preserve"> as changes in health and illness are likely to develop over a considerable time span” (Aittomäki, Martikainen, Laaksonen, Lahelma, &amp; Rahkonen, 2010, p. 1025)</w:t>
      </w:r>
      <w:r>
        <w:rPr>
          <w:rFonts w:cs="Times New Roman" w:ascii="Times New Roman" w:hAnsi="Times New Roman"/>
        </w:rPr>
        <w:t>⁠</w:t>
      </w:r>
      <w:r>
        <w:rPr/>
        <w:t xml:space="preserve">.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rPr/>
      </w:pPr>
      <w:r>
        <w:rPr/>
        <w:tab/>
      </w:r>
      <w:commentRangeStart w:id="1"/>
      <w:r>
        <w:rPr/>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w:t>
      </w:r>
      <w:r>
        <w:rPr>
          <w:color w:val="000000"/>
          <w:highlight w:val="white"/>
        </w:rPr>
      </w:r>
      <w:commentRangeEnd w:id="1"/>
      <w:r>
        <w:commentReference w:id="1"/>
      </w:r>
      <w:r>
        <w:rPr>
          <w:color w:val="000000"/>
          <w:highlight w:val="white"/>
        </w:rPr>
        <w:t>Using different waves of this dataset will allow this paper to try and find a causal relationship using the difference in difference analysis.</w:t>
      </w:r>
    </w:p>
    <w:p>
      <w:pPr>
        <w:pStyle w:val="Normal"/>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pPr>
        <w:pStyle w:val="Normal"/>
        <w:rPr>
          <w:b/>
          <w:b/>
          <w:bCs/>
          <w:color w:val="000000"/>
          <w:highlight w:val="white"/>
        </w:rPr>
      </w:pPr>
      <w:r>
        <w:rPr>
          <w:b/>
          <w:bCs/>
          <w:color w:val="000000"/>
          <w:highlight w:val="white"/>
        </w:rPr>
      </w:r>
    </w:p>
    <w:p>
      <w:pPr>
        <w:pStyle w:val="Normal"/>
        <w:rPr>
          <w:color w:val="000000"/>
          <w:highlight w:val="white"/>
        </w:rPr>
      </w:pPr>
      <w:r>
        <w:rPr>
          <w:color w:val="000000"/>
          <w:highlight w:val="white"/>
        </w:rPr>
      </w:r>
    </w:p>
    <w:p>
      <w:pPr>
        <w:pStyle w:val="Normal"/>
        <w:rPr>
          <w:highlight w:val="white"/>
        </w:rPr>
      </w:pPr>
      <w:r>
        <w:rPr>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Related literature:</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Ruhm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rPr/>
      </w:pPr>
      <w:r>
        <w:rPr>
          <w:color w:val="000000"/>
          <w:highlight w:val="white"/>
        </w:rPr>
        <w:tab/>
      </w:r>
      <w:bookmarkStart w:id="1" w:name="__UnoMark__2196_363168767"/>
      <w:bookmarkStart w:id="2" w:name="__UnoMark__2194_363168767"/>
      <w:bookmarkStart w:id="3" w:name="__UnoMark__2189_363168767"/>
      <w:bookmarkStart w:id="4" w:name="__UnoMark__2185_363168767"/>
      <w:r>
        <w:rPr>
          <w:color w:val="000000"/>
          <w:highlight w:val="whit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unobserver hetrogeneity between health and indebtness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rPr>
          <w:b/>
          <w:b/>
          <w:bCs/>
          <w:color w:val="000000"/>
          <w:sz w:val="28"/>
          <w:highlight w:val="white"/>
        </w:rPr>
      </w:pPr>
      <w:r>
        <w:rPr>
          <w:b/>
          <w:bCs/>
          <w:color w:val="000000"/>
          <w:sz w:val="28"/>
          <w:highlight w:val="white"/>
        </w:rPr>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pPr>
      <w:r>
        <w:rPr>
          <w:b/>
          <w:bCs/>
          <w:color w:val="000000"/>
          <w:sz w:val="28"/>
          <w:highlight w:val="white"/>
        </w:rPr>
        <w:t>Institutional section:</w:t>
      </w:r>
    </w:p>
    <w:p>
      <w:pPr>
        <w:pStyle w:val="Normal"/>
        <w:rPr/>
      </w:pPr>
      <w:r>
        <w:rPr>
          <w:bCs/>
          <w:color w:val="000000"/>
          <w:highlight w:val="white"/>
        </w:rPr>
        <w:t>As Michaud and Soest (2008) pointed out, institutions of different countries might have a different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and the payment of a person who can’t work due to sickness.</w:t>
      </w:r>
    </w:p>
    <w:p>
      <w:pPr>
        <w:pStyle w:val="Normal"/>
        <w:rPr/>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Someone can also receive a “zorgtoeslag”, a benefit to pay your insurance if you are eligible. Therefore, everyone has, and can pay for insurance. </w:t>
      </w:r>
    </w:p>
    <w:p>
      <w:pPr>
        <w:pStyle w:val="Normal"/>
        <w:rPr/>
      </w:pPr>
      <w:r>
        <w:rP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w:t>
      </w:r>
      <w:r>
        <w:rPr>
          <w:lang w:val="nl-NL"/>
        </w:rPr>
        <w:t xml:space="preserve">UWV, n.d.) </w:t>
      </w:r>
      <w:r>
        <w:rPr/>
        <w:t xml:space="preserve">When </w:t>
      </w:r>
      <w:bookmarkStart w:id="5" w:name="_GoBack"/>
      <w:bookmarkEnd w:id="5"/>
      <w:r>
        <w:rPr/>
        <w:t>a person without a permanent contract gets sick salary will be payed for the duration of your contract. When someone is still sick when the contracts ends, he or she can possibly get a benefit  (Het Juridisch Loket, n.d.).</w:t>
      </w:r>
    </w:p>
    <w:p>
      <w:pPr>
        <w:pStyle w:val="Normal"/>
        <w:rPr/>
      </w:pPr>
      <w:r>
        <w:rPr/>
        <w:tab/>
        <w:t xml:space="preserve">Since everyone has an insurance in the Netherlands, the causal effect between health and wealth is less likely to run from health to wealth in the Netherlands than in countries where not everyone has an insurance. </w:t>
      </w:r>
    </w:p>
    <w:p>
      <w:pPr>
        <w:pStyle w:val="Normal"/>
        <w:rPr/>
      </w:pPr>
      <w:r>
        <w:rPr/>
        <w:tab/>
      </w:r>
    </w:p>
    <w:p>
      <w:pPr>
        <w:pStyle w:val="Normal"/>
        <w:rPr/>
      </w:pPr>
      <w:r>
        <w:rPr/>
      </w:r>
    </w:p>
    <w:p>
      <w:pPr>
        <w:pStyle w:val="Normal"/>
        <w:rPr/>
      </w:pPr>
      <w:r>
        <w:rPr/>
      </w:r>
    </w:p>
    <w:p>
      <w:pPr>
        <w:pStyle w:val="Normal"/>
        <w:rPr/>
      </w:pPr>
      <w:r>
        <w:rPr>
          <w:b/>
          <w:bCs/>
          <w:color w:val="000000"/>
          <w:sz w:val="28"/>
          <w:highlight w:val="white"/>
        </w:rPr>
        <w:t>Data</w:t>
      </w:r>
    </w:p>
    <w:p>
      <w:pPr>
        <w:pStyle w:val="Normal"/>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Pr>
          <w:rStyle w:val="Bullets"/>
          <w:rFonts w:eastAsia="Arial Unicode MS" w:cs="Arial Unicode MS" w:ascii="Arial Unicode MS" w:hAnsi="Arial Unicode MS"/>
          <w:highlight w:val="white"/>
        </w:rPr>
        <w:t>⁠</w:t>
      </w:r>
      <w:r>
        <w:rPr>
          <w:rStyle w:val="Bullets"/>
          <w:highlight w:val="white"/>
        </w:rPr>
        <w:t xml:space="preserve"> </w:t>
      </w:r>
    </w:p>
    <w:p>
      <w:pPr>
        <w:pStyle w:val="Normal"/>
        <w:rPr/>
      </w:pP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rPr/>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w:t>
      </w:r>
      <w:r>
        <w:rPr>
          <w:rFonts w:cs="Times New Roman" w:ascii="Times New Roman" w:hAnsi="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pPr>
        <w:pStyle w:val="Normal"/>
        <w:rPr/>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pPr>
        <w:pStyle w:val="Normal"/>
        <w:rPr>
          <w:color w:val="000000"/>
          <w:spacing w:val="15"/>
          <w:highlight w:val="white"/>
        </w:rPr>
      </w:pPr>
      <w:r>
        <w:rPr>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ind w:left="360" w:hanging="0"/>
              <w:rPr/>
            </w:pPr>
            <w:r>
              <w:rPr>
                <w:b/>
                <w:bCs/>
                <w:color w:val="000000"/>
                <w:spacing w:val="15"/>
              </w:rPr>
              <w:t>Assets</w:t>
            </w:r>
          </w:p>
        </w:tc>
        <w:tc>
          <w:tcPr>
            <w:tcW w:w="4926" w:type="dxa"/>
            <w:tcBorders/>
            <w:shd w:color="auto" w:fill="auto" w:val="clear"/>
          </w:tcPr>
          <w:p>
            <w:pPr>
              <w:pStyle w:val="Normal"/>
              <w:spacing w:lineRule="auto" w:line="240" w:before="0" w:after="0"/>
              <w:ind w:left="360" w:hanging="0"/>
              <w:cnfStyle w:val="100000000000" w:firstRow="1" w:lastRow="0" w:firstColumn="0" w:lastColumn="0" w:oddVBand="0" w:evenVBand="0" w:oddHBand="0" w:evenHBand="0" w:firstRowFirstColumn="0" w:firstRowLastColumn="0" w:lastRowFirstColumn="0" w:lastRowLastColumn="0"/>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deposit books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growth funds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put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call options bought</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cars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boats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ind w:left="360" w:hanging="0"/>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ind w:left="360" w:hanging="0"/>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keepNext/>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Caption1"/>
        <w:jc w:val="right"/>
        <w:rPr/>
      </w:pPr>
      <w:r>
        <w:rPr/>
        <w:t>Source: CBS</w:t>
      </w:r>
    </w:p>
    <w:p>
      <w:pPr>
        <w:pStyle w:val="Normal"/>
        <w:jc w:val="right"/>
        <w:rPr/>
      </w:pPr>
      <w:r>
        <w:rPr>
          <w:color w:val="000000"/>
          <w:spacing w:val="15"/>
          <w:highlight w:val="white"/>
        </w:rPr>
        <w:tab/>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color w:val="000000"/>
          <w:spacing w:val="15"/>
          <w:highlight w:val="white"/>
        </w:rPr>
      </w:pPr>
      <w:r>
        <w:rPr>
          <w:color w:val="000000"/>
          <w:spacing w:val="15"/>
          <w:highlight w:val="white"/>
        </w:rPr>
      </w:r>
    </w:p>
    <w:p>
      <w:pPr>
        <w:pStyle w:val="Normal"/>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rPr/>
      </w:pPr>
      <w:r>
        <w:rP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2"/>
      <w:r>
        <w:rPr/>
        <w:t>the years</w:t>
      </w:r>
      <w:r>
        <w:rPr/>
      </w:r>
      <w:commentRangeEnd w:id="2"/>
      <w:r>
        <w:commentReference w:id="2"/>
      </w:r>
      <w:r>
        <w:rPr/>
        <w:t>.</w:t>
      </w:r>
    </w:p>
    <w:p>
      <w:pPr>
        <w:pStyle w:val="Normal"/>
        <w:rPr>
          <w:highlight w:val="white"/>
        </w:rPr>
      </w:pPr>
      <w:r>
        <w:rPr>
          <w:highlight w:val="white"/>
        </w:rPr>
      </w:r>
    </w:p>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color w:val="000000"/>
                <w:spacing w:val="15"/>
                <w:highlight w:val="white"/>
              </w:rPr>
              <w:t>Year</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000000"/>
                <w:spacing w:val="15"/>
                <w:highlight w:val="white"/>
              </w:rPr>
              <w:t>size treatment group</w:t>
            </w:r>
          </w:p>
        </w:tc>
        <w:tc>
          <w:tcPr>
            <w:tcW w:w="2033"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000000"/>
                <w:spacing w:val="15"/>
                <w:highlight w:val="white"/>
              </w:rPr>
              <w:t>size control group</w:t>
            </w:r>
          </w:p>
        </w:tc>
        <w:tc>
          <w:tcPr>
            <w:tcW w:w="2032"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pPr>
            <w:r>
              <w:rPr>
                <w:b/>
                <w:bCs/>
                <w:color w:val="000000"/>
                <w:spacing w:val="15"/>
              </w:rPr>
              <w:t>2013</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000000"/>
                <w:spacing w:val="15"/>
              </w:rPr>
              <w:t>807 (48.94%)</w:t>
            </w:r>
          </w:p>
        </w:tc>
        <w:tc>
          <w:tcPr>
            <w:tcW w:w="2033"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000000"/>
                <w:spacing w:val="15"/>
              </w:rPr>
              <w:t>842 (51.06%)</w:t>
            </w:r>
          </w:p>
        </w:tc>
        <w:tc>
          <w:tcPr>
            <w:tcW w:w="2032"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rPr/>
            </w:pPr>
            <w:r>
              <w:rPr>
                <w:b/>
                <w:bCs/>
                <w:color w:val="000000"/>
                <w:spacing w:val="15"/>
              </w:rPr>
              <w:t>2017</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1161 (52.42%)</w:t>
            </w:r>
          </w:p>
        </w:tc>
        <w:tc>
          <w:tcPr>
            <w:tcW w:w="2033"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1054 (47.58%)</w:t>
            </w:r>
          </w:p>
        </w:tc>
        <w:tc>
          <w:tcPr>
            <w:tcW w:w="2032" w:type="dxa"/>
            <w:tcBorders>
              <w:top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spacing w:val="15"/>
              </w:rPr>
              <w:t>2215</w:t>
            </w:r>
          </w:p>
        </w:tc>
      </w:tr>
    </w:tbl>
    <w:p>
      <w:pPr>
        <w:pStyle w:val="Normal"/>
        <w:rPr/>
      </w:pPr>
      <w:r>
        <w:rP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pPr>
        <w:pStyle w:val="Normal"/>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0.97</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0.18</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0.95</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275,271</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329,037</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25,400</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75,946</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0.96</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0.20</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0.95</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256,521</w:t>
            </w:r>
          </w:p>
        </w:tc>
        <w:tc>
          <w:tcPr>
            <w:tcW w:w="1785"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249,175</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28,933</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91,215</w:t>
            </w:r>
          </w:p>
        </w:tc>
      </w:tr>
    </w:tbl>
    <w:p>
      <w:pPr>
        <w:pStyle w:val="Normal"/>
        <w:rPr>
          <w:b/>
          <w:b/>
          <w:bCs/>
          <w:color w:val="000000"/>
          <w:spacing w:val="15"/>
          <w:highlight w:val="white"/>
        </w:rPr>
      </w:pPr>
      <w:r>
        <w:rPr>
          <w:b/>
          <w:bCs/>
          <w:color w:val="000000"/>
          <w:spacing w:val="15"/>
          <w:highlight w:val="white"/>
        </w:rPr>
      </w:r>
    </w:p>
    <w:p>
      <w:pPr>
        <w:pStyle w:val="Caption1"/>
        <w:keepNext/>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8"/>
        <w:gridCol w:w="1787"/>
        <w:gridCol w:w="1787"/>
        <w:gridCol w:w="1785"/>
      </w:tblGrid>
      <w:tr>
        <w:trPr>
          <w:cnfStyle w:val="100000000000" w:firstRow="1" w:lastRow="0" w:firstColumn="0" w:lastColumn="0" w:oddVBand="0" w:evenVBand="0" w:oddHBand="0"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val="false"/>
                <w:color w:val="000000"/>
                <w:spacing w:val="15"/>
              </w:rPr>
              <w:t>Variable</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Treatment group</w:t>
            </w:r>
          </w:p>
        </w:tc>
        <w:tc>
          <w:tcPr>
            <w:tcW w:w="1787"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Mean</w:t>
            </w:r>
          </w:p>
        </w:tc>
        <w:tc>
          <w:tcPr>
            <w:tcW w:w="1785"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0.96</w:t>
            </w:r>
          </w:p>
        </w:tc>
        <w:tc>
          <w:tcPr>
            <w:tcW w:w="1785"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0.18</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0.92</w:t>
            </w:r>
          </w:p>
        </w:tc>
        <w:tc>
          <w:tcPr>
            <w:tcW w:w="1785"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263,053</w:t>
            </w:r>
          </w:p>
        </w:tc>
        <w:tc>
          <w:tcPr>
            <w:tcW w:w="1785" w:type="dxa"/>
            <w:tcBorders>
              <w:top w:val="nil"/>
              <w:bottom w:val="nil"/>
              <w:insideH w:val="nil"/>
            </w:tcBorders>
            <w:shd w:color="auto" w:fill="D3DFEE" w:themeFill="accen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bCs/>
                <w:color w:val="000000"/>
                <w:spacing w:val="15"/>
              </w:rPr>
              <w:t>291,670</w:t>
            </w:r>
          </w:p>
        </w:tc>
      </w:tr>
      <w:tr>
        <w:trPr/>
        <w:tc>
          <w:tcPr>
            <w:tcW w:w="1788"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No</w:t>
            </w:r>
          </w:p>
        </w:tc>
        <w:tc>
          <w:tcPr>
            <w:tcW w:w="1787"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31,530</w:t>
            </w:r>
          </w:p>
        </w:tc>
        <w:tc>
          <w:tcPr>
            <w:tcW w:w="1785"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bCs/>
                <w:color w:val="000000"/>
                <w:spacing w:val="15"/>
              </w:rPr>
              <w:t>102,177</w:t>
            </w:r>
          </w:p>
        </w:tc>
      </w:tr>
    </w:tbl>
    <w:p>
      <w:pPr>
        <w:pStyle w:val="Normal"/>
        <w:rPr>
          <w:b/>
          <w:b/>
          <w:bCs/>
          <w:color w:val="000000"/>
          <w:spacing w:val="15"/>
          <w:highlight w:val="white"/>
        </w:rPr>
      </w:pPr>
      <w:r>
        <w:rPr>
          <w:b/>
          <w:bCs/>
          <w:color w:val="000000"/>
          <w:spacing w:val="15"/>
          <w:highlight w:val="white"/>
        </w:rPr>
      </w:r>
    </w:p>
    <w:p>
      <w:pPr>
        <w:pStyle w:val="Normal"/>
        <w:rPr>
          <w:b/>
          <w:b/>
          <w:bCs/>
          <w:color w:val="000000"/>
          <w:spacing w:val="15"/>
          <w:highlight w:val="white"/>
        </w:rPr>
      </w:pPr>
      <w:r>
        <w:rPr>
          <w:b/>
          <w:bCs/>
          <w:color w:val="000000"/>
          <w:spacing w:val="15"/>
          <w:highlight w:val="white"/>
        </w:rPr>
      </w:r>
    </w:p>
    <w:p>
      <w:pPr>
        <w:pStyle w:val="Normal"/>
        <w:rPr/>
      </w:pPr>
      <w:r>
        <w:rPr>
          <w:b/>
          <w:bCs/>
          <w:color w:val="000000"/>
          <w:spacing w:val="15"/>
          <w:sz w:val="28"/>
          <w:highlight w:val="white"/>
        </w:rPr>
        <w:t>Methods</w:t>
      </w:r>
    </w:p>
    <w:p>
      <w:pPr>
        <w:pStyle w:val="Normal"/>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pPr>
        <w:pStyle w:val="Normal"/>
        <w:ind w:firstLine="720"/>
        <w:rPr/>
      </w:pPr>
      <w:r>
        <w:rPr/>
        <w:t xml:space="preserve"> </w:t>
      </w:r>
      <w:r>
        <w:rPr/>
        <w:t xml:space="preserve">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pPr>
        <w:pStyle w:val="Normal"/>
        <w:rPr/>
      </w:pPr>
      <w:r>
        <w:rP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 but possibly with a larger error term.</w:t>
      </w:r>
    </w:p>
    <w:p>
      <w:pPr>
        <w:pStyle w:val="Normal"/>
        <w:rPr/>
      </w:pPr>
      <w:r>
        <w:rPr/>
        <w:tab/>
        <w:tab/>
      </w:r>
    </w:p>
    <w:p>
      <w:pPr>
        <w:pStyle w:val="Normal"/>
        <w:rPr/>
      </w:pPr>
      <w:r>
        <w:rPr/>
        <w:t>The following regression model will be used:</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Health</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7" w:type="dxa"/>
            <w:tcBorders>
              <w:top w:val="nil"/>
              <w:left w:val="nil"/>
              <w:bottom w:val="nil"/>
              <w:right w:val="nil"/>
              <w:insideH w:val="nil"/>
              <w:insideV w:val="nil"/>
            </w:tcBorders>
            <w:shd w:color="auto" w:fill="auto" w:val="clear"/>
          </w:tcPr>
          <w:p>
            <w:pPr>
              <w:pStyle w:val="Normal"/>
              <w:jc w:val="right"/>
              <w:rPr/>
            </w:pPr>
            <w:bookmarkStart w:id="6" w:name="_Ref534894565"/>
            <w:r>
              <w:rPr/>
              <w:t>(</w:t>
            </w:r>
            <w:r>
              <w:rPr/>
              <w:fldChar w:fldCharType="begin"/>
            </w:r>
            <w:r>
              <w:instrText> SEQ Equation \* ARABIC </w:instrText>
            </w:r>
            <w:r>
              <w:fldChar w:fldCharType="separate"/>
            </w:r>
            <w:r>
              <w:t>1</w:t>
            </w:r>
            <w:r>
              <w:fldChar w:fldCharType="end"/>
            </w:r>
            <w:bookmarkEnd w:id="6"/>
            <w:r>
              <w:rPr/>
              <w:t>)</w:t>
            </w:r>
          </w:p>
        </w:tc>
      </w:tr>
    </w:tbl>
    <w:p>
      <w:pPr>
        <w:pStyle w:val="Normal"/>
        <w:rPr/>
      </w:pPr>
      <w:r>
        <w:rPr/>
      </w:r>
    </w:p>
    <w:p>
      <w:pPr>
        <w:pStyle w:val="Normal"/>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rPr/>
      </w:pPr>
      <w:r>
        <w:rPr/>
        <w:tab/>
        <w:t>Therefore the hypotheses are:</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2</w:t>
            </w:r>
            <w:r>
              <w:fldChar w:fldCharType="end"/>
            </w:r>
            <w:r>
              <w:rPr/>
              <w:t>)</w:t>
            </w:r>
          </w:p>
        </w:tc>
      </w:tr>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3</w:t>
            </w:r>
            <w:r>
              <w:fldChar w:fldCharType="end"/>
            </w:r>
            <w:r>
              <w:rPr/>
              <w:t>)</w:t>
            </w:r>
          </w:p>
        </w:tc>
      </w:tr>
    </w:tbl>
    <w:p>
      <w:pPr>
        <w:pStyle w:val="Normal"/>
        <w:rPr/>
      </w:pPr>
      <w:r>
        <w:rPr/>
      </w:r>
    </w:p>
    <w:p>
      <w:pPr>
        <w:pStyle w:val="Normal"/>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rPr/>
      </w:pPr>
      <w:r>
        <w:rPr/>
        <w:tab/>
        <w:t>Assume that:</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oMath>
            <w:r>
              <w:rPr/>
              <w:t>.</w:t>
            </w:r>
          </w:p>
          <w:p>
            <w:pPr>
              <w:pStyle w:val="Normal"/>
              <w:jc w:val="center"/>
              <w:rPr/>
            </w:pPr>
            <w:r>
              <w:rPr/>
            </w:r>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4</w:t>
            </w:r>
            <w:r>
              <w:fldChar w:fldCharType="end"/>
            </w:r>
            <w:r>
              <w:rPr/>
              <w:t>)</w:t>
            </w:r>
          </w:p>
        </w:tc>
      </w:tr>
    </w:tbl>
    <w:p>
      <w:pPr>
        <w:pStyle w:val="Normal"/>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jc w:val="center"/>
              <w:rPr/>
            </w:pPr>
            <w:r>
              <w:rPr/>
            </w:r>
          </w:p>
        </w:tc>
        <w:tc>
          <w:tcPr>
            <w:tcW w:w="677" w:type="dxa"/>
            <w:tcBorders>
              <w:top w:val="nil"/>
              <w:left w:val="nil"/>
              <w:bottom w:val="nil"/>
              <w:right w:val="nil"/>
              <w:insideH w:val="nil"/>
              <w:insideV w:val="nil"/>
            </w:tcBorders>
            <w:shd w:color="auto" w:fill="auto" w:val="clear"/>
          </w:tcPr>
          <w:p>
            <w:pPr>
              <w:pStyle w:val="Normal"/>
              <w:jc w:val="right"/>
              <w:rPr/>
            </w:pPr>
            <w:bookmarkStart w:id="7" w:name="_Ref534893964"/>
            <w:r>
              <w:rPr/>
              <w:t>(</w:t>
            </w:r>
            <w:r>
              <w:rPr/>
              <w:fldChar w:fldCharType="begin"/>
            </w:r>
            <w:r>
              <w:instrText> SEQ Equation \* ARABIC </w:instrText>
            </w:r>
            <w:r>
              <w:fldChar w:fldCharType="separate"/>
            </w:r>
            <w:r>
              <w:t>5</w:t>
            </w:r>
            <w:r>
              <w:fldChar w:fldCharType="end"/>
            </w:r>
            <w:bookmarkEnd w:id="7"/>
            <w:r>
              <w:rPr/>
              <w:t>)</w:t>
            </w:r>
          </w:p>
        </w:tc>
      </w:tr>
    </w:tbl>
    <w:p>
      <w:pPr>
        <w:pStyle w:val="Normal"/>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rPr/>
      </w:pPr>
      <w:r>
        <w:rPr/>
        <w:t>Therefore we can get</w:t>
      </w:r>
    </w:p>
    <w:tbl>
      <w:tblPr>
        <w:tblStyle w:val="TableGrid"/>
        <w:tblW w:w="4950" w:type="pct"/>
        <w:jc w:val="left"/>
        <w:tblInd w:w="0" w:type="dxa"/>
        <w:tblCellMar>
          <w:top w:w="0" w:type="dxa"/>
          <w:left w:w="133"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rPr/>
            </w:pPr>
            <w:r>
              <w:rPr/>
            </w:r>
          </w:p>
        </w:tc>
        <w:tc>
          <w:tcPr>
            <w:tcW w:w="8210"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6</w:t>
            </w:r>
            <w:r>
              <w:fldChar w:fldCharType="end"/>
            </w:r>
            <w:r>
              <w:rPr/>
              <w:t>)</w:t>
            </w:r>
          </w:p>
        </w:tc>
      </w:tr>
    </w:tbl>
    <w:p>
      <w:pPr>
        <w:pStyle w:val="Normal"/>
        <w:rPr/>
      </w:pPr>
      <w:r>
        <w:rPr/>
        <w:t>and</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7</w:t>
            </w:r>
            <w:r>
              <w:fldChar w:fldCharType="end"/>
            </w:r>
            <w:r>
              <w:rPr/>
              <w:t>)</w:t>
            </w:r>
          </w:p>
        </w:tc>
      </w:tr>
    </w:tbl>
    <w:p>
      <w:pPr>
        <w:pStyle w:val="Normal"/>
        <w:rPr/>
      </w:pPr>
      <w:r>
        <w:rPr/>
        <w:t>Therefore, the population difference-in-differences is:</w:t>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m:t>
                          </m:r>
                          <m:r>
                            <w:rPr>
                              <w:rFonts w:ascii="Cambria Math" w:hAnsi="Cambria Math"/>
                            </w:rPr>
                            <m:t xml:space="preserve">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8</w:t>
            </w:r>
            <w:r>
              <w:fldChar w:fldCharType="end"/>
            </w:r>
            <w:r>
              <w:rPr/>
              <w:t>)</w:t>
            </w:r>
          </w:p>
        </w:tc>
      </w:tr>
    </w:tbl>
    <w:p>
      <w:pPr>
        <w:pStyle w:val="Normal"/>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in the following way:</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9</w:t>
            </w:r>
            <w:r>
              <w:fldChar w:fldCharType="end"/>
            </w:r>
            <w:r>
              <w:rPr/>
              <w:t>)</w:t>
            </w:r>
          </w:p>
        </w:tc>
      </w:tr>
    </w:tbl>
    <w:p>
      <w:pPr>
        <w:pStyle w:val="Normal"/>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10</w:t>
            </w:r>
            <w:r>
              <w:fldChar w:fldCharType="end"/>
            </w:r>
            <w:r>
              <w:rPr/>
              <w:t>)</w:t>
            </w:r>
          </w:p>
          <w:p>
            <w:pPr>
              <w:pStyle w:val="Normal"/>
              <w:jc w:val="right"/>
              <w:rPr/>
            </w:pPr>
            <w:r>
              <w:rPr/>
            </w:r>
          </w:p>
        </w:tc>
      </w:tr>
    </w:tbl>
    <w:p>
      <w:pPr>
        <w:pStyle w:val="Norma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11</w:t>
            </w:r>
            <w:r>
              <w:fldChar w:fldCharType="end"/>
            </w:r>
            <w:r>
              <w:rPr/>
              <w:t>)</w:t>
            </w:r>
          </w:p>
        </w:tc>
      </w:tr>
    </w:tbl>
    <w:p>
      <w:pPr>
        <w:pStyle w:val="Normal"/>
        <w:rPr/>
      </w:pPr>
      <w:r>
        <w:rPr/>
      </w:r>
    </w:p>
    <w:p>
      <w:pPr>
        <w:pStyle w:val="Normal"/>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rPr/>
      </w:pPr>
      <w:r>
        <w:rPr/>
      </w:r>
    </w:p>
    <w:tbl>
      <w:tblPr>
        <w:tblStyle w:val="TableGrid"/>
        <w:tblW w:w="5000" w:type="pct"/>
        <w:jc w:val="left"/>
        <w:tblInd w:w="0" w:type="dxa"/>
        <w:tblCellMar>
          <w:top w:w="0" w:type="dxa"/>
          <w:left w:w="133" w:type="dxa"/>
          <w:bottom w:w="0" w:type="dxa"/>
          <w:right w:w="108" w:type="dxa"/>
        </w:tblCellMar>
        <w:tblLook w:val="04a0" w:noVBand="1" w:noHBand="0" w:lastColumn="0" w:firstColumn="1" w:lastRow="0" w:firstRow="1"/>
      </w:tblPr>
      <w:tblGrid>
        <w:gridCol w:w="670"/>
        <w:gridCol w:w="8291"/>
        <w:gridCol w:w="677"/>
      </w:tblGrid>
      <w:tr>
        <w:trPr/>
        <w:tc>
          <w:tcPr>
            <w:tcW w:w="670" w:type="dxa"/>
            <w:tcBorders>
              <w:top w:val="nil"/>
              <w:left w:val="nil"/>
              <w:bottom w:val="nil"/>
              <w:right w:val="nil"/>
              <w:insideH w:val="nil"/>
              <w:insideV w:val="nil"/>
            </w:tcBorders>
            <w:shd w:color="auto" w:fill="auto" w:val="clear"/>
          </w:tcPr>
          <w:p>
            <w:pPr>
              <w:pStyle w:val="Normal"/>
              <w:rPr/>
            </w:pPr>
            <w:r>
              <w:rPr/>
            </w:r>
          </w:p>
        </w:tc>
        <w:tc>
          <w:tcPr>
            <w:tcW w:w="8291" w:type="dxa"/>
            <w:tcBorders>
              <w:top w:val="nil"/>
              <w:left w:val="nil"/>
              <w:bottom w:val="nil"/>
              <w:right w:val="nil"/>
              <w:insideH w:val="nil"/>
              <w:insideV w:val="nil"/>
            </w:tcBorders>
            <w:shd w:color="auto" w:fill="auto" w:val="clear"/>
          </w:tcPr>
          <w:p>
            <w:pPr>
              <w:pStyle w:val="Normal"/>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7" w:type="dxa"/>
            <w:tcBorders>
              <w:top w:val="nil"/>
              <w:left w:val="nil"/>
              <w:bottom w:val="nil"/>
              <w:right w:val="nil"/>
              <w:insideH w:val="nil"/>
              <w:insideV w:val="nil"/>
            </w:tcBorders>
            <w:shd w:color="auto" w:fill="auto" w:val="clear"/>
          </w:tcPr>
          <w:p>
            <w:pPr>
              <w:pStyle w:val="Normal"/>
              <w:jc w:val="right"/>
              <w:rPr/>
            </w:pPr>
            <w:r>
              <w:rPr/>
              <w:t>(</w:t>
            </w:r>
            <w:r>
              <w:rPr/>
              <w:fldChar w:fldCharType="begin"/>
            </w:r>
            <w:r>
              <w:instrText> SEQ Equation \* ARABIC </w:instrText>
            </w:r>
            <w:r>
              <w:fldChar w:fldCharType="separate"/>
            </w:r>
            <w:r>
              <w:t>12</w:t>
            </w:r>
            <w:r>
              <w:fldChar w:fldCharType="end"/>
            </w:r>
            <w:r>
              <w:rPr/>
              <w:t>)</w:t>
            </w:r>
          </w:p>
        </w:tc>
      </w:tr>
    </w:tbl>
    <w:p>
      <w:pPr>
        <w:pStyle w:val="Normal"/>
        <w:rPr/>
      </w:pPr>
      <w:r>
        <w:rPr/>
        <w:t>So this is the difference in differences between average health before and after the treatment of the home owners and the tenants.</w:t>
      </w:r>
    </w:p>
    <w:p>
      <w:pPr>
        <w:pStyle w:val="Normal"/>
        <w:rPr/>
      </w:pPr>
      <w:r>
        <w:rPr/>
        <w:tab/>
        <w:t>Because characteristics might differ and therefore explain some of the variation in health in the first group (i.e. all the observations) an extra regression on that group will be run which includes some extra coefficients. The extra coefficients are net income, education and gender because they can all be assumed to have an effect on health. This is not necessary in the second group because these differences should cancel out between the pre-treatment and post-treatment periods. The regression model will then look like this:</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ε</m:t>
        </m:r>
      </m:oMath>
    </w:p>
    <w:p>
      <w:pPr>
        <w:pStyle w:val="Normal"/>
        <w:rPr/>
      </w:pPr>
      <w:r>
        <w:rPr/>
        <w:t xml:space="preserve">Where X represents the extra coefficients. </w:t>
      </w:r>
    </w:p>
    <w:p>
      <w:pPr>
        <w:pStyle w:val="Normal"/>
        <w:rPr>
          <w:b/>
          <w:b/>
          <w:sz w:val="28"/>
          <w:szCs w:val="28"/>
        </w:rPr>
      </w:pPr>
      <w:r>
        <w:rPr>
          <w:b/>
          <w:sz w:val="28"/>
          <w:szCs w:val="28"/>
        </w:rPr>
      </w:r>
    </w:p>
    <w:p>
      <w:pPr>
        <w:pStyle w:val="Normal"/>
        <w:rPr/>
      </w:pPr>
      <w:r>
        <w:rPr>
          <w:b/>
          <w:sz w:val="28"/>
          <w:szCs w:val="28"/>
        </w:rPr>
        <w:t>Results</w:t>
      </w:r>
      <w:r>
        <w:rPr>
          <w:b/>
        </w:rPr>
        <w:t>:</w:t>
      </w:r>
    </w:p>
    <w:p>
      <w:pPr>
        <w:pStyle w:val="Normal"/>
        <w:rPr>
          <w:b/>
          <w:b/>
        </w:rPr>
      </w:pPr>
      <w:r>
        <w:rPr>
          <w:b/>
        </w:rPr>
      </w:r>
    </w:p>
    <w:p>
      <w:pPr>
        <w:pStyle w:val="Normal"/>
        <w:rPr/>
      </w:pPr>
      <w:r>
        <w:rPr>
          <w:b/>
        </w:rPr>
        <w:t>Basic OLS results</w:t>
      </w:r>
    </w:p>
    <w:p>
      <w:pPr>
        <w:pStyle w:val="Normal"/>
        <w:rPr/>
      </w:pPr>
      <w:r>
        <w:rPr/>
        <w:t>A simple OLS regression was conducted first to check whether or not there exists a correlation between health  and health in this dataset. With the simple model:</w:t>
      </w:r>
    </w:p>
    <w:p>
      <w:pPr>
        <w:pStyle w:val="Normal"/>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Networth</m:t>
        </m:r>
        <m:r>
          <w:rPr>
            <w:rFonts w:ascii="Cambria Math" w:hAnsi="Cambria Math"/>
          </w:rPr>
          <m:t xml:space="preserve">+</m:t>
        </m:r>
        <m:r>
          <w:rPr>
            <w:rFonts w:ascii="Cambria Math" w:hAnsi="Cambria Math"/>
          </w:rPr>
          <m:t xml:space="preserve">ε</m:t>
        </m:r>
      </m:oMath>
    </w:p>
    <w:p>
      <w:pPr>
        <w:pStyle w:val="Normal"/>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rPr/>
      </w:pPr>
      <w:r>
        <w:rPr/>
      </w:r>
    </w:p>
    <w:p>
      <w:pPr>
        <w:pStyle w:val="Caption1"/>
        <w:keepNext/>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240" w:before="0" w:after="0"/>
              <w:rPr/>
            </w:pPr>
            <w:r>
              <w:rPr>
                <w:b/>
                <w:bCs/>
                <w:color w:val="31849B" w:themeColor="accent5" w:themeShade="bf"/>
              </w:rPr>
              <w:t>Intercept</w:t>
            </w:r>
          </w:p>
        </w:tc>
        <w:tc>
          <w:tcPr>
            <w:tcW w:w="2409" w:type="dxa"/>
            <w:tcBorders/>
            <w:shd w:color="auto"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pPr>
            <w:r>
              <w:rPr>
                <w:b/>
                <w:bCs/>
                <w:color w:val="31849B" w:themeColor="accent5" w:themeShade="bf"/>
              </w:rPr>
              <w:t>Net worth</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rPr/>
            </w:pPr>
            <w:r>
              <w:rPr>
                <w:b/>
                <w:bCs/>
                <w:color w:val="31849B" w:themeColor="accent5" w:themeShade="bf"/>
              </w:rPr>
              <w:t>F-statistic</w:t>
            </w:r>
          </w:p>
        </w:tc>
        <w:tc>
          <w:tcPr>
            <w:tcW w:w="2409" w:type="dxa"/>
            <w:tcBorders>
              <w:top w:val="nil"/>
              <w:bottom w:val="nil"/>
              <w:insideH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rPr>
                <w:b/>
                <w:b/>
                <w:bCs/>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cnfStyle w:val="000000000000" w:firstRow="0" w:lastRow="0" w:firstColumn="0" w:lastColumn="0" w:oddVBand="0" w:evenVBand="0" w:oddHBand="0" w:evenHBand="0" w:firstRowFirstColumn="0" w:firstRowLastColumn="0" w:lastRowFirstColumn="0" w:lastRowLastColumn="0"/>
              <w:rPr/>
            </w:pPr>
            <w:r>
              <w:rPr>
                <w:color w:val="31849B" w:themeColor="accent5" w:themeShade="bf"/>
              </w:rPr>
              <w:t>0.0010</w:t>
            </w:r>
          </w:p>
        </w:tc>
      </w:tr>
    </w:tbl>
    <w:p>
      <w:pPr>
        <w:pStyle w:val="Normal"/>
        <w:rPr>
          <w:b/>
          <w:b/>
        </w:rPr>
      </w:pPr>
      <w:r>
        <w:rPr>
          <w:b/>
        </w:rPr>
      </w:r>
    </w:p>
    <w:p>
      <w:pPr>
        <w:pStyle w:val="Normal"/>
        <w:rPr>
          <w:b/>
          <w:b/>
        </w:rPr>
      </w:pPr>
      <w:r>
        <w:rPr>
          <w:b/>
        </w:rPr>
      </w:r>
    </w:p>
    <w:p>
      <w:pPr>
        <w:pStyle w:val="Normal"/>
        <w:rPr>
          <w:b/>
          <w:b/>
        </w:rPr>
      </w:pPr>
      <w:r>
        <w:rPr>
          <w:b/>
        </w:rPr>
      </w:r>
    </w:p>
    <w:p>
      <w:pPr>
        <w:pStyle w:val="Caption1"/>
        <w:rPr/>
      </w:pPr>
      <w:r>
        <w:rPr/>
      </w:r>
    </w:p>
    <w:p>
      <w:pPr>
        <w:pStyle w:val="Caption1"/>
        <w:rPr/>
      </w:pPr>
      <w:r>
        <w:rPr>
          <w:b/>
          <w:i w:val="false"/>
        </w:rPr>
        <w:t>Difference in Difference Analysis</w:t>
      </w:r>
    </w:p>
    <w:p>
      <w:pPr>
        <w:pStyle w:val="Normal"/>
        <w:rPr/>
      </w:pPr>
      <w:r>
        <w:rP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pPr>
        <w:pStyle w:val="Normal"/>
        <w:rPr/>
      </w:pPr>
      <w:r>
        <w:rP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pPr>
        <w:pStyle w:val="Normal"/>
        <w:rPr/>
      </w:pPr>
      <w:r>
        <w:rPr/>
      </w:r>
    </w:p>
    <w:p>
      <w:pPr>
        <w:pStyle w:val="Normal"/>
        <w:rPr>
          <w:i/>
          <w:i/>
        </w:rPr>
      </w:pPr>
      <w:r>
        <w:rPr>
          <w:i/>
        </w:rPr>
      </w:r>
    </w:p>
    <w:p>
      <w:pPr>
        <w:pStyle w:val="Normal"/>
        <w:rPr>
          <w:i/>
          <w:i/>
        </w:rPr>
      </w:pPr>
      <w:r>
        <w:rPr>
          <w:i/>
        </w:rPr>
      </w:r>
    </w:p>
    <w:p>
      <w:pPr>
        <w:pStyle w:val="Caption1"/>
        <w:keepNext/>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9662" w:type="dxa"/>
        <w:jc w:val="left"/>
        <w:tblInd w:w="93"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9"/>
        <w:gridCol w:w="1161"/>
        <w:gridCol w:w="1"/>
        <w:gridCol w:w="1159"/>
        <w:gridCol w:w="2"/>
        <w:gridCol w:w="1158"/>
        <w:gridCol w:w="2"/>
        <w:gridCol w:w="1161"/>
        <w:gridCol w:w="2"/>
        <w:gridCol w:w="1260"/>
        <w:gridCol w:w="1"/>
        <w:gridCol w:w="1159"/>
        <w:gridCol w:w="2"/>
        <w:gridCol w:w="1153"/>
      </w:tblGrid>
      <w:tr>
        <w:trPr>
          <w:trHeight w:val="255" w:hRule="atLeast"/>
        </w:trPr>
        <w:tc>
          <w:tcPr>
            <w:tcW w:w="143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2" w:type="dxa"/>
            <w:gridSpan w:val="2"/>
            <w:tcBorders>
              <w:top w:val="single" w:sz="4" w:space="0" w:color="000001"/>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1"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60" w:type="dxa"/>
            <w:gridSpan w:val="2"/>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1163"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261"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61"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1153" w:type="dxa"/>
            <w:tcBorders>
              <w:top w:val="single" w:sz="4" w:space="0" w:color="000001"/>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2" w:type="dxa"/>
            <w:gridSpan w:val="2"/>
            <w:tcBorders>
              <w:top w:val="single" w:sz="4" w:space="0" w:color="000001"/>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261"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0.0026</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-0.0265***</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-0.0291***</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0.0054</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-0.0124</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-0.0173</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(0.0101)</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(0.0110)</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(0.0109)</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(0.0113)</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0.0190**</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0.0190*</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0.0078</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0.0173</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0.0164</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0.0028</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(0.0102)</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(0.0108)</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(0.0116)</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(0.0116)</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(0.0123)</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-0.0112</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0.0235*</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0.0347**</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-0.0123</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0.0110</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0.0234</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(0.0139)</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(0.0138)</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(0.0143)</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(0.0155)</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(0.0149)</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(0.0155)</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Gender</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-0.0124</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-0.0165**</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-0.0110</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(0.0088)</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(0.0082)</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(0.0085)</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Education</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0.0044</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0.0096</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0.0070</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(0.0084)</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(0.0080)</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(0.0082)</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Net Income</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(0.0000)</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0.9487***</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0.9487***</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0.9513***</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0.9426***</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0.9413***</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0.9450***</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(0.0065)</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(0.0069)</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(0.0076)</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(0.0087)</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(0.0086)</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(0.0097)</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2" w:type="dxa"/>
            <w:gridSpan w:val="2"/>
            <w:tcBorders>
              <w:left w:val="single" w:sz="4" w:space="0" w:color="00000A"/>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3,458</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4,024</w:t>
            </w:r>
          </w:p>
        </w:tc>
        <w:tc>
          <w:tcPr>
            <w:tcW w:w="1160"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3,864</w:t>
            </w:r>
          </w:p>
        </w:tc>
        <w:tc>
          <w:tcPr>
            <w:tcW w:w="116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2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161"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2" w:type="dxa"/>
            <w:gridSpan w:val="2"/>
            <w:tcBorders>
              <w:top w:val="single" w:sz="4" w:space="0" w:color="000001"/>
              <w:left w:val="single" w:sz="4" w:space="0" w:color="00000A"/>
              <w:bottom w:val="single" w:sz="4" w:space="0" w:color="000001"/>
              <w:insideH w:val="single" w:sz="4" w:space="0" w:color="000001"/>
            </w:tcBorders>
            <w:shd w:color="auto" w:fill="auto" w:val="clear"/>
            <w:tcMar>
              <w:left w:w="93" w:type="dxa"/>
            </w:tcMar>
            <w:vAlign w:val="bottom"/>
          </w:tcPr>
          <w:p>
            <w:pPr>
              <w:pStyle w:val="Normal"/>
              <w:jc w:val="center"/>
              <w:rPr/>
            </w:pPr>
            <w:r>
              <w:rPr>
                <w:rFonts w:eastAsia="Times New Roman" w:cs="Times New Roman" w:ascii="Calibri" w:hAnsi="Calibri"/>
                <w:color w:val="00000A"/>
                <w:sz w:val="20"/>
                <w:szCs w:val="20"/>
                <w:lang w:eastAsia="en-US" w:bidi="ar-SA"/>
              </w:rPr>
              <w:t>0.0013</w:t>
            </w:r>
          </w:p>
        </w:tc>
        <w:tc>
          <w:tcPr>
            <w:tcW w:w="1161"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0.0070</w:t>
            </w:r>
          </w:p>
        </w:tc>
        <w:tc>
          <w:tcPr>
            <w:tcW w:w="1160" w:type="dxa"/>
            <w:gridSpan w:val="2"/>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0.0060</w:t>
            </w:r>
          </w:p>
        </w:tc>
        <w:tc>
          <w:tcPr>
            <w:tcW w:w="1163"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0.0046</w:t>
            </w:r>
          </w:p>
        </w:tc>
        <w:tc>
          <w:tcPr>
            <w:tcW w:w="1261"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0.0100</w:t>
            </w:r>
          </w:p>
        </w:tc>
        <w:tc>
          <w:tcPr>
            <w:tcW w:w="1161"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0.0085</w:t>
            </w:r>
          </w:p>
        </w:tc>
        <w:tc>
          <w:tcPr>
            <w:tcW w:w="115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3760" w:type="dxa"/>
            <w:gridSpan w:val="4"/>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5"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5"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3"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3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2"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26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3" w:type="dxa"/>
            <w:tcBorders/>
            <w:shd w:color="auto" w:fill="auto" w:val="clear"/>
            <w:vAlign w:val="bottom"/>
          </w:tcPr>
          <w:p>
            <w:pPr>
              <w:pStyle w:val="Normal"/>
              <w:keepNext/>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Caption1"/>
        <w:ind w:firstLine="720"/>
        <w:rPr>
          <w:i w:val="false"/>
          <w:i w:val="false"/>
        </w:rPr>
      </w:pPr>
      <w:r>
        <w:rPr>
          <w:i w:val="false"/>
        </w:rPr>
      </w:r>
    </w:p>
    <w:p>
      <w:pPr>
        <w:pStyle w:val="Caption1"/>
        <w:keepNext/>
        <w:rPr/>
      </w:pPr>
      <w:r>
        <w:rPr/>
        <w:t xml:space="preserve">Table </w:t>
      </w:r>
      <w:r>
        <w:rPr/>
        <w:fldChar w:fldCharType="begin"/>
      </w:r>
      <w:r>
        <w:instrText> SEQ Table \* ARABIC </w:instrText>
      </w:r>
      <w:r>
        <w:fldChar w:fldCharType="separate"/>
      </w:r>
      <w:r>
        <w:t>8</w:t>
      </w:r>
      <w:r>
        <w:fldChar w:fldCharType="end"/>
      </w:r>
      <w:r>
        <w:rPr/>
        <w:t>: DD results same persons</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health</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-0.0347**</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-0.0155</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(0.0144)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(0.0162)</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(0.0151)</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0.0205</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0.0270*</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0.0243*</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(0.0152)</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0.0183</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0.0167</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(0.0216)</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0.9595***</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0.9581***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0.9410***</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(0.0109)</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(0.0103)</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1,540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1,288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1,886</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0.0040</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0.0122</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0.0061</w:t>
            </w:r>
          </w:p>
        </w:tc>
      </w:tr>
      <w:tr>
        <w:trPr>
          <w:trHeight w:val="255" w:hRule="atLeast"/>
        </w:trPr>
        <w:tc>
          <w:tcPr>
            <w:tcW w:w="3759"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Caption1"/>
        <w:ind w:firstLine="720"/>
        <w:rPr>
          <w:i w:val="false"/>
          <w:i w:val="false"/>
        </w:rPr>
      </w:pPr>
      <w:r>
        <w:rPr>
          <w:i w:val="false"/>
        </w:rPr>
      </w:r>
    </w:p>
    <w:p>
      <w:pPr>
        <w:pStyle w:val="Caption1"/>
        <w:ind w:firstLine="720"/>
        <w:rPr>
          <w:i w:val="false"/>
          <w:i w:val="false"/>
        </w:rPr>
      </w:pPr>
      <w:r>
        <w:rPr>
          <w:i w:val="false"/>
        </w:rPr>
      </w:r>
    </w:p>
    <w:p>
      <w:pPr>
        <w:pStyle w:val="Normal"/>
        <w:rPr/>
      </w:pPr>
      <w:r>
        <w:rPr/>
        <w:t>The results from the mid-term analysis can be seen in table 7, column 2007 - 2017. This analysis does find a significant (p&lt;10%) causal relationship between wealth and health using the DD analysis. This suggests that in the Netherlands</w:t>
      </w:r>
      <w:r>
        <w:rPr>
          <w:i/>
        </w:rPr>
        <w:t>,</w:t>
      </w:r>
      <w:r>
        <w:rP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pPr>
        <w:pStyle w:val="Normal"/>
        <w:rPr/>
      </w:pPr>
      <w:r>
        <w:rPr/>
        <w:tab/>
        <w:t>To check whether the positive interaction coefficient can be explained by the rise in housing prices between 2013 and 2017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pPr>
        <w:pStyle w:val="Normal"/>
        <w:rPr/>
      </w:pPr>
      <w:r>
        <w:rPr/>
      </w:r>
    </w:p>
    <w:p>
      <w:pPr>
        <w:pStyle w:val="Normal"/>
        <w:rPr/>
      </w:pPr>
      <w:r>
        <w:rPr>
          <w:b/>
          <w:sz w:val="28"/>
          <w:szCs w:val="28"/>
        </w:rPr>
        <w:t>Robustness checks</w:t>
      </w:r>
    </w:p>
    <w:p>
      <w:pPr>
        <w:pStyle w:val="Caption1"/>
        <w:keepNext/>
        <w:rPr/>
      </w:pPr>
      <w:r>
        <w:rPr/>
        <w:t xml:space="preserve">Table </w:t>
      </w:r>
      <w:r>
        <w:rPr/>
        <w:fldChar w:fldCharType="begin"/>
      </w:r>
      <w:r>
        <w:instrText> SEQ Table \* ARABIC </w:instrText>
      </w:r>
      <w:r>
        <w:fldChar w:fldCharType="separate"/>
      </w:r>
      <w:r>
        <w:t>9</w:t>
      </w:r>
      <w:r>
        <w:fldChar w:fldCharType="end"/>
      </w:r>
      <w:r>
        <w:rPr/>
        <w:t>: mechanism check</w:t>
      </w:r>
    </w:p>
    <w:tbl>
      <w:tblPr>
        <w:tblW w:w="9761" w:type="dxa"/>
        <w:jc w:val="left"/>
        <w:tblInd w:w="93" w:type="dxa"/>
        <w:tblBorders/>
        <w:tblCellMar>
          <w:top w:w="0" w:type="dxa"/>
          <w:left w:w="108" w:type="dxa"/>
          <w:bottom w:w="0" w:type="dxa"/>
          <w:right w:w="108" w:type="dxa"/>
        </w:tblCellMar>
        <w:tblLook w:val="04a0" w:noVBand="1" w:noHBand="0" w:lastColumn="0" w:firstColumn="1" w:lastRow="0" w:firstRow="1"/>
      </w:tblPr>
      <w:tblGrid>
        <w:gridCol w:w="1259"/>
        <w:gridCol w:w="1303"/>
        <w:gridCol w:w="1304"/>
        <w:gridCol w:w="2"/>
        <w:gridCol w:w="1302"/>
        <w:gridCol w:w="2"/>
        <w:gridCol w:w="1302"/>
        <w:gridCol w:w="2"/>
        <w:gridCol w:w="1302"/>
        <w:gridCol w:w="2"/>
        <w:gridCol w:w="1302"/>
        <w:gridCol w:w="2"/>
        <w:gridCol w:w="675"/>
      </w:tblGrid>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all observations</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rPr/>
            </w:pPr>
            <w:r>
              <w:rPr>
                <w:rFonts w:eastAsia="Times New Roman" w:cs="Times New Roman" w:ascii="Calibri" w:hAnsi="Calibri"/>
                <w:color w:val="00000A"/>
                <w:sz w:val="20"/>
                <w:szCs w:val="20"/>
                <w:lang w:eastAsia="en-US" w:bidi="ar-SA"/>
              </w:rPr>
              <w:t> </w:t>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same persons</w:t>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03"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304"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304" w:type="dxa"/>
            <w:gridSpan w:val="2"/>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Worth</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03"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3,533</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6,130</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2,597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4,732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-4,700</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-821</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(9,902)</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(10,051)</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(9,605)</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(15,015)</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(17,042)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(15,110)</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249,872 ***</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249,872 ***</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227,587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263,253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258,237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243,262 ***</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(9,924)</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(10,665)</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(10,237)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(14,577)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(15,999)</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(13,963)</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-22,284</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-18,349</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3,935</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-48,246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-713</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25,871</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(14,351)</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(14,363)</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(13,527)</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(20,639)</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(22,828)</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(19,905)</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25,399 ***</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25,399 ***</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28,933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25,004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29,716 **</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37,327 ***</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(6,742)</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(7,246)</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(7,162)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(10,506)</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(11,522)</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(10,359)</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3"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04"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303"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3,458</w:t>
            </w:r>
          </w:p>
        </w:tc>
        <w:tc>
          <w:tcPr>
            <w:tcW w:w="1304"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4,024</w:t>
            </w:r>
          </w:p>
        </w:tc>
        <w:tc>
          <w:tcPr>
            <w:tcW w:w="1304"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3,864</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1,540</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1,288</w:t>
            </w:r>
          </w:p>
        </w:tc>
        <w:tc>
          <w:tcPr>
            <w:tcW w:w="1304"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1,886</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259"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303"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0.2442</w:t>
            </w:r>
          </w:p>
        </w:tc>
        <w:tc>
          <w:tcPr>
            <w:tcW w:w="1304"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0.2195</w:t>
            </w:r>
          </w:p>
        </w:tc>
        <w:tc>
          <w:tcPr>
            <w:tcW w:w="1304" w:type="dxa"/>
            <w:gridSpan w:val="2"/>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98" w:type="dxa"/>
            </w:tcMar>
            <w:vAlign w:val="bottom"/>
          </w:tcPr>
          <w:p>
            <w:pPr>
              <w:pStyle w:val="Normal"/>
              <w:jc w:val="center"/>
              <w:rPr/>
            </w:pPr>
            <w:r>
              <w:rPr>
                <w:rFonts w:eastAsia="Times New Roman" w:cs="Times New Roman" w:ascii="Calibri" w:hAnsi="Calibri"/>
                <w:color w:val="00000A"/>
                <w:sz w:val="20"/>
                <w:szCs w:val="20"/>
                <w:lang w:eastAsia="en-US" w:bidi="ar-SA"/>
              </w:rPr>
              <w:t>0.2346</w:t>
            </w:r>
          </w:p>
        </w:tc>
        <w:tc>
          <w:tcPr>
            <w:tcW w:w="1304"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0.2619</w:t>
            </w:r>
          </w:p>
        </w:tc>
        <w:tc>
          <w:tcPr>
            <w:tcW w:w="1304"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0.2852</w:t>
            </w:r>
          </w:p>
        </w:tc>
        <w:tc>
          <w:tcPr>
            <w:tcW w:w="1304"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0.2628</w:t>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3868" w:type="dxa"/>
            <w:gridSpan w:val="4"/>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5"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562"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304"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04"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677"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b/>
          <w:b/>
          <w:sz w:val="28"/>
          <w:szCs w:val="28"/>
        </w:rPr>
      </w:pPr>
      <w:r>
        <w:rPr>
          <w:b/>
          <w:sz w:val="28"/>
          <w:szCs w:val="28"/>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10</w:t>
      </w:r>
      <w:r>
        <w:fldChar w:fldCharType="end"/>
      </w:r>
      <w:r>
        <w:rPr/>
        <w:t>: characteristics check gender</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gender</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gender</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gender</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0.0133</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0.0125</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-0.0008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(0.0252)</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(0.0265)</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0.3971***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0.3971***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0.3919***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(0.0244)</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(0.0248)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-0.0052</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-0.0696**</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-0.0644*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(0.0360)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(0.0347)</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(0.0362)</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0.3576***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0.3576***</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0.3709***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(0.0171)</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(0.0174)</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(0.0192)</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0.1584</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0.1323</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0.1290</w:t>
            </w:r>
          </w:p>
        </w:tc>
      </w:tr>
      <w:tr>
        <w:trPr>
          <w:trHeight w:val="255" w:hRule="atLeast"/>
        </w:trPr>
        <w:tc>
          <w:tcPr>
            <w:tcW w:w="3759"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11</w:t>
      </w:r>
      <w:r>
        <w:fldChar w:fldCharType="end"/>
      </w:r>
      <w:r>
        <w:rPr/>
        <w:t>: characteristics check education</w:t>
      </w:r>
    </w:p>
    <w:tbl>
      <w:tblPr>
        <w:tblW w:w="4920"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education</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education</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education</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16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60"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159"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0.0807***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0.0128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-0.0678**</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(0.0268)</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(0.0259)</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(0.0277)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0.2010***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0.2010***</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0.1619***</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(0.0257)</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(0.0255)</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(0.0281)</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-0.0392</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-0.0280</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0.0111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(0.0380)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(0.0357)</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(0.0379)</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0.2749***</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0.2749***</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0.3556***</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(0.0180)</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(0.0178)</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(0.0200)</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60"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16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160"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159"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0.0395</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0.0370</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0.0317</w:t>
            </w:r>
          </w:p>
        </w:tc>
      </w:tr>
      <w:tr>
        <w:trPr>
          <w:trHeight w:val="255" w:hRule="atLeast"/>
        </w:trPr>
        <w:tc>
          <w:tcPr>
            <w:tcW w:w="3759"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600"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160"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159"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Caption1"/>
        <w:keepNext/>
        <w:rPr/>
      </w:pPr>
      <w:r>
        <w:rPr/>
        <w:t xml:space="preserve">Table </w:t>
      </w:r>
      <w:r>
        <w:rPr/>
        <w:fldChar w:fldCharType="begin"/>
      </w:r>
      <w:r>
        <w:instrText> SEQ Table \* ARABIC </w:instrText>
      </w:r>
      <w:r>
        <w:fldChar w:fldCharType="separate"/>
      </w:r>
      <w:r>
        <w:t>12</w:t>
      </w:r>
      <w:r>
        <w:fldChar w:fldCharType="end"/>
      </w:r>
      <w:r>
        <w:rPr/>
        <w:t>: characteristics check net income</w:t>
      </w:r>
    </w:p>
    <w:tbl>
      <w:tblPr>
        <w:tblW w:w="5466" w:type="dxa"/>
        <w:jc w:val="left"/>
        <w:tblInd w:w="93" w:type="dxa"/>
        <w:tblBorders/>
        <w:tblCellMar>
          <w:top w:w="0" w:type="dxa"/>
          <w:left w:w="108" w:type="dxa"/>
          <w:bottom w:w="0" w:type="dxa"/>
          <w:right w:w="108" w:type="dxa"/>
        </w:tblCellMar>
        <w:tblLook w:val="04a0" w:noVBand="1" w:noHBand="0" w:lastColumn="0" w:firstColumn="1" w:lastRow="0" w:firstRow="1"/>
      </w:tblPr>
      <w:tblGrid>
        <w:gridCol w:w="1440"/>
        <w:gridCol w:w="1342"/>
        <w:gridCol w:w="1342"/>
        <w:gridCol w:w="1"/>
        <w:gridCol w:w="1340"/>
      </w:tblGrid>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2007 - 2013</w:t>
            </w:r>
          </w:p>
        </w:tc>
        <w:tc>
          <w:tcPr>
            <w:tcW w:w="1343"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2007 - 2017</w:t>
            </w:r>
          </w:p>
        </w:tc>
        <w:tc>
          <w:tcPr>
            <w:tcW w:w="134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2013 - 2017</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VARIABLES</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Income</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Income</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Net Income</w:t>
            </w:r>
          </w:p>
        </w:tc>
      </w:tr>
      <w:tr>
        <w:trPr>
          <w:trHeight w:val="255" w:hRule="atLeast"/>
        </w:trPr>
        <w:tc>
          <w:tcPr>
            <w:tcW w:w="1440" w:type="dxa"/>
            <w:tcBorders>
              <w:top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 </w:t>
            </w:r>
          </w:p>
        </w:tc>
        <w:tc>
          <w:tcPr>
            <w:tcW w:w="1342"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43" w:type="dxa"/>
            <w:gridSpan w:val="2"/>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c>
          <w:tcPr>
            <w:tcW w:w="1340" w:type="dxa"/>
            <w:tcBorders>
              <w:top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 </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time</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2,964 ***</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2,933 ***</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-31.3424</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(752)</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(802)</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(872)</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treated</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14,764 ***</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14,764 ***</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13,736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(721)</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(789)</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(885)</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DID</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-1,028</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403</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1,431</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(1,065)</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(1,105)</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(1,193)</w:t>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Constant</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13,641 ***</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13,641 ***</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16,605 ***</w:t>
            </w:r>
          </w:p>
        </w:tc>
      </w:tr>
      <w:tr>
        <w:trPr>
          <w:trHeight w:val="255" w:hRule="atLeas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(505)</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(552)</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(631)</w:t>
            </w:r>
          </w:p>
        </w:tc>
      </w:tr>
      <w:tr>
        <w:trPr>
          <w:trHeight w:val="23" w:hRule="exact"/>
        </w:trPr>
        <w:tc>
          <w:tcPr>
            <w:tcW w:w="14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2"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3" w:type="dxa"/>
            <w:gridSpan w:val="2"/>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0" w:type="dxa"/>
            <w:tcBorders/>
            <w:shd w:color="auto" w:fill="auto" w:val="clear"/>
            <w:vAlign w:val="bottom"/>
          </w:tcPr>
          <w:p>
            <w:pPr>
              <w:pStyle w:val="Normal"/>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40" w:type="dxa"/>
            <w:tcBorders/>
            <w:shd w:color="auto" w:fill="auto" w:val="clear"/>
            <w:vAlign w:val="bottom"/>
          </w:tcPr>
          <w:p>
            <w:pPr>
              <w:pStyle w:val="Normal"/>
              <w:rPr/>
            </w:pPr>
            <w:r>
              <w:rPr>
                <w:rFonts w:eastAsia="Times New Roman" w:cs="Times New Roman" w:ascii="Calibri" w:hAnsi="Calibri"/>
                <w:color w:val="00000A"/>
                <w:sz w:val="20"/>
                <w:szCs w:val="20"/>
                <w:lang w:eastAsia="en-US" w:bidi="ar-SA"/>
              </w:rPr>
              <w:t>Observations</w:t>
            </w:r>
          </w:p>
        </w:tc>
        <w:tc>
          <w:tcPr>
            <w:tcW w:w="1342"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2,586</w:t>
            </w:r>
          </w:p>
        </w:tc>
        <w:tc>
          <w:tcPr>
            <w:tcW w:w="1343" w:type="dxa"/>
            <w:gridSpan w:val="2"/>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2,881</w:t>
            </w:r>
          </w:p>
        </w:tc>
        <w:tc>
          <w:tcPr>
            <w:tcW w:w="1340" w:type="dxa"/>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rPr/>
            </w:pPr>
            <w:r>
              <w:rPr>
                <w:rFonts w:eastAsia="Times New Roman" w:cs="Times New Roman" w:ascii="Calibri" w:hAnsi="Calibri"/>
                <w:color w:val="00000A"/>
                <w:sz w:val="20"/>
                <w:szCs w:val="20"/>
                <w:lang w:eastAsia="en-US" w:bidi="ar-SA"/>
              </w:rPr>
              <w:t>R-squared</w:t>
            </w:r>
          </w:p>
        </w:tc>
        <w:tc>
          <w:tcPr>
            <w:tcW w:w="1342"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0.2255</w:t>
            </w:r>
          </w:p>
        </w:tc>
        <w:tc>
          <w:tcPr>
            <w:tcW w:w="1343" w:type="dxa"/>
            <w:gridSpan w:val="2"/>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0.2166</w:t>
            </w:r>
          </w:p>
        </w:tc>
        <w:tc>
          <w:tcPr>
            <w:tcW w:w="1340" w:type="dxa"/>
            <w:tcBorders>
              <w:top w:val="single" w:sz="4" w:space="0" w:color="000001"/>
              <w:bottom w:val="single" w:sz="4" w:space="0" w:color="000001"/>
              <w:insideH w:val="single" w:sz="4" w:space="0" w:color="000001"/>
            </w:tcBorders>
            <w:shd w:color="auto" w:fill="auto" w:val="clear"/>
            <w:vAlign w:val="bottom"/>
          </w:tcPr>
          <w:p>
            <w:pPr>
              <w:pStyle w:val="Normal"/>
              <w:jc w:val="center"/>
              <w:rPr/>
            </w:pPr>
            <w:r>
              <w:rPr>
                <w:rFonts w:eastAsia="Times New Roman" w:cs="Times New Roman" w:ascii="Calibri" w:hAnsi="Calibri"/>
                <w:color w:val="00000A"/>
                <w:sz w:val="20"/>
                <w:szCs w:val="20"/>
                <w:lang w:eastAsia="en-US" w:bidi="ar-SA"/>
              </w:rPr>
              <w:t>0.1855</w:t>
            </w:r>
          </w:p>
        </w:tc>
      </w:tr>
      <w:tr>
        <w:trPr>
          <w:trHeight w:val="255" w:hRule="atLeast"/>
        </w:trPr>
        <w:tc>
          <w:tcPr>
            <w:tcW w:w="4124" w:type="dxa"/>
            <w:gridSpan w:val="3"/>
            <w:tcBorders/>
            <w:shd w:color="auto" w:fill="auto" w:val="clear"/>
            <w:vAlign w:val="bottom"/>
          </w:tcPr>
          <w:p>
            <w:pPr>
              <w:pStyle w:val="Normal"/>
              <w:rPr/>
            </w:pPr>
            <w:r>
              <w:rPr>
                <w:rFonts w:eastAsia="Times New Roman" w:cs="Times New Roman" w:ascii="Calibri" w:hAnsi="Calibri"/>
                <w:color w:val="00000A"/>
                <w:sz w:val="20"/>
                <w:szCs w:val="20"/>
                <w:lang w:eastAsia="en-US" w:bidi="ar-SA"/>
              </w:rPr>
              <w:t>Standard errors in parentheses</w:t>
            </w:r>
          </w:p>
        </w:tc>
        <w:tc>
          <w:tcPr>
            <w:tcW w:w="1341"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2782" w:type="dxa"/>
            <w:gridSpan w:val="2"/>
            <w:tcBorders/>
            <w:shd w:color="auto" w:fill="auto" w:val="clear"/>
            <w:vAlign w:val="bottom"/>
          </w:tcPr>
          <w:p>
            <w:pPr>
              <w:pStyle w:val="Normal"/>
              <w:rPr/>
            </w:pPr>
            <w:r>
              <w:rPr>
                <w:rFonts w:eastAsia="Times New Roman" w:cs="Times New Roman" w:ascii="Calibri" w:hAnsi="Calibri"/>
                <w:color w:val="00000A"/>
                <w:sz w:val="20"/>
                <w:szCs w:val="20"/>
                <w:lang w:eastAsia="en-US" w:bidi="ar-SA"/>
              </w:rPr>
              <w:t>*** p&lt;0.01, ** p&lt;0.05, * p&lt;0.1</w:t>
            </w:r>
          </w:p>
        </w:tc>
        <w:tc>
          <w:tcPr>
            <w:tcW w:w="1343" w:type="dxa"/>
            <w:gridSpan w:val="2"/>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340" w:type="dxa"/>
            <w:tcBorders/>
            <w:shd w:color="auto" w:fill="auto" w:val="clear"/>
            <w:vAlign w:val="bottom"/>
          </w:tcPr>
          <w:p>
            <w:pPr>
              <w:pStyle w:val="Normal"/>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rPr/>
      </w:pPr>
      <w:r>
        <w:rPr/>
      </w:r>
    </w:p>
    <w:p>
      <w:pPr>
        <w:pStyle w:val="Normal"/>
        <w:rPr/>
      </w:pPr>
      <w:r>
        <w:rPr/>
      </w:r>
    </w:p>
    <w:p>
      <w:pPr>
        <w:pStyle w:val="Normal"/>
        <w:rPr/>
      </w:pPr>
      <w:r>
        <w:rPr>
          <w:b/>
          <w:bCs/>
          <w:lang w:val="nl-NL"/>
        </w:rPr>
        <w:t>Literatuur</w:t>
      </w:r>
    </w:p>
    <w:p>
      <w:pPr>
        <w:pStyle w:val="Normal"/>
        <w:rPr>
          <w:b/>
          <w:b/>
          <w:bCs/>
          <w:lang w:val="nl-NL"/>
        </w:rPr>
      </w:pPr>
      <w:r>
        <w:rPr>
          <w:b/>
          <w:bCs/>
          <w:lang w:val="nl-NL"/>
        </w:rPr>
      </w:r>
    </w:p>
    <w:p>
      <w:pPr>
        <w:pStyle w:val="Normal"/>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rPr/>
      </w:pPr>
      <w:r>
        <w:rPr/>
      </w:r>
    </w:p>
    <w:p>
      <w:pPr>
        <w:pStyle w:val="Normal"/>
        <w:rPr/>
      </w:pPr>
      <w:r>
        <w:rPr/>
        <w:t>Apouey, B., &amp; Clark, A. (2015). Winning Big but Feeling no Better? The Effect of Lottery Prizes on Physical and Mental Health. Health Economics, 24(5), 516-538.</w:t>
      </w:r>
    </w:p>
    <w:p>
      <w:pPr>
        <w:pStyle w:val="Normal"/>
        <w:rPr/>
      </w:pPr>
      <w:r>
        <w:rPr/>
      </w:r>
    </w:p>
    <w:p>
      <w:pPr>
        <w:pStyle w:val="Normal"/>
        <w:rPr/>
      </w:pPr>
      <w:r>
        <w:rPr/>
        <w:t>Au, N., &amp; Johnston, D. (2015). Too Much of a Good Thing? Exploring the Impact of Wealth on Weight. Health Economics, 24(11), 1403-1421.</w:t>
      </w:r>
    </w:p>
    <w:p>
      <w:pPr>
        <w:pStyle w:val="Normal"/>
        <w:rPr/>
      </w:pPr>
      <w:r>
        <w:rPr/>
      </w:r>
    </w:p>
    <w:p>
      <w:pPr>
        <w:pStyle w:val="Normal"/>
        <w:rPr/>
      </w:pPr>
      <w:r>
        <w:rPr/>
        <w:t>Cai, L. (2009). Be wealthy to stay healthy: An analysis of older Australians using the HILDA survey. Journal of Sociology, 45(1), 55-70.</w:t>
      </w:r>
    </w:p>
    <w:p>
      <w:pPr>
        <w:pStyle w:val="Normal"/>
        <w:rPr/>
      </w:pPr>
      <w:r>
        <w:rPr/>
      </w:r>
    </w:p>
    <w:p>
      <w:pPr>
        <w:pStyle w:val="Normal"/>
        <w:rPr/>
      </w:pPr>
      <w:r>
        <w:rPr/>
        <w:t xml:space="preserve">CentERdata. (2019). DHS data access. Retrieved January 2, 2019, from </w:t>
      </w:r>
      <w:hyperlink r:id="rId3">
        <w:r>
          <w:rPr>
            <w:rStyle w:val="InternetLink"/>
          </w:rPr>
          <w:t>https://www.dhsdata.nl/site/users/login</w:t>
        </w:r>
      </w:hyperlink>
    </w:p>
    <w:p>
      <w:pPr>
        <w:pStyle w:val="Normal"/>
        <w:rPr/>
      </w:pPr>
      <w:r>
        <w:rPr/>
      </w:r>
    </w:p>
    <w:p>
      <w:pPr>
        <w:pStyle w:val="Normal"/>
        <w:rPr/>
      </w:pPr>
      <w:r>
        <w:rPr/>
        <w:t xml:space="preserve">CentERdata. (n.d.). DHS data access | CentERdata.nl. Retrieved January 2, 2019, from </w:t>
      </w:r>
      <w:hyperlink r:id="rId4">
        <w:r>
          <w:rPr>
            <w:rStyle w:val="InternetLink"/>
          </w:rPr>
          <w:t>https://www.centerdata.nl/en/databank/dhs-data-access</w:t>
        </w:r>
      </w:hyperlink>
    </w:p>
    <w:p>
      <w:pPr>
        <w:pStyle w:val="Normal"/>
        <w:rPr>
          <w:rStyle w:val="InternetLink"/>
        </w:rPr>
      </w:pPr>
      <w:r>
        <w:rPr/>
      </w:r>
    </w:p>
    <w:p>
      <w:pPr>
        <w:pStyle w:val="Normal"/>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rPr/>
      </w:pPr>
      <w:r>
        <w:rPr/>
      </w:r>
    </w:p>
    <w:p>
      <w:pPr>
        <w:pStyle w:val="Normal"/>
        <w:rPr/>
      </w:pPr>
      <w:r>
        <w:rPr/>
      </w:r>
    </w:p>
    <w:p>
      <w:pPr>
        <w:pStyle w:val="Normal"/>
        <w:rPr/>
      </w:pPr>
      <w:r>
        <w:rPr/>
        <w:t>Idler, E., &amp; Benyamini, Y. (1997). Self-Rated Health and Mortality: A Review of Twenty-Seven Community Studies. Journal of Health and Social Behavior, 38(1), 21-37.</w:t>
      </w:r>
    </w:p>
    <w:p>
      <w:pPr>
        <w:pStyle w:val="Normal"/>
        <w:rPr/>
      </w:pPr>
      <w:r>
        <w:rPr/>
      </w:r>
    </w:p>
    <w:p>
      <w:pPr>
        <w:pStyle w:val="Normal"/>
        <w:rPr/>
      </w:pPr>
      <w:r>
        <w:rPr/>
        <w:t>Keese, M., &amp; Schmitz, H. (2014). Broke, Ill, and Obese: Is There an Effect of Household Debt on Health? Review of Income and Wealth, 60(3), 525-541.</w:t>
      </w:r>
    </w:p>
    <w:p>
      <w:pPr>
        <w:pStyle w:val="Normal"/>
        <w:rPr/>
      </w:pPr>
      <w:r>
        <w:rPr/>
      </w:r>
    </w:p>
    <w:p>
      <w:pPr>
        <w:pStyle w:val="Normal"/>
        <w:rPr/>
      </w:pPr>
      <w:r>
        <w:rPr/>
        <w:t>Kim, B., &amp; Ruhm, C. (2012). Inheritances, health and death. Health Economics, 21(2), 127-144.</w:t>
      </w:r>
    </w:p>
    <w:p>
      <w:pPr>
        <w:pStyle w:val="Normal"/>
        <w:rPr/>
      </w:pPr>
      <w:r>
        <w:rPr/>
      </w:r>
    </w:p>
    <w:p>
      <w:pPr>
        <w:pStyle w:val="Normal"/>
        <w:rPr/>
      </w:pPr>
      <w:r>
        <w:rPr/>
        <w:t>Meer, Miller, &amp; Rosen. (2003). Exploring the health–wealth nexus. Journal of Health Economics, 22(5), 713-730.</w:t>
      </w:r>
    </w:p>
    <w:p>
      <w:pPr>
        <w:pStyle w:val="Normal"/>
        <w:rPr/>
      </w:pPr>
      <w:r>
        <w:rPr/>
      </w:r>
    </w:p>
    <w:p>
      <w:pPr>
        <w:pStyle w:val="Normal"/>
        <w:rPr/>
      </w:pPr>
      <w:r>
        <w:rPr/>
        <w:t>Michaud, &amp; Van Soest. (2008). Health and wealth of elderly couples: Causality tests using dynamic panel data models. Journal of Health Economics, 27(5), 1312-1325.</w:t>
      </w:r>
    </w:p>
    <w:p>
      <w:pPr>
        <w:pStyle w:val="Normal"/>
        <w:rPr/>
      </w:pPr>
      <w:r>
        <w:rPr/>
      </w:r>
    </w:p>
    <w:p>
      <w:pPr>
        <w:pStyle w:val="Normal"/>
        <w:rPr/>
      </w:pPr>
      <w:r>
        <w:rPr/>
        <w:t xml:space="preserve">Pollack, Chideya, Cubbin, Williams, Dekker, &amp; Braveman. (2007). Should Health Studies Measure Wealth?: A Systematic Review. </w:t>
      </w:r>
      <w:r>
        <w:rPr>
          <w:lang w:val="nl-NL"/>
        </w:rPr>
        <w:t>American Journal of Preventive Medicine, 33(3), 250-264.</w:t>
      </w:r>
    </w:p>
    <w:p>
      <w:pPr>
        <w:pStyle w:val="Normal"/>
        <w:rPr>
          <w:lang w:val="nl-NL"/>
        </w:rPr>
      </w:pPr>
      <w:r>
        <w:rPr>
          <w:lang w:val="nl-NL"/>
        </w:rPr>
      </w:r>
    </w:p>
    <w:p>
      <w:pPr>
        <w:pStyle w:val="Normal"/>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rPr/>
      </w:pPr>
      <w:r>
        <w:rPr/>
      </w:r>
    </w:p>
    <w:p>
      <w:pPr>
        <w:pStyle w:val="Normal"/>
        <w:rPr/>
      </w:pPr>
      <w:bookmarkStart w:id="8" w:name="__DdeLink__3171_1315779075"/>
      <w:r>
        <w:rPr/>
        <w:t>Het Juridisch Loket. (n.d.).</w:t>
      </w:r>
      <w:bookmarkEnd w:id="8"/>
      <w:r>
        <w:rPr/>
        <w:t xml:space="preserve"> Krijg ik loon doorbetaald bij ziekte? | Het Juridisch Loket. Retrieved January 15, 2019, from https://www.juridischloket.nl/werk-en-inkomen/ziekte-en-zwangerschap/loondoorbetaling-bij-ziekte/#Ik-heb-een-tijdelijk-contract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15T15:26:00Z" w:initials="UvA">
    <w:p>
      <w:r>
        <w:rPr>
          <w:rFonts w:eastAsia="DejaVu Sans" w:cs="DejaVu Sans"/>
          <w:color w:val="00000A"/>
          <w:lang w:val="en-US" w:eastAsia="en-US" w:bidi="en-US"/>
        </w:rPr>
        <w:t>Veranderen</w:t>
      </w:r>
    </w:p>
    <w:p>
      <w:r>
        <w:rPr>
          <w:rFonts w:eastAsia="DejaVu Sans" w:cs="DejaVu Sans"/>
          <w:color w:val="auto"/>
          <w:lang w:val="en-US" w:eastAsia="en-US" w:bidi="en-US"/>
        </w:rPr>
      </w:r>
    </w:p>
  </w:comment>
  <w:comment w:id="2" w:author="UvA" w:date="2019-01-09T15:21:00Z" w:initials="UvA">
    <w:p>
      <w:r>
        <w:rPr>
          <w:rFonts w:eastAsia="DejaVu Sans" w:cs="DejaVu Sans"/>
          <w:color w:val="00000A"/>
          <w:lang w:val="en-US" w:eastAsia="en-US" w:bidi="en-US"/>
        </w:rPr>
        <w:t>Gevolg?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Pr>
      <w:rFonts w:cs="OpenSymbol"/>
      <w:sz w:val="24"/>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i/>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color w:val="00000A"/>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hsdata.nl/site/users/login" TargetMode="External"/><Relationship Id="rId4" Type="http://schemas.openxmlformats.org/officeDocument/2006/relationships/hyperlink" Target="https://www.centerdata.nl/en/databank/dhs-data-access"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60921-5DED-4FD0-9D1C-5FE8DD42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14</Pages>
  <Words>5562</Words>
  <CharactersWithSpaces>28892</CharactersWithSpaces>
  <Paragraphs>659</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2019-01-15T13:47:00Z</dcterms:created>
  <dc:creator>Emma Hissink Muller</dc:creator>
  <dc:description/>
  <dc:language>en-US</dc:language>
  <cp:lastModifiedBy/>
  <dcterms:modified xsi:type="dcterms:W3CDTF">2019-01-16T13:41:19Z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