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CD" w:rsidRDefault="008A451C">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452ACD" w:rsidRDefault="00452ACD">
      <w:pPr>
        <w:rPr>
          <w:b/>
          <w:bCs/>
          <w:color w:val="000000"/>
          <w:highlight w:val="white"/>
        </w:rPr>
      </w:pPr>
    </w:p>
    <w:p w:rsidR="00452ACD" w:rsidRDefault="00452ACD">
      <w:pPr>
        <w:rPr>
          <w:b/>
          <w:bCs/>
          <w:color w:val="000000"/>
          <w:highlight w:val="white"/>
        </w:rPr>
      </w:pPr>
    </w:p>
    <w:p w:rsidR="00452ACD" w:rsidRDefault="008A451C">
      <w:r>
        <w:rPr>
          <w:b/>
          <w:bCs/>
          <w:color w:val="000000"/>
          <w:sz w:val="28"/>
          <w:highlight w:val="white"/>
        </w:rPr>
        <w:t>Introduction</w:t>
      </w:r>
      <w:r>
        <w:rPr>
          <w:b/>
          <w:bCs/>
          <w:color w:val="000000"/>
          <w:highlight w:val="white"/>
        </w:rPr>
        <w:t>:</w:t>
      </w:r>
    </w:p>
    <w:p w:rsidR="00452ACD" w:rsidRDefault="008A451C" w:rsidP="00F15B4E">
      <w:r>
        <w:t>The positive correlation between health and wealth has been shown many times. Pollack et al. (2007)</w:t>
      </w:r>
      <w:r>
        <w:rPr>
          <w:rFonts w:ascii="Times New Roman" w:hAnsi="Times New Roman" w:cs="Times New Roman"/>
        </w:rPr>
        <w:t>⁠</w:t>
      </w:r>
      <w:r>
        <w:t xml:space="preserve">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ascii="Times New Roman" w:hAnsi="Times New Roman" w:cs="Times New Roman"/>
        </w:rPr>
        <w:t>⁠</w:t>
      </w:r>
      <w:r>
        <w:t>.</w:t>
      </w:r>
    </w:p>
    <w:p w:rsidR="00452ACD" w:rsidRDefault="008A451C" w:rsidP="00F15B4E">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w:t>
      </w:r>
      <w:r>
        <w:rPr>
          <w:rFonts w:ascii="Times New Roman" w:hAnsi="Times New Roman" w:cs="Times New Roman"/>
        </w:rPr>
        <w:t>⁠</w:t>
      </w:r>
      <w:r>
        <w:t xml:space="preserve"> point out, </w:t>
      </w:r>
      <w:r>
        <w:rPr>
          <w:rFonts w:ascii="Times New Roman" w:hAnsi="Times New Roman" w:cs="Times New Roman"/>
        </w:rPr>
        <w:t>“</w:t>
      </w:r>
      <w:r>
        <w:t xml:space="preserve">Wealth in particular is not directly affected by changes in </w:t>
      </w:r>
      <w:proofErr w:type="spellStart"/>
      <w:r>
        <w:t>labour</w:t>
      </w:r>
      <w:proofErr w:type="spellEnd"/>
      <w:r>
        <w:t xml:space="preserve"> market participation that may radically alter the current income level</w:t>
      </w:r>
      <w:r>
        <w:rPr>
          <w:rFonts w:ascii="Times New Roman" w:hAnsi="Times New Roman" w:cs="Times New Roman"/>
        </w:rPr>
        <w:t>”</w:t>
      </w:r>
      <w:r>
        <w:t xml:space="preserve">. This is important </w:t>
      </w:r>
      <w:r>
        <w:rPr>
          <w:rFonts w:ascii="Times New Roman" w:hAnsi="Times New Roman" w:cs="Times New Roman"/>
        </w:rPr>
        <w:t>“…</w:t>
      </w:r>
      <w:r>
        <w:t xml:space="preserve">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2010, p. 1025)</w:t>
      </w:r>
      <w:r>
        <w:rPr>
          <w:rFonts w:ascii="Times New Roman" w:hAnsi="Times New Roman" w:cs="Times New Roman"/>
        </w:rPr>
        <w:t>⁠</w:t>
      </w:r>
      <w:r>
        <w:t xml:space="preserve">. They find that wealth is highly relevant in explaining health. </w:t>
      </w:r>
    </w:p>
    <w:p w:rsidR="00452ACD" w:rsidRDefault="008A451C" w:rsidP="00F15B4E">
      <w:r>
        <w:tab/>
        <w:t>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w:t>
      </w:r>
      <w:r w:rsidR="003A601B">
        <w:t>o rent a house. Two different treatments will be used. first</w:t>
      </w:r>
      <w:r>
        <w:t xml:space="preserve"> the financial crisis in 2008 as it affected housing prices</w:t>
      </w:r>
      <w:r w:rsidR="003A601B">
        <w:t xml:space="preserve"> and secondly the bounce-back of the housing prices after the financial crisis</w:t>
      </w:r>
      <w:r>
        <w:t xml:space="preserve">.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p>
    <w:p w:rsidR="00452ACD" w:rsidRDefault="008A451C" w:rsidP="00F15B4E">
      <w:r>
        <w:tab/>
      </w:r>
      <w:commentRangeStart w:id="1"/>
      <w:r>
        <w:t xml:space="preserve">To try to find the causal relationship between health and wealth the data from the DNB Household Survey (DHS) from </w:t>
      </w:r>
      <w:proofErr w:type="spellStart"/>
      <w:r>
        <w:t>CentERdata</w:t>
      </w:r>
      <w:proofErr w:type="spellEnd"/>
      <w:r>
        <w:t>.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w:t>
      </w:r>
      <w:proofErr w:type="spellStart"/>
      <w:r>
        <w:rPr>
          <w:color w:val="000000"/>
          <w:highlight w:val="white"/>
        </w:rPr>
        <w:t>CentERpanel</w:t>
      </w:r>
      <w:proofErr w:type="spellEnd"/>
      <w:r>
        <w:rPr>
          <w:color w:val="000000"/>
          <w:highlight w:val="white"/>
        </w:rPr>
        <w:t xml:space="preserve">” (“DHS data access | CentERdata.nl,” </w:t>
      </w:r>
      <w:proofErr w:type="spellStart"/>
      <w:r>
        <w:rPr>
          <w:color w:val="000000"/>
          <w:highlight w:val="white"/>
        </w:rPr>
        <w:t>n.d.</w:t>
      </w:r>
      <w:proofErr w:type="spellEnd"/>
      <w:r>
        <w:rPr>
          <w:color w:val="000000"/>
          <w:highlight w:val="white"/>
        </w:rPr>
        <w:t xml:space="preserve">). </w:t>
      </w:r>
      <w:commentRangeEnd w:id="1"/>
      <w:r w:rsidR="003A601B">
        <w:rPr>
          <w:rStyle w:val="CommentReference"/>
          <w:rFonts w:cs="Mangal"/>
        </w:rPr>
        <w:commentReference w:id="1"/>
      </w:r>
      <w:r>
        <w:rPr>
          <w:color w:val="000000"/>
          <w:highlight w:val="white"/>
        </w:rPr>
        <w:t>Using different waves of this dataset will allow this paper to try and find a causal relationship using the difference in difference analysis.</w:t>
      </w:r>
    </w:p>
    <w:p w:rsidR="00452ACD" w:rsidRDefault="008A451C" w:rsidP="00F15B4E">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rsidR="00452ACD" w:rsidRDefault="00452ACD">
      <w:pPr>
        <w:rPr>
          <w:b/>
          <w:bCs/>
          <w:color w:val="000000"/>
          <w:highlight w:val="white"/>
        </w:rPr>
      </w:pPr>
    </w:p>
    <w:p w:rsidR="00452ACD" w:rsidRDefault="00452ACD">
      <w:pPr>
        <w:rPr>
          <w:color w:val="000000"/>
          <w:highlight w:val="white"/>
        </w:rPr>
      </w:pPr>
    </w:p>
    <w:p w:rsidR="00452ACD" w:rsidRDefault="00452ACD" w:rsidP="004D3741">
      <w:pPr>
        <w:rPr>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8A451C">
      <w:r>
        <w:rPr>
          <w:b/>
          <w:bCs/>
          <w:color w:val="000000"/>
          <w:sz w:val="28"/>
          <w:highlight w:val="white"/>
        </w:rPr>
        <w:t>Related literature:</w:t>
      </w:r>
    </w:p>
    <w:p w:rsidR="00452ACD" w:rsidRDefault="008A451C">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2" w:name="_GoBack1"/>
      <w:bookmarkEnd w:id="2"/>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452ACD" w:rsidRDefault="008A451C">
      <w:r>
        <w:rPr>
          <w:color w:val="000000"/>
          <w:highlight w:val="white"/>
        </w:rPr>
        <w:tab/>
        <w:t xml:space="preserve">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rsidR="00452ACD" w:rsidRDefault="008A451C">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452ACD" w:rsidRDefault="008A451C">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452ACD" w:rsidRDefault="008A451C">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w:t>
      </w:r>
      <w:r>
        <w:rPr>
          <w:color w:val="000000"/>
          <w:highlight w:val="white"/>
        </w:rPr>
        <w:lastRenderedPageBreak/>
        <w:t>leads to poor health. So there are several ways in which wealth could exert an effect on health. Testing via which effect wealth does affect health was out of the scope of her paper.</w:t>
      </w:r>
    </w:p>
    <w:p w:rsidR="00452ACD" w:rsidRDefault="008A451C">
      <w:r>
        <w:rPr>
          <w:color w:val="000000"/>
          <w:highlight w:val="white"/>
        </w:rPr>
        <w:t>We control for unobserved heterogeneity by applying fixed-effects methods and furthermore use a subsample of constantly employed individuals plus lagged debt variables to reduce problems of reverse causality</w:t>
      </w:r>
    </w:p>
    <w:p w:rsidR="00452ACD" w:rsidRDefault="008A451C">
      <w:r>
        <w:rPr>
          <w:color w:val="000000"/>
          <w:highlight w:val="white"/>
        </w:rPr>
        <w:tab/>
      </w:r>
      <w:bookmarkStart w:id="3" w:name="__UnoMark__2196_363168767"/>
      <w:bookmarkStart w:id="4" w:name="__UnoMark__2194_363168767"/>
      <w:bookmarkStart w:id="5" w:name="__UnoMark__2189_363168767"/>
      <w:bookmarkStart w:id="6" w:name="__UnoMark__2185_363168767"/>
      <w:proofErr w:type="spellStart"/>
      <w:r>
        <w:rPr>
          <w:color w:val="000000"/>
          <w:highlight w:val="white"/>
        </w:rPr>
        <w:t>Keese</w:t>
      </w:r>
      <w:proofErr w:type="spellEnd"/>
      <w:r>
        <w:rPr>
          <w:color w:val="000000"/>
          <w:highlight w:val="white"/>
        </w:rPr>
        <w:t xml:space="preserve"> and Schmitz (2014)</w:t>
      </w:r>
      <w:bookmarkEnd w:id="3"/>
      <w:bookmarkEnd w:id="4"/>
      <w:bookmarkEnd w:id="5"/>
      <w:bookmarkEnd w:id="6"/>
      <w:r>
        <w:rPr>
          <w:color w:val="000000"/>
          <w:highlight w:val="white"/>
        </w:rPr>
        <w:t xml:space="preserve">⁠ find a significant causal effect between indebtedness and worse physical and mental health. They control for the </w:t>
      </w:r>
      <w:proofErr w:type="spellStart"/>
      <w:r>
        <w:rPr>
          <w:color w:val="000000"/>
          <w:highlight w:val="white"/>
        </w:rPr>
        <w:t>unobserver</w:t>
      </w:r>
      <w:proofErr w:type="spellEnd"/>
      <w:r>
        <w:rPr>
          <w:color w:val="000000"/>
          <w:highlight w:val="white"/>
        </w:rPr>
        <w:t xml:space="preserve"> </w:t>
      </w:r>
      <w:proofErr w:type="spellStart"/>
      <w:r>
        <w:rPr>
          <w:color w:val="000000"/>
          <w:highlight w:val="white"/>
        </w:rPr>
        <w:t>hetrogeneity</w:t>
      </w:r>
      <w:proofErr w:type="spellEnd"/>
      <w:r>
        <w:rPr>
          <w:color w:val="000000"/>
          <w:highlight w:val="white"/>
        </w:rPr>
        <w:t xml:space="preserve"> between health and </w:t>
      </w:r>
      <w:proofErr w:type="spellStart"/>
      <w:r>
        <w:rPr>
          <w:color w:val="000000"/>
          <w:highlight w:val="white"/>
        </w:rPr>
        <w:t>indebtness</w:t>
      </w:r>
      <w:proofErr w:type="spellEnd"/>
      <w:r>
        <w:rPr>
          <w:color w:val="000000"/>
          <w:highlight w:val="white"/>
        </w:rPr>
        <w:t xml:space="preserve">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rsidR="00452ACD" w:rsidRDefault="00452ACD">
      <w:pPr>
        <w:rPr>
          <w:b/>
          <w:bCs/>
          <w:color w:val="000000"/>
          <w:sz w:val="28"/>
          <w:highlight w:val="white"/>
        </w:rPr>
      </w:pPr>
    </w:p>
    <w:p w:rsidR="00452ACD" w:rsidRDefault="00452ACD">
      <w:pPr>
        <w:rPr>
          <w:color w:val="000000"/>
          <w:highlight w:val="white"/>
        </w:rPr>
      </w:pPr>
    </w:p>
    <w:p w:rsidR="00452ACD" w:rsidRDefault="00452ACD">
      <w:pPr>
        <w:rPr>
          <w:b/>
          <w:bCs/>
          <w:color w:val="000000"/>
          <w:highlight w:val="white"/>
        </w:rPr>
      </w:pPr>
    </w:p>
    <w:p w:rsidR="004D3741" w:rsidRDefault="004D3741" w:rsidP="004D3741">
      <w:r>
        <w:rPr>
          <w:b/>
          <w:bCs/>
          <w:color w:val="000000"/>
          <w:sz w:val="28"/>
          <w:highlight w:val="white"/>
        </w:rPr>
        <w:t>Institutional section:</w:t>
      </w:r>
    </w:p>
    <w:p w:rsidR="00452ACD" w:rsidRDefault="004D3741">
      <w:pPr>
        <w:rPr>
          <w:bCs/>
          <w:color w:val="000000"/>
          <w:highlight w:val="white"/>
        </w:rPr>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causal relationship between wealth and health. Since the data consists of respondents from the Netherlands it is important to look at what impact Dutch institutions might have on the relationship between health and wealth. There are three subjects of interest here: the obligated health insurance, the paying of salary for a sick person with a permanent contract and the paying of salary for  a sick person with a non-permanent contract.</w:t>
      </w:r>
    </w:p>
    <w:p w:rsidR="00452ACD" w:rsidRDefault="004D3741">
      <w:r>
        <w:rPr>
          <w:bCs/>
          <w:color w:val="000000"/>
          <w:highlight w:val="white"/>
        </w:rPr>
        <w:tab/>
        <w:t xml:space="preserve">In the Netherlands, every Dutch citizen is obligated to </w:t>
      </w:r>
      <w:r w:rsidR="008619C6">
        <w:rPr>
          <w:bCs/>
          <w:color w:val="000000"/>
          <w:highlight w:val="white"/>
        </w:rPr>
        <w:t xml:space="preserve">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deductible which is set at a minimum of </w:t>
      </w:r>
      <w:r w:rsidR="00545B94">
        <w:rPr>
          <w:rFonts w:ascii="Times New Roman" w:hAnsi="Times New Roman" w:cs="Times New Roman"/>
          <w:bCs/>
          <w:color w:val="000000"/>
          <w:highlight w:val="white"/>
        </w:rPr>
        <w:t>€</w:t>
      </w:r>
      <w:r w:rsidR="008619C6">
        <w:rPr>
          <w:bCs/>
          <w:color w:val="000000"/>
          <w:highlight w:val="white"/>
        </w:rPr>
        <w:t xml:space="preserve">385 </w:t>
      </w:r>
      <w:r w:rsidR="00545B94">
        <w:rPr>
          <w:bCs/>
          <w:color w:val="000000"/>
          <w:highlight w:val="white"/>
        </w:rPr>
        <w:t>(</w:t>
      </w:r>
      <w:r w:rsidR="00545B94">
        <w:t xml:space="preserve">Eigen </w:t>
      </w:r>
      <w:proofErr w:type="spellStart"/>
      <w:r w:rsidR="00545B94">
        <w:t>risico</w:t>
      </w:r>
      <w:proofErr w:type="spellEnd"/>
      <w:r w:rsidR="00545B94">
        <w:t xml:space="preserve">. </w:t>
      </w:r>
      <w:r w:rsidR="00545B94" w:rsidRPr="00545B94">
        <w:rPr>
          <w:lang w:val="nl-NL"/>
        </w:rPr>
        <w:t>Wat is het en waarom betaalt u het? - Zilveren Kruis</w:t>
      </w:r>
      <w:r w:rsidR="00545B94" w:rsidRPr="00545B94">
        <w:rPr>
          <w:lang w:val="nl-NL"/>
        </w:rPr>
        <w:t xml:space="preserve">, 2009) </w:t>
      </w:r>
      <w:proofErr w:type="spellStart"/>
      <w:r w:rsidR="00545B94" w:rsidRPr="00545B94">
        <w:rPr>
          <w:lang w:val="nl-NL"/>
        </w:rPr>
        <w:t>and</w:t>
      </w:r>
      <w:proofErr w:type="spellEnd"/>
      <w:r w:rsidR="00545B94" w:rsidRPr="00545B94">
        <w:rPr>
          <w:lang w:val="nl-NL"/>
        </w:rPr>
        <w:t xml:space="preserve"> a maximum of </w:t>
      </w:r>
      <w:r w:rsidR="00545B94">
        <w:rPr>
          <w:rFonts w:ascii="Times New Roman" w:hAnsi="Times New Roman" w:cs="Times New Roman"/>
          <w:lang w:val="nl-NL"/>
        </w:rPr>
        <w:t>€</w:t>
      </w:r>
      <w:r w:rsidR="00545B94">
        <w:rPr>
          <w:lang w:val="nl-NL"/>
        </w:rPr>
        <w:t xml:space="preserve">885. </w:t>
      </w:r>
      <w:r w:rsidR="00545B94" w:rsidRPr="00545B94">
        <w:t>The person who buys the insurance</w:t>
      </w:r>
      <w:r w:rsidR="00545B94">
        <w:t xml:space="preserve"> can set his own deductible somewhere between those values. Someone can also receive a “</w:t>
      </w:r>
      <w:proofErr w:type="spellStart"/>
      <w:r w:rsidR="00545B94">
        <w:t>zorgtoeslag</w:t>
      </w:r>
      <w:proofErr w:type="spellEnd"/>
      <w:r w:rsidR="00545B94">
        <w:t>”, a benefit to pay your insurance if you are eligible. Therefore, everyone has, and can pay for insurance.</w:t>
      </w:r>
    </w:p>
    <w:p w:rsidR="00545B94" w:rsidRDefault="00545B94">
      <w:r>
        <w:tab/>
        <w:t xml:space="preserve">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w:t>
      </w:r>
      <w:r w:rsidR="00AD0F37">
        <w:t>the minimum year. (</w:t>
      </w:r>
      <w:r w:rsidR="00AD0F37">
        <w:rPr>
          <w:lang w:val="nl-NL"/>
        </w:rPr>
        <w:t xml:space="preserve">UWV, </w:t>
      </w:r>
      <w:proofErr w:type="spellStart"/>
      <w:r w:rsidR="00AD0F37" w:rsidRPr="00AD0F37">
        <w:rPr>
          <w:lang w:val="nl-NL"/>
        </w:rPr>
        <w:t>n.d</w:t>
      </w:r>
      <w:proofErr w:type="spellEnd"/>
      <w:r w:rsidR="00AD0F37" w:rsidRPr="00AD0F37">
        <w:rPr>
          <w:lang w:val="nl-NL"/>
        </w:rPr>
        <w:t>.</w:t>
      </w:r>
      <w:r w:rsidR="00AD0F37">
        <w:rPr>
          <w:lang w:val="nl-NL"/>
        </w:rPr>
        <w:t>)</w:t>
      </w:r>
    </w:p>
    <w:p w:rsidR="00AD0F37" w:rsidRPr="00545B94" w:rsidRDefault="00AD0F37">
      <w:pPr>
        <w:rPr>
          <w:b/>
          <w:bCs/>
          <w:color w:val="000000"/>
          <w:highlight w:val="white"/>
        </w:rPr>
      </w:pPr>
      <w:r>
        <w:tab/>
        <w:t>When the person does not have a permanent contract</w:t>
      </w:r>
      <w:bookmarkStart w:id="7" w:name="_GoBack"/>
      <w:bookmarkEnd w:id="7"/>
    </w:p>
    <w:p w:rsidR="00452ACD" w:rsidRPr="00545B94" w:rsidRDefault="00452ACD">
      <w:pPr>
        <w:rPr>
          <w:b/>
          <w:bCs/>
          <w:color w:val="000000"/>
          <w:highlight w:val="white"/>
        </w:rPr>
      </w:pPr>
    </w:p>
    <w:p w:rsidR="00452ACD" w:rsidRPr="00545B94" w:rsidRDefault="00452ACD">
      <w:pPr>
        <w:rPr>
          <w:b/>
          <w:bCs/>
          <w:color w:val="000000"/>
          <w:highlight w:val="white"/>
        </w:rPr>
      </w:pPr>
    </w:p>
    <w:p w:rsidR="00452ACD" w:rsidRDefault="008A451C">
      <w:pPr>
        <w:rPr>
          <w:b/>
          <w:bCs/>
          <w:color w:val="000000"/>
          <w:sz w:val="28"/>
          <w:highlight w:val="white"/>
        </w:rPr>
      </w:pPr>
      <w:r>
        <w:rPr>
          <w:b/>
          <w:bCs/>
          <w:color w:val="000000"/>
          <w:sz w:val="28"/>
          <w:highlight w:val="white"/>
        </w:rPr>
        <w:t>Data</w:t>
      </w:r>
    </w:p>
    <w:p w:rsidR="00452ACD" w:rsidRPr="00F15B4E" w:rsidRDefault="008A451C" w:rsidP="00F15B4E">
      <w:pPr>
        <w:rPr>
          <w:rStyle w:val="Bullets"/>
          <w:highlight w:val="white"/>
        </w:rPr>
      </w:pPr>
      <w:r w:rsidRPr="00F15B4E">
        <w:rPr>
          <w:highlight w:val="white"/>
        </w:rPr>
        <w:t xml:space="preserve">The data consists of different (yearly) waves from the DHS. The data is collected every year by the </w:t>
      </w:r>
      <w:proofErr w:type="spellStart"/>
      <w:r w:rsidRPr="00F15B4E">
        <w:rPr>
          <w:highlight w:val="white"/>
        </w:rPr>
        <w:t>CentERdata</w:t>
      </w:r>
      <w:proofErr w:type="spellEnd"/>
      <w:r w:rsidRPr="00F15B4E">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sidRPr="00F15B4E">
        <w:rPr>
          <w:highlight w:val="white"/>
        </w:rPr>
        <w:t>n</w:t>
      </w:r>
      <w:r w:rsidRPr="00F15B4E">
        <w:rPr>
          <w:rStyle w:val="Bullets"/>
          <w:highlight w:val="white"/>
        </w:rPr>
        <w:t>.d.</w:t>
      </w:r>
      <w:proofErr w:type="spellEnd"/>
      <w:r w:rsidRPr="00F15B4E">
        <w:rPr>
          <w:rStyle w:val="Bullets"/>
          <w:highlight w:val="white"/>
        </w:rPr>
        <w:t>)</w:t>
      </w:r>
      <w:r w:rsidRPr="00F15B4E">
        <w:rPr>
          <w:rStyle w:val="Bullets"/>
          <w:rFonts w:ascii="Arial Unicode MS" w:eastAsia="Arial Unicode MS" w:hAnsi="Arial Unicode MS" w:cs="Arial Unicode MS" w:hint="eastAsia"/>
          <w:highlight w:val="white"/>
        </w:rPr>
        <w:t>⁠</w:t>
      </w:r>
      <w:r w:rsidRPr="00F15B4E">
        <w:rPr>
          <w:rStyle w:val="Bullets"/>
          <w:highlight w:val="white"/>
        </w:rPr>
        <w:t xml:space="preserve"> </w:t>
      </w:r>
    </w:p>
    <w:p w:rsidR="00452ACD" w:rsidRPr="004D630A" w:rsidRDefault="008A451C" w:rsidP="00F15B4E">
      <w:r w:rsidRPr="00F15B4E">
        <w:rPr>
          <w:highlight w:val="white"/>
        </w:rPr>
        <w:t xml:space="preserve">Besides the questionnaire data, the </w:t>
      </w:r>
      <w:proofErr w:type="spellStart"/>
      <w:r w:rsidRPr="00F15B4E">
        <w:rPr>
          <w:highlight w:val="white"/>
        </w:rPr>
        <w:t>CentERdata</w:t>
      </w:r>
      <w:proofErr w:type="spellEnd"/>
      <w:r w:rsidRPr="00F15B4E">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w:t>
      </w:r>
      <w:r w:rsidRPr="004D630A">
        <w:rPr>
          <w:highlight w:val="white"/>
        </w:rPr>
        <w:t>The aggregated wealth data is made up from different questionnaires and consists of all the</w:t>
      </w:r>
      <w:r w:rsidRPr="00F15B4E">
        <w:rPr>
          <w:rStyle w:val="Bullets"/>
          <w:highlight w:val="white"/>
        </w:rPr>
        <w:t xml:space="preserve"> </w:t>
      </w:r>
      <w:r w:rsidRPr="004D630A">
        <w:rPr>
          <w:highlight w:val="white"/>
        </w:rPr>
        <w:t>assets and liabilities someone might have.</w:t>
      </w:r>
    </w:p>
    <w:p w:rsidR="00452ACD" w:rsidRPr="00F15B4E" w:rsidRDefault="008A451C" w:rsidP="00F15B4E">
      <w:r w:rsidRPr="00F15B4E">
        <w:rPr>
          <w:rStyle w:val="Bullets"/>
          <w:highlight w:val="white"/>
        </w:rPr>
        <w:tab/>
      </w:r>
      <w:r w:rsidRPr="00F15B4E">
        <w:rPr>
          <w:highlight w:val="white"/>
        </w:rPr>
        <w:t xml:space="preserve">The health variable is a categorical variable with two options, either healthy or not healthy. The data received from the DHS has five categories for health: poor, not so good, fair, good and excellent. People were placed in one of these categories by </w:t>
      </w:r>
      <w:proofErr w:type="spellStart"/>
      <w:r w:rsidRPr="00F15B4E">
        <w:rPr>
          <w:highlight w:val="white"/>
        </w:rPr>
        <w:t>self assessment</w:t>
      </w:r>
      <w:proofErr w:type="spellEnd"/>
      <w:r w:rsidRPr="00F15B4E">
        <w:rPr>
          <w:highlight w:val="white"/>
        </w:rPr>
        <w:t xml:space="preserve">. </w:t>
      </w:r>
      <w:proofErr w:type="spellStart"/>
      <w:r w:rsidRPr="00F15B4E">
        <w:rPr>
          <w:highlight w:val="white"/>
        </w:rPr>
        <w:t>Self assessed</w:t>
      </w:r>
      <w:proofErr w:type="spellEnd"/>
      <w:r w:rsidRPr="00F15B4E">
        <w:rPr>
          <w:highlight w:val="white"/>
        </w:rPr>
        <w:t xml:space="preserve"> health is a </w:t>
      </w:r>
      <w:r w:rsidRPr="00F15B4E">
        <w:rPr>
          <w:highlight w:val="white"/>
        </w:rPr>
        <w:lastRenderedPageBreak/>
        <w:t>good predictor for mortality</w:t>
      </w:r>
      <w:r w:rsidRPr="00F15B4E">
        <w:rPr>
          <w:rStyle w:val="Bullets"/>
          <w:highlight w:val="white"/>
        </w:rPr>
        <w:t xml:space="preserve"> </w:t>
      </w:r>
      <w:r w:rsidRPr="00F15B4E">
        <w:rPr>
          <w:highlight w:val="white"/>
        </w:rPr>
        <w:t xml:space="preserve">(Idler &amp; </w:t>
      </w:r>
      <w:proofErr w:type="spellStart"/>
      <w:r w:rsidRPr="00F15B4E">
        <w:rPr>
          <w:highlight w:val="white"/>
        </w:rPr>
        <w:t>Benyamini</w:t>
      </w:r>
      <w:proofErr w:type="spellEnd"/>
      <w:r w:rsidRPr="00F15B4E">
        <w:rPr>
          <w:highlight w:val="white"/>
        </w:rPr>
        <w:t>, 1997)</w:t>
      </w:r>
      <w:r w:rsidRPr="00F15B4E">
        <w:rPr>
          <w:rFonts w:ascii="Times New Roman" w:hAnsi="Times New Roman" w:cs="Times New Roman"/>
          <w:highlight w:val="white"/>
        </w:rPr>
        <w:t>⁠</w:t>
      </w:r>
      <w:r w:rsidRPr="00F15B4E">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rsidR="00452ACD" w:rsidRPr="00F15B4E" w:rsidRDefault="008A451C" w:rsidP="00F15B4E">
      <w:r w:rsidRPr="00F15B4E">
        <w:rPr>
          <w:rStyle w:val="Bullets"/>
          <w:highlight w:val="white"/>
        </w:rPr>
        <w:tab/>
      </w:r>
      <w:r w:rsidRPr="00F15B4E">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sidRPr="00F15B4E">
        <w:rPr>
          <w:rStyle w:val="Bullets"/>
          <w:highlight w:val="white"/>
        </w:rPr>
        <w:t xml:space="preserve"> </w:t>
      </w:r>
      <w:r w:rsidRPr="00F15B4E">
        <w:rPr>
          <w:highlight w:val="white"/>
        </w:rPr>
        <w:t>Pollack et al. (2007).</w:t>
      </w:r>
    </w:p>
    <w:p w:rsidR="00452ACD" w:rsidRPr="00F15B4E" w:rsidRDefault="008A451C" w:rsidP="00F15B4E">
      <w:pPr>
        <w:rPr>
          <w:rStyle w:val="Bullets"/>
        </w:rPr>
      </w:pPr>
      <w:r w:rsidRPr="00F15B4E">
        <w:rPr>
          <w:rStyle w:val="Bullets"/>
          <w:highlight w:val="white"/>
        </w:rPr>
        <w:tab/>
      </w:r>
      <w:r w:rsidRPr="00F15B4E">
        <w:rPr>
          <w:highlight w:val="white"/>
        </w:rPr>
        <w:t>The assets and liabilities that could be found in the aggregated</w:t>
      </w:r>
      <w:r w:rsidRPr="00F15B4E">
        <w:rPr>
          <w:rStyle w:val="Bullets"/>
          <w:highlight w:val="white"/>
        </w:rPr>
        <w:t xml:space="preserve"> </w:t>
      </w:r>
      <w:r w:rsidRPr="00F15B4E">
        <w:rPr>
          <w:highlight w:val="white"/>
        </w:rPr>
        <w:t>wealth data were:</w:t>
      </w:r>
      <w:r w:rsidRPr="00F15B4E">
        <w:rPr>
          <w:rStyle w:val="Bullets"/>
          <w:highlight w:val="white"/>
        </w:rPr>
        <w:t xml:space="preserve"> </w:t>
      </w:r>
    </w:p>
    <w:p w:rsidR="00452ACD" w:rsidRDefault="00452ACD">
      <w:pPr>
        <w:rPr>
          <w:color w:val="000000"/>
          <w:spacing w:val="15"/>
          <w:highlight w:val="white"/>
        </w:rPr>
      </w:pPr>
    </w:p>
    <w:p w:rsidR="00452ACD" w:rsidRDefault="008A451C">
      <w:pPr>
        <w:pStyle w:val="Caption"/>
        <w:keepNext/>
      </w:pPr>
      <w:r>
        <w:t xml:space="preserve">Table </w:t>
      </w:r>
      <w:r w:rsidR="00A666AD">
        <w:fldChar w:fldCharType="begin"/>
      </w:r>
      <w:r w:rsidR="00A666AD">
        <w:instrText xml:space="preserve"> SEQ Table \* ARABIC </w:instrText>
      </w:r>
      <w:r w:rsidR="00A666AD">
        <w:fldChar w:fldCharType="separate"/>
      </w:r>
      <w:r w:rsidR="003A601B">
        <w:rPr>
          <w:noProof/>
        </w:rPr>
        <w:t>1</w:t>
      </w:r>
      <w:r w:rsidR="00A666AD">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452ACD" w:rsidTr="00452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452ACD" w:rsidRDefault="008A451C">
            <w:pPr>
              <w:ind w:left="360"/>
              <w:rPr>
                <w:color w:val="000000"/>
                <w:spacing w:val="15"/>
              </w:rPr>
            </w:pPr>
            <w:r>
              <w:rPr>
                <w:color w:val="000000"/>
                <w:spacing w:val="15"/>
              </w:rPr>
              <w:t>Assets</w:t>
            </w:r>
          </w:p>
        </w:tc>
        <w:tc>
          <w:tcPr>
            <w:tcW w:w="4926" w:type="dxa"/>
            <w:shd w:val="clear" w:color="auto" w:fill="auto"/>
          </w:tcPr>
          <w:p w:rsidR="00452ACD" w:rsidRDefault="008A451C">
            <w:pPr>
              <w:ind w:left="360"/>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checking accounts</w:t>
            </w:r>
          </w:p>
        </w:tc>
        <w:tc>
          <w:tcPr>
            <w:tcW w:w="4926" w:type="dxa"/>
            <w:tcBorders>
              <w:top w:val="nil"/>
              <w:bottom w:val="nil"/>
            </w:tcBorders>
          </w:tcPr>
          <w:p w:rsidR="00452ACD" w:rsidRDefault="008A451C">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452ACD" w:rsidRDefault="008A451C">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savings or deposit accounts</w:t>
            </w:r>
          </w:p>
        </w:tc>
        <w:tc>
          <w:tcPr>
            <w:tcW w:w="4926" w:type="dxa"/>
            <w:tcBorders>
              <w:top w:val="nil"/>
              <w:bottom w:val="nil"/>
            </w:tcBorders>
          </w:tcPr>
          <w:p w:rsidR="00452ACD" w:rsidRDefault="008A451C">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deposit books</w:t>
            </w:r>
          </w:p>
        </w:tc>
        <w:tc>
          <w:tcPr>
            <w:tcW w:w="4926" w:type="dxa"/>
            <w:tcBorders>
              <w:top w:val="nil"/>
              <w:bottom w:val="nil"/>
            </w:tcBorders>
            <w:shd w:val="clear" w:color="auto" w:fill="auto"/>
          </w:tcPr>
          <w:p w:rsidR="00452ACD" w:rsidRDefault="008A451C">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savings certificates</w:t>
            </w:r>
          </w:p>
        </w:tc>
        <w:tc>
          <w:tcPr>
            <w:tcW w:w="4926" w:type="dxa"/>
            <w:tcBorders>
              <w:top w:val="nil"/>
              <w:bottom w:val="nil"/>
            </w:tcBorders>
          </w:tcPr>
          <w:p w:rsidR="00452ACD" w:rsidRDefault="008A451C">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452ACD" w:rsidRDefault="008A451C">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savings or endowment insurance policies</w:t>
            </w:r>
          </w:p>
        </w:tc>
        <w:tc>
          <w:tcPr>
            <w:tcW w:w="4926" w:type="dxa"/>
            <w:tcBorders>
              <w:top w:val="nil"/>
              <w:bottom w:val="nil"/>
            </w:tcBorders>
          </w:tcPr>
          <w:p w:rsidR="00452ACD" w:rsidRDefault="008A451C">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growth funds</w:t>
            </w:r>
          </w:p>
        </w:tc>
        <w:tc>
          <w:tcPr>
            <w:tcW w:w="4926" w:type="dxa"/>
            <w:tcBorders>
              <w:top w:val="nil"/>
              <w:bottom w:val="nil"/>
            </w:tcBorders>
            <w:shd w:val="clear" w:color="auto" w:fill="auto"/>
          </w:tcPr>
          <w:p w:rsidR="00452ACD" w:rsidRDefault="008A451C">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mutual funds and/or mutual fund accounts</w:t>
            </w:r>
          </w:p>
        </w:tc>
        <w:tc>
          <w:tcPr>
            <w:tcW w:w="4926" w:type="dxa"/>
            <w:tcBorders>
              <w:top w:val="nil"/>
              <w:bottom w:val="nil"/>
            </w:tcBorders>
          </w:tcPr>
          <w:p w:rsidR="00452ACD" w:rsidRDefault="008A451C">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stocks and shares</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put options written</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call options written</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value of life insurance mortgage real estate</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cars</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motorbikes</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boats</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(site-)caravans/trailers</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savings or investments not mentioned before</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business equity (professions)</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rPr>
            </w:pPr>
            <w:r>
              <w:rPr>
                <w:b w:val="0"/>
                <w:color w:val="000000"/>
                <w:spacing w:val="15"/>
              </w:rPr>
              <w:t>business equity self-employed</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452ACD" w:rsidRDefault="00452ACD">
            <w:pPr>
              <w:rPr>
                <w:color w:val="31849B" w:themeColor="accent5" w:themeShade="BF"/>
                <w:spacing w:val="15"/>
              </w:rPr>
            </w:pPr>
          </w:p>
        </w:tc>
        <w:tc>
          <w:tcPr>
            <w:tcW w:w="4926" w:type="dxa"/>
            <w:tcBorders>
              <w:top w:val="nil"/>
            </w:tcBorders>
          </w:tcPr>
          <w:p w:rsidR="00452ACD" w:rsidRDefault="00452ACD">
            <w:pPr>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452ACD" w:rsidRDefault="00452ACD">
      <w:pPr>
        <w:rPr>
          <w:color w:val="000000"/>
          <w:spacing w:val="15"/>
          <w:highlight w:val="white"/>
        </w:rPr>
      </w:pPr>
    </w:p>
    <w:p w:rsidR="00452ACD" w:rsidRDefault="00452ACD">
      <w:pPr>
        <w:rPr>
          <w:color w:val="000000"/>
          <w:spacing w:val="15"/>
          <w:highlight w:val="white"/>
        </w:rPr>
      </w:pPr>
    </w:p>
    <w:p w:rsidR="00452ACD" w:rsidRDefault="008A451C">
      <w:pPr>
        <w:keepNext/>
        <w:jc w:val="right"/>
      </w:pPr>
      <w:r>
        <w:rPr>
          <w:noProof/>
          <w:lang w:eastAsia="en-US" w:bidi="ar-SA"/>
        </w:rPr>
        <w:lastRenderedPageBreak/>
        <w:drawing>
          <wp:inline distT="0" distB="0" distL="0" distR="0">
            <wp:extent cx="4972050" cy="4886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972050" cy="4886325"/>
                    </a:xfrm>
                    <a:prstGeom prst="rect">
                      <a:avLst/>
                    </a:prstGeom>
                  </pic:spPr>
                </pic:pic>
              </a:graphicData>
            </a:graphic>
          </wp:inline>
        </w:drawing>
      </w:r>
    </w:p>
    <w:p w:rsidR="00452ACD" w:rsidRDefault="008A451C">
      <w:pPr>
        <w:pStyle w:val="Caption"/>
        <w:jc w:val="right"/>
      </w:pPr>
      <w:r>
        <w:t xml:space="preserve">Figure </w:t>
      </w:r>
      <w:r>
        <w:fldChar w:fldCharType="begin"/>
      </w:r>
      <w:r>
        <w:instrText>SEQ Figure \* ARABIC</w:instrText>
      </w:r>
      <w:r>
        <w:fldChar w:fldCharType="separate"/>
      </w:r>
      <w:r>
        <w:t>1</w:t>
      </w:r>
      <w:r>
        <w:fldChar w:fldCharType="end"/>
      </w:r>
      <w:r>
        <w:t xml:space="preserve"> Housing Prices in the Netherlands</w:t>
      </w:r>
    </w:p>
    <w:p w:rsidR="003A601B" w:rsidRDefault="003A601B">
      <w:pPr>
        <w:pStyle w:val="Caption"/>
        <w:jc w:val="right"/>
      </w:pPr>
      <w:r>
        <w:t>Source: CBS</w:t>
      </w:r>
    </w:p>
    <w:p w:rsidR="00452ACD" w:rsidRDefault="008A451C">
      <w:pPr>
        <w:jc w:val="right"/>
        <w:rPr>
          <w:color w:val="000000"/>
          <w:spacing w:val="15"/>
          <w:highlight w:val="white"/>
        </w:rPr>
      </w:pPr>
      <w:r>
        <w:rPr>
          <w:color w:val="000000"/>
          <w:spacing w:val="15"/>
          <w:highlight w:val="white"/>
        </w:rPr>
        <w:tab/>
      </w: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8A451C" w:rsidP="00F15B4E">
      <w:r>
        <w:rPr>
          <w:highlight w:val="white"/>
        </w:rPr>
        <w:t>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w:t>
      </w:r>
      <w:r w:rsidR="00F15B4E">
        <w:rPr>
          <w:highlight w:val="white"/>
        </w:rPr>
        <w:t>s</w:t>
      </w:r>
      <w:r>
        <w:rPr>
          <w:highlight w:val="white"/>
        </w:rPr>
        <w:t xml:space="preserve"> not. 2013 is the year when the housing prices were at the lowest in the Netherlands. If wealth would cause short-term changes in health, it should be visible in </w:t>
      </w:r>
      <w:r w:rsidR="00F15B4E">
        <w:rPr>
          <w:highlight w:val="white"/>
        </w:rPr>
        <w:t xml:space="preserve">the regression 2007 – </w:t>
      </w:r>
      <w:r>
        <w:rPr>
          <w:highlight w:val="white"/>
        </w:rPr>
        <w:t>2013</w:t>
      </w:r>
      <w:r w:rsidR="00F15B4E">
        <w:rPr>
          <w:highlight w:val="white"/>
        </w:rPr>
        <w:t xml:space="preserve"> and 2013 - 2017</w:t>
      </w:r>
      <w:r>
        <w:rPr>
          <w:highlight w:val="white"/>
        </w:rPr>
        <w:t xml:space="preserve">. So </w:t>
      </w:r>
      <w:r w:rsidR="00F15B4E">
        <w:rPr>
          <w:highlight w:val="white"/>
        </w:rPr>
        <w:t>in the first case, 2007 is the pre-treatment year and 2013 the post-treatment year. In the second case, 2013 is the pre-treatment year and 2017 the post-treatment year</w:t>
      </w:r>
      <w:r>
        <w:rPr>
          <w:highlight w:val="white"/>
        </w:rPr>
        <w:t>. In 2017, the housing prices were sti</w:t>
      </w:r>
      <w:r w:rsidR="00F15B4E">
        <w:rPr>
          <w:highlight w:val="white"/>
        </w:rPr>
        <w:t>ll not as high as in 2007. A regression on 2007 –</w:t>
      </w:r>
      <w:r>
        <w:rPr>
          <w:highlight w:val="white"/>
        </w:rPr>
        <w:t xml:space="preserve"> 2017</w:t>
      </w:r>
      <w:r w:rsidR="00F15B4E">
        <w:rPr>
          <w:highlight w:val="white"/>
        </w:rPr>
        <w:t>,</w:t>
      </w:r>
      <w:r>
        <w:rPr>
          <w:highlight w:val="white"/>
        </w:rPr>
        <w:t xml:space="preserve"> </w:t>
      </w:r>
      <w:r w:rsidR="00F15B4E">
        <w:rPr>
          <w:highlight w:val="white"/>
        </w:rPr>
        <w:t>with 2017 as an</w:t>
      </w:r>
      <w:r>
        <w:rPr>
          <w:highlight w:val="white"/>
        </w:rPr>
        <w:t xml:space="preserve"> </w:t>
      </w:r>
      <w:r w:rsidR="00F15B4E">
        <w:rPr>
          <w:highlight w:val="white"/>
        </w:rPr>
        <w:t>post-</w:t>
      </w:r>
      <w:r>
        <w:rPr>
          <w:highlight w:val="white"/>
        </w:rPr>
        <w:t>treatment year</w:t>
      </w:r>
      <w:r w:rsidR="00F15B4E">
        <w:rPr>
          <w:highlight w:val="white"/>
        </w:rPr>
        <w:t xml:space="preserve"> and 2007 again as the pre-treatment year,</w:t>
      </w:r>
      <w:r>
        <w:rPr>
          <w:highlight w:val="white"/>
        </w:rPr>
        <w:t xml:space="preserve">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rsidR="00452ACD" w:rsidRDefault="008A451C" w:rsidP="00F15B4E">
      <w:r>
        <w:tab/>
        <w:t>Table two shows the number of observations per year and the size of the treatment</w:t>
      </w:r>
      <w:r w:rsidR="00F15B4E">
        <w:t xml:space="preserve"> group, consisting of home-owners</w:t>
      </w:r>
      <w:r>
        <w:t xml:space="preserve"> and</w:t>
      </w:r>
      <w:r w:rsidR="00F15B4E">
        <w:t xml:space="preserve"> the</w:t>
      </w:r>
      <w:r>
        <w:t xml:space="preserve"> control group</w:t>
      </w:r>
      <w:r w:rsidR="00F15B4E">
        <w:t>, consisting of tenants</w:t>
      </w:r>
      <w:r>
        <w:t xml:space="preserve">. In all the three years the ratio of treatment group to control group is rather consistent and lies around 1:1. There is a trend where the treatment group grows slightly between </w:t>
      </w:r>
      <w:commentRangeStart w:id="8"/>
      <w:r>
        <w:t>the years</w:t>
      </w:r>
      <w:commentRangeEnd w:id="8"/>
      <w:r>
        <w:commentReference w:id="8"/>
      </w:r>
      <w:r>
        <w:t>.</w:t>
      </w:r>
    </w:p>
    <w:p w:rsidR="00452ACD" w:rsidRDefault="00452ACD" w:rsidP="00F15B4E">
      <w:pPr>
        <w:rPr>
          <w:highlight w:val="white"/>
        </w:rPr>
      </w:pPr>
    </w:p>
    <w:p w:rsidR="00452ACD" w:rsidRDefault="008A451C">
      <w:pPr>
        <w:pStyle w:val="Caption"/>
        <w:keepNext/>
      </w:pPr>
      <w:r>
        <w:t xml:space="preserve">Table </w:t>
      </w:r>
      <w:r w:rsidR="00A666AD">
        <w:fldChar w:fldCharType="begin"/>
      </w:r>
      <w:r w:rsidR="00A666AD">
        <w:instrText xml:space="preserve"> SEQ Table \* ARABIC </w:instrText>
      </w:r>
      <w:r w:rsidR="00A666AD">
        <w:fldChar w:fldCharType="separate"/>
      </w:r>
      <w:r w:rsidR="003A601B">
        <w:rPr>
          <w:noProof/>
        </w:rPr>
        <w:t>2</w:t>
      </w:r>
      <w:r w:rsidR="00A666AD">
        <w:fldChar w:fldCharType="end"/>
      </w:r>
      <w:r>
        <w:t xml:space="preserve"> distribution of the control and treatment groups</w:t>
      </w:r>
    </w:p>
    <w:tbl>
      <w:tblPr>
        <w:tblStyle w:val="LightShading-Accent5"/>
        <w:tblW w:w="8132" w:type="dxa"/>
        <w:jc w:val="center"/>
        <w:tblLook w:val="04A0" w:firstRow="1" w:lastRow="0" w:firstColumn="1" w:lastColumn="0" w:noHBand="0" w:noVBand="1"/>
      </w:tblPr>
      <w:tblGrid>
        <w:gridCol w:w="2034"/>
        <w:gridCol w:w="2033"/>
        <w:gridCol w:w="2033"/>
        <w:gridCol w:w="2032"/>
      </w:tblGrid>
      <w:tr w:rsidR="00452ACD" w:rsidTr="00452ACD">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452ACD" w:rsidRDefault="008A451C">
            <w:pPr>
              <w:rPr>
                <w:color w:val="000000"/>
                <w:spacing w:val="15"/>
                <w:highlight w:val="white"/>
              </w:rPr>
            </w:pPr>
            <w:r>
              <w:rPr>
                <w:color w:val="000000"/>
                <w:spacing w:val="15"/>
                <w:highlight w:val="white"/>
              </w:rPr>
              <w:t>Year</w:t>
            </w:r>
          </w:p>
        </w:tc>
        <w:tc>
          <w:tcPr>
            <w:tcW w:w="2033"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452ACD" w:rsidTr="00452AC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452ACD" w:rsidRDefault="008A451C">
            <w:pPr>
              <w:rPr>
                <w:color w:val="000000"/>
                <w:spacing w:val="15"/>
              </w:rPr>
            </w:pPr>
            <w:r>
              <w:rPr>
                <w:color w:val="000000"/>
                <w:spacing w:val="15"/>
              </w:rPr>
              <w:t>2007</w:t>
            </w:r>
          </w:p>
        </w:tc>
        <w:tc>
          <w:tcPr>
            <w:tcW w:w="2033"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452ACD" w:rsidTr="00452ACD">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452ACD" w:rsidRDefault="008A451C">
            <w:pPr>
              <w:rPr>
                <w:color w:val="000000"/>
                <w:spacing w:val="15"/>
              </w:rPr>
            </w:pPr>
            <w:r>
              <w:rPr>
                <w:color w:val="000000"/>
                <w:spacing w:val="15"/>
              </w:rPr>
              <w:t>2013</w:t>
            </w:r>
          </w:p>
        </w:tc>
        <w:tc>
          <w:tcPr>
            <w:tcW w:w="2033"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452ACD" w:rsidTr="00452AC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452ACD" w:rsidRDefault="008A451C">
            <w:pPr>
              <w:rPr>
                <w:color w:val="000000"/>
                <w:spacing w:val="15"/>
              </w:rPr>
            </w:pPr>
            <w:r>
              <w:rPr>
                <w:color w:val="000000"/>
                <w:spacing w:val="15"/>
              </w:rPr>
              <w:t>2017</w:t>
            </w:r>
          </w:p>
        </w:tc>
        <w:tc>
          <w:tcPr>
            <w:tcW w:w="2033" w:type="dxa"/>
            <w:tcBorders>
              <w:top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2E4A73" w:rsidRDefault="008A451C" w:rsidP="00F15B4E">
      <w: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w:t>
      </w:r>
      <w:r w:rsidR="002E4A73">
        <w:t>oups are successfully balanced.</w:t>
      </w:r>
    </w:p>
    <w:p w:rsidR="00452ACD" w:rsidRDefault="008A451C" w:rsidP="00F15B4E">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452ACD" w:rsidRDefault="008A451C">
      <w:pPr>
        <w:pStyle w:val="Caption"/>
        <w:keepNext/>
      </w:pPr>
      <w:r>
        <w:lastRenderedPageBreak/>
        <w:t xml:space="preserve">Table </w:t>
      </w:r>
      <w:r w:rsidR="00A666AD">
        <w:fldChar w:fldCharType="begin"/>
      </w:r>
      <w:r w:rsidR="00A666AD">
        <w:instrText xml:space="preserve"> SEQ Table \* ARABIC </w:instrText>
      </w:r>
      <w:r w:rsidR="00A666AD">
        <w:fldChar w:fldCharType="separate"/>
      </w:r>
      <w:r w:rsidR="003A601B">
        <w:rPr>
          <w:noProof/>
        </w:rPr>
        <w:t>3</w:t>
      </w:r>
      <w:r w:rsidR="00A666AD">
        <w:fldChar w:fldCharType="end"/>
      </w:r>
      <w:r>
        <w:t xml:space="preserve"> summary statistics 2007</w:t>
      </w:r>
    </w:p>
    <w:tbl>
      <w:tblPr>
        <w:tblStyle w:val="LightShading-Accent5"/>
        <w:tblW w:w="7148" w:type="dxa"/>
        <w:jc w:val="center"/>
        <w:tblLook w:val="04A0" w:firstRow="1" w:lastRow="0" w:firstColumn="1" w:lastColumn="0" w:noHBand="0" w:noVBand="1"/>
      </w:tblPr>
      <w:tblGrid>
        <w:gridCol w:w="1788"/>
        <w:gridCol w:w="1787"/>
        <w:gridCol w:w="1787"/>
        <w:gridCol w:w="1786"/>
      </w:tblGrid>
      <w:tr w:rsidR="00452ACD" w:rsidTr="00452A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shd w:val="clear" w:color="auto" w:fill="auto"/>
          </w:tcPr>
          <w:p w:rsidR="00452ACD" w:rsidRDefault="008A451C">
            <w:pPr>
              <w:rPr>
                <w:bCs w:val="0"/>
                <w:color w:val="000000"/>
                <w:spacing w:val="15"/>
              </w:rPr>
            </w:pPr>
            <w:r>
              <w:rPr>
                <w:bCs w:val="0"/>
                <w:color w:val="000000"/>
                <w:spacing w:val="15"/>
              </w:rPr>
              <w:t>Variable</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6"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Health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shd w:val="clear" w:color="auto" w:fill="auto"/>
          </w:tcPr>
          <w:p w:rsidR="00452ACD" w:rsidRDefault="00452ACD">
            <w:pPr>
              <w:rPr>
                <w:color w:val="31849B" w:themeColor="accent5" w:themeShade="BF"/>
                <w:spacing w:val="15"/>
              </w:rPr>
            </w:pP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6"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Net worth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tcBorders>
            <w:shd w:val="clear" w:color="auto" w:fill="auto"/>
          </w:tcPr>
          <w:p w:rsidR="00452ACD" w:rsidRDefault="00452ACD">
            <w:pPr>
              <w:rPr>
                <w:color w:val="31849B" w:themeColor="accent5" w:themeShade="BF"/>
                <w:spacing w:val="15"/>
              </w:rPr>
            </w:pP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6"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452ACD" w:rsidRDefault="00452ACD">
      <w:pPr>
        <w:rPr>
          <w:b/>
          <w:bCs/>
          <w:color w:val="000000"/>
          <w:spacing w:val="15"/>
          <w:highlight w:val="white"/>
        </w:rPr>
      </w:pPr>
    </w:p>
    <w:p w:rsidR="00452ACD" w:rsidRDefault="008A451C">
      <w:pPr>
        <w:pStyle w:val="Caption"/>
        <w:keepNext/>
      </w:pPr>
      <w:r>
        <w:t xml:space="preserve">Table </w:t>
      </w:r>
      <w:r w:rsidR="00A666AD">
        <w:fldChar w:fldCharType="begin"/>
      </w:r>
      <w:r w:rsidR="00A666AD">
        <w:instrText xml:space="preserve"> SEQ Table \* ARABIC </w:instrText>
      </w:r>
      <w:r w:rsidR="00A666AD">
        <w:fldChar w:fldCharType="separate"/>
      </w:r>
      <w:r w:rsidR="003A601B">
        <w:rPr>
          <w:noProof/>
        </w:rPr>
        <w:t>4</w:t>
      </w:r>
      <w:r w:rsidR="00A666AD">
        <w:fldChar w:fldCharType="end"/>
      </w:r>
      <w:r>
        <w:t xml:space="preserve"> summary statistics 2013</w:t>
      </w:r>
    </w:p>
    <w:tbl>
      <w:tblPr>
        <w:tblStyle w:val="LightShading-Accent5"/>
        <w:tblW w:w="7148" w:type="dxa"/>
        <w:jc w:val="center"/>
        <w:tblLook w:val="04A0" w:firstRow="1" w:lastRow="0" w:firstColumn="1" w:lastColumn="0" w:noHBand="0" w:noVBand="1"/>
      </w:tblPr>
      <w:tblGrid>
        <w:gridCol w:w="1788"/>
        <w:gridCol w:w="1787"/>
        <w:gridCol w:w="1787"/>
        <w:gridCol w:w="1786"/>
      </w:tblGrid>
      <w:tr w:rsidR="00452ACD" w:rsidTr="00452A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shd w:val="clear" w:color="auto" w:fill="auto"/>
          </w:tcPr>
          <w:p w:rsidR="00452ACD" w:rsidRDefault="008A451C">
            <w:pPr>
              <w:rPr>
                <w:bCs w:val="0"/>
                <w:color w:val="000000"/>
                <w:spacing w:val="15"/>
              </w:rPr>
            </w:pPr>
            <w:r>
              <w:rPr>
                <w:bCs w:val="0"/>
                <w:color w:val="000000"/>
                <w:spacing w:val="15"/>
              </w:rPr>
              <w:t>Variable</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6"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Health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shd w:val="clear" w:color="auto" w:fill="auto"/>
          </w:tcPr>
          <w:p w:rsidR="00452ACD" w:rsidRDefault="00452ACD">
            <w:pPr>
              <w:rPr>
                <w:color w:val="31849B" w:themeColor="accent5" w:themeShade="BF"/>
                <w:spacing w:val="15"/>
              </w:rPr>
            </w:pP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6"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Net worth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tcBorders>
            <w:shd w:val="clear" w:color="auto" w:fill="auto"/>
          </w:tcPr>
          <w:p w:rsidR="00452ACD" w:rsidRDefault="00452ACD">
            <w:pPr>
              <w:rPr>
                <w:color w:val="31849B" w:themeColor="accent5" w:themeShade="BF"/>
                <w:spacing w:val="15"/>
              </w:rPr>
            </w:pP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6"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452ACD" w:rsidRDefault="00452ACD">
      <w:pPr>
        <w:rPr>
          <w:b/>
          <w:bCs/>
          <w:color w:val="000000"/>
          <w:spacing w:val="15"/>
          <w:highlight w:val="white"/>
        </w:rPr>
      </w:pPr>
    </w:p>
    <w:p w:rsidR="00452ACD" w:rsidRDefault="008A451C">
      <w:pPr>
        <w:pStyle w:val="Caption"/>
        <w:keepNext/>
      </w:pPr>
      <w:r>
        <w:t xml:space="preserve">Table </w:t>
      </w:r>
      <w:r w:rsidR="00A666AD">
        <w:fldChar w:fldCharType="begin"/>
      </w:r>
      <w:r w:rsidR="00A666AD">
        <w:instrText xml:space="preserve"> SEQ Table \* ARABIC </w:instrText>
      </w:r>
      <w:r w:rsidR="00A666AD">
        <w:fldChar w:fldCharType="separate"/>
      </w:r>
      <w:r w:rsidR="003A601B">
        <w:rPr>
          <w:noProof/>
        </w:rPr>
        <w:t>5</w:t>
      </w:r>
      <w:r w:rsidR="00A666AD">
        <w:fldChar w:fldCharType="end"/>
      </w:r>
      <w:r>
        <w:t xml:space="preserve"> summary statistics 2017</w:t>
      </w:r>
    </w:p>
    <w:tbl>
      <w:tblPr>
        <w:tblStyle w:val="LightShading-Accent1"/>
        <w:tblW w:w="7148" w:type="dxa"/>
        <w:jc w:val="center"/>
        <w:tblLook w:val="04A0" w:firstRow="1" w:lastRow="0" w:firstColumn="1" w:lastColumn="0" w:noHBand="0" w:noVBand="1"/>
      </w:tblPr>
      <w:tblGrid>
        <w:gridCol w:w="1788"/>
        <w:gridCol w:w="1787"/>
        <w:gridCol w:w="1787"/>
        <w:gridCol w:w="1786"/>
      </w:tblGrid>
      <w:tr w:rsidR="00452ACD" w:rsidTr="00452A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shd w:val="clear" w:color="auto" w:fill="auto"/>
          </w:tcPr>
          <w:p w:rsidR="00452ACD" w:rsidRDefault="008A451C">
            <w:pPr>
              <w:rPr>
                <w:bCs w:val="0"/>
                <w:color w:val="000000"/>
                <w:spacing w:val="15"/>
              </w:rPr>
            </w:pPr>
            <w:r>
              <w:rPr>
                <w:bCs w:val="0"/>
                <w:color w:val="000000"/>
                <w:spacing w:val="15"/>
              </w:rPr>
              <w:t>Variable</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6"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Health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shd w:val="clear" w:color="auto" w:fill="auto"/>
          </w:tcPr>
          <w:p w:rsidR="00452ACD" w:rsidRDefault="00452ACD">
            <w:pPr>
              <w:rPr>
                <w:color w:val="365F91" w:themeColor="accent1" w:themeShade="BF"/>
                <w:spacing w:val="15"/>
              </w:rPr>
            </w:pP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6"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Net worth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tcBorders>
            <w:shd w:val="clear" w:color="auto" w:fill="auto"/>
          </w:tcPr>
          <w:p w:rsidR="00452ACD" w:rsidRDefault="00452ACD">
            <w:pPr>
              <w:rPr>
                <w:color w:val="365F91" w:themeColor="accent1" w:themeShade="BF"/>
                <w:spacing w:val="15"/>
              </w:rPr>
            </w:pP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6"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452ACD" w:rsidRDefault="00452ACD">
      <w:pPr>
        <w:rPr>
          <w:b/>
          <w:bCs/>
          <w:color w:val="000000"/>
          <w:spacing w:val="15"/>
          <w:highlight w:val="white"/>
        </w:rPr>
      </w:pPr>
    </w:p>
    <w:p w:rsidR="00452ACD" w:rsidRDefault="00452ACD">
      <w:pPr>
        <w:rPr>
          <w:b/>
          <w:bCs/>
          <w:color w:val="000000"/>
          <w:spacing w:val="15"/>
          <w:highlight w:val="white"/>
        </w:rPr>
      </w:pPr>
    </w:p>
    <w:p w:rsidR="00452ACD" w:rsidRDefault="008A451C">
      <w:pPr>
        <w:rPr>
          <w:sz w:val="28"/>
        </w:rPr>
      </w:pPr>
      <w:r>
        <w:rPr>
          <w:b/>
          <w:bCs/>
          <w:color w:val="000000"/>
          <w:spacing w:val="15"/>
          <w:sz w:val="28"/>
          <w:highlight w:val="white"/>
        </w:rPr>
        <w:t>Methods</w:t>
      </w:r>
    </w:p>
    <w:p w:rsidR="00452ACD" w:rsidRDefault="008A451C" w:rsidP="002E4A73">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452ACD" w:rsidRDefault="008A451C" w:rsidP="00F15B4E">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2E4A73" w:rsidRDefault="008A451C" w:rsidP="00F15B4E">
      <w:r>
        <w:tab/>
        <w:t xml:space="preserve"> The treatment group, control group and the treatment itself will be defined as follows. The treatment this paper uses is the financial crisis of 2008 in which housing prices dropped suddenly</w:t>
      </w:r>
      <w:r w:rsidR="002E4A73">
        <w:t xml:space="preserve"> and sharply</w:t>
      </w:r>
      <w:r>
        <w:t xml:space="preserve"> as is visible in figure 1.</w:t>
      </w:r>
      <w:r w:rsidR="002E4A73">
        <w:t xml:space="preserve"> Another treatment that will be used is the bounce-back of the housing prices after the financial crisis which started in 2013.</w:t>
      </w:r>
      <w:r>
        <w:t xml:space="preserve">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w:t>
      </w:r>
      <w:r w:rsidR="002E4A73">
        <w:t xml:space="preserve"> Although the net worth of tenants can also have been negatively impacted, the home owners are exposed more to the negative wealth shock due to the drop in housing prices. Therefore the net worth of tenants should be affected less than the net worth of home owners.</w:t>
      </w:r>
    </w:p>
    <w:p w:rsidR="00452ACD" w:rsidRDefault="008A451C" w:rsidP="002E4A73">
      <w:pPr>
        <w:ind w:firstLine="720"/>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w:t>
      </w:r>
      <w:r>
        <w:lastRenderedPageBreak/>
        <w:t>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w:t>
      </w:r>
      <w:r w:rsidR="002E4A73">
        <w:t xml:space="preserve"> </w:t>
      </w:r>
    </w:p>
    <w:p w:rsidR="002E4A73" w:rsidRDefault="00E2040E" w:rsidP="00E2040E">
      <w: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452ACD" w:rsidRDefault="008A451C">
      <w:r>
        <w:tab/>
      </w:r>
      <w:r>
        <w:tab/>
      </w:r>
    </w:p>
    <w:p w:rsidR="00452ACD" w:rsidRDefault="008A451C">
      <w:r>
        <w:t>The following regression model will be used:</w:t>
      </w:r>
    </w:p>
    <w:p w:rsidR="00452ACD" w:rsidRDefault="00452ACD"/>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*Time*Treated+ε</m:t>
                </m:r>
              </m:oMath>
            </m:oMathPara>
          </w:p>
        </w:tc>
        <w:tc>
          <w:tcPr>
            <w:tcW w:w="676" w:type="dxa"/>
            <w:tcBorders>
              <w:top w:val="nil"/>
              <w:left w:val="nil"/>
              <w:bottom w:val="nil"/>
              <w:right w:val="nil"/>
            </w:tcBorders>
            <w:shd w:val="clear" w:color="auto" w:fill="auto"/>
          </w:tcPr>
          <w:p w:rsidR="00452ACD" w:rsidRDefault="008A451C">
            <w:pPr>
              <w:jc w:val="right"/>
            </w:pPr>
            <w:bookmarkStart w:id="9" w:name="_Ref534894565"/>
            <w:r>
              <w:t>(</w:t>
            </w:r>
            <w:r>
              <w:fldChar w:fldCharType="begin"/>
            </w:r>
            <w:r>
              <w:instrText>SEQ Equation \* ARABIC</w:instrText>
            </w:r>
            <w:r>
              <w:fldChar w:fldCharType="separate"/>
            </w:r>
            <w:r>
              <w:t>1</w:t>
            </w:r>
            <w:r>
              <w:fldChar w:fldCharType="end"/>
            </w:r>
            <w:bookmarkEnd w:id="9"/>
            <w:r>
              <w:t>)</w:t>
            </w:r>
          </w:p>
        </w:tc>
      </w:tr>
    </w:tbl>
    <w:p w:rsidR="00452ACD" w:rsidRDefault="00452ACD"/>
    <w:p w:rsidR="00452ACD" w:rsidRDefault="008A451C">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rsidR="00452ACD" w:rsidRDefault="008A451C">
      <w:r>
        <w:tab/>
        <w:t>Therefore the hypotheses are:</w:t>
      </w:r>
    </w:p>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2</w:t>
            </w:r>
            <w:r>
              <w:fldChar w:fldCharType="end"/>
            </w:r>
            <w:r>
              <w:t>)</w:t>
            </w:r>
          </w:p>
        </w:tc>
      </w:tr>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3</w:t>
            </w:r>
            <w:r>
              <w:fldChar w:fldCharType="end"/>
            </w:r>
            <w:r>
              <w:t>)</w:t>
            </w:r>
          </w:p>
        </w:tc>
      </w:tr>
    </w:tbl>
    <w:p w:rsidR="00452ACD" w:rsidRDefault="00452ACD"/>
    <w:p w:rsidR="00452ACD" w:rsidRDefault="008A451C">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t xml:space="preserve">is either the treatment group (i.e. home-owners) or the control group (i.e. tenants) and the period </w:t>
      </w:r>
      <w:proofErr w:type="spellStart"/>
      <w:r>
        <w:rPr>
          <w:i/>
        </w:rPr>
        <w:t>i</w:t>
      </w:r>
      <w:proofErr w:type="spellEnd"/>
      <w:r>
        <w:rPr>
          <w:i/>
        </w:rPr>
        <w:t xml:space="preserve"> </w:t>
      </w:r>
      <w:r>
        <w:t xml:space="preserve">is either before or after the treatment. </w:t>
      </w:r>
    </w:p>
    <w:p w:rsidR="00452ACD" w:rsidRDefault="008A451C">
      <w:r>
        <w:tab/>
        <w:t>Assume that:</w:t>
      </w:r>
    </w:p>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oMath>
            <w:r>
              <w:t>.</w:t>
            </w:r>
          </w:p>
          <w:p w:rsidR="00452ACD" w:rsidRDefault="00452ACD">
            <w:pPr>
              <w:jc w:val="center"/>
            </w:pPr>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4</w:t>
            </w:r>
            <w:r>
              <w:fldChar w:fldCharType="end"/>
            </w:r>
            <w:r>
              <w:t>)</w:t>
            </w:r>
          </w:p>
        </w:tc>
      </w:tr>
    </w:tbl>
    <w:p w:rsidR="00452ACD" w:rsidRDefault="008A451C">
      <w:r>
        <w:t>This equation means that in absence of the sudden drop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oMath>
      <w:r>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t>
      </w:r>
    </w:p>
    <w:p w:rsidR="00452ACD" w:rsidRDefault="008A451C">
      <w:r>
        <w:tab/>
        <w:t xml:space="preserve">Let </w:t>
      </w:r>
      <m:oMath>
        <m:sSub>
          <m:sSubPr>
            <m:ctrlPr>
              <w:rPr>
                <w:rFonts w:ascii="Cambria Math" w:hAnsi="Cambria Math"/>
              </w:rPr>
            </m:ctrlPr>
          </m:sSubPr>
          <m:e>
            <m:r>
              <w:rPr>
                <w:rFonts w:ascii="Cambria Math" w:hAnsi="Cambria Math"/>
              </w:rPr>
              <m:t>D</m:t>
            </m:r>
          </m:e>
          <m:sub/>
        </m:sSub>
      </m:oMath>
      <w:r>
        <w:t xml:space="preserve"> be a dummy for home-owners and periods.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t>,</w:t>
            </w:r>
          </w:p>
          <w:p w:rsidR="00452ACD" w:rsidRDefault="00452ACD">
            <w:pPr>
              <w:jc w:val="center"/>
            </w:pPr>
          </w:p>
        </w:tc>
        <w:tc>
          <w:tcPr>
            <w:tcW w:w="676" w:type="dxa"/>
            <w:tcBorders>
              <w:top w:val="nil"/>
              <w:left w:val="nil"/>
              <w:bottom w:val="nil"/>
              <w:right w:val="nil"/>
            </w:tcBorders>
            <w:shd w:val="clear" w:color="auto" w:fill="auto"/>
          </w:tcPr>
          <w:p w:rsidR="00452ACD" w:rsidRDefault="008A451C">
            <w:pPr>
              <w:jc w:val="right"/>
            </w:pPr>
            <w:bookmarkStart w:id="10" w:name="_Ref534893964"/>
            <w:r>
              <w:t>(</w:t>
            </w:r>
            <w:r>
              <w:fldChar w:fldCharType="begin"/>
            </w:r>
            <w:r>
              <w:instrText>SEQ Equation \* ARABIC</w:instrText>
            </w:r>
            <w:r>
              <w:fldChar w:fldCharType="separate"/>
            </w:r>
            <w:r>
              <w:t>5</w:t>
            </w:r>
            <w:r>
              <w:fldChar w:fldCharType="end"/>
            </w:r>
            <w:bookmarkEnd w:id="10"/>
            <w:r>
              <w:t>)</w:t>
            </w:r>
          </w:p>
        </w:tc>
      </w:tr>
    </w:tbl>
    <w:p w:rsidR="00452ACD" w:rsidRDefault="008A451C">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fldChar w:fldCharType="begin"/>
      </w:r>
      <w:r>
        <w:instrText>REF _Ref534893964 \h</w:instrText>
      </w:r>
      <w:r>
        <w:fldChar w:fldCharType="separate"/>
      </w:r>
      <w:r>
        <w:t>(5</w:t>
      </w:r>
      <w:r>
        <w:fldChar w:fldCharType="end"/>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452ACD" w:rsidRDefault="008A451C">
      <w:r>
        <w:t>Therefore we can get</w:t>
      </w:r>
    </w:p>
    <w:tbl>
      <w:tblPr>
        <w:tblStyle w:val="TableGrid"/>
        <w:tblW w:w="4950" w:type="pct"/>
        <w:tblCellMar>
          <w:left w:w="118" w:type="dxa"/>
        </w:tblCellMar>
        <w:tblLook w:val="04A0" w:firstRow="1" w:lastRow="0" w:firstColumn="1" w:lastColumn="0" w:noHBand="0" w:noVBand="1"/>
      </w:tblPr>
      <w:tblGrid>
        <w:gridCol w:w="678"/>
        <w:gridCol w:w="8403"/>
        <w:gridCol w:w="684"/>
      </w:tblGrid>
      <w:tr w:rsidR="00452ACD">
        <w:tc>
          <w:tcPr>
            <w:tcW w:w="663" w:type="dxa"/>
            <w:tcBorders>
              <w:top w:val="nil"/>
              <w:left w:val="nil"/>
              <w:bottom w:val="nil"/>
              <w:right w:val="nil"/>
            </w:tcBorders>
            <w:shd w:val="clear" w:color="auto" w:fill="auto"/>
          </w:tcPr>
          <w:p w:rsidR="00452ACD" w:rsidRDefault="00452ACD"/>
        </w:tc>
        <w:tc>
          <w:tcPr>
            <w:tcW w:w="8210" w:type="dxa"/>
            <w:tcBorders>
              <w:top w:val="nil"/>
              <w:left w:val="nil"/>
              <w:bottom w:val="nil"/>
              <w:right w:val="nil"/>
            </w:tcBorders>
            <w:shd w:val="clear" w:color="auto" w:fill="auto"/>
          </w:tcPr>
          <w:p w:rsidR="00452ACD" w:rsidRDefault="008A451C">
            <w:pPr>
              <w:jc w:val="center"/>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8"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6</w:t>
            </w:r>
            <w:r>
              <w:fldChar w:fldCharType="end"/>
            </w:r>
            <w:r>
              <w:t>)</w:t>
            </w:r>
          </w:p>
        </w:tc>
      </w:tr>
    </w:tbl>
    <w:p w:rsidR="00452ACD" w:rsidRDefault="008A451C">
      <w:r>
        <w:t>and</w:t>
      </w:r>
    </w:p>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7</w:t>
            </w:r>
            <w:r>
              <w:fldChar w:fldCharType="end"/>
            </w:r>
            <w:r>
              <w:t>)</w:t>
            </w:r>
          </w:p>
        </w:tc>
      </w:tr>
    </w:tbl>
    <w:p w:rsidR="00452ACD" w:rsidRDefault="008A451C">
      <w:r>
        <w:t>Therefore, the population difference-in-differences is:</w:t>
      </w:r>
    </w:p>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m:t>
                          </m:r>
                          <m:r>
                            <w:rPr>
                              <w:rFonts w:ascii="Cambria Math" w:hAnsi="Cambria Math"/>
                            </w:rPr>
                            <m:t>t</m:t>
                          </m:r>
                        </m:sub>
                      </m:sSub>
                    </m:e>
                    <m:e>
                      <m:r>
                        <w:rPr>
                          <w:rFonts w:ascii="Cambria Math" w:hAnsi="Cambria Math"/>
                        </w:rPr>
                        <m:t>g=TE,t=pre</m:t>
                      </m:r>
                    </m:e>
                  </m:d>
                </m:e>
              </m:d>
              <m:r>
                <w:rPr>
                  <w:rFonts w:ascii="Cambria Math" w:hAnsi="Cambria Math"/>
                </w:rPr>
                <m:t>=δ</m:t>
              </m:r>
            </m:oMath>
            <w:r>
              <w:t>.</w:t>
            </w:r>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8</w:t>
            </w:r>
            <w:r>
              <w:fldChar w:fldCharType="end"/>
            </w:r>
            <w:r>
              <w:t>)</w:t>
            </w:r>
          </w:p>
        </w:tc>
      </w:tr>
    </w:tbl>
    <w:p w:rsidR="00452ACD" w:rsidRDefault="008A451C">
      <w:r>
        <w:lastRenderedPageBreak/>
        <w:t xml:space="preserve">Here </w:t>
      </w:r>
      <w:r>
        <w:rPr>
          <w:rFonts w:ascii="Times New Roman" w:hAnsi="Times New Roman" w:cs="Times New Roman"/>
        </w:rPr>
        <w:t>δ</w:t>
      </w:r>
      <w:r>
        <w:t xml:space="preserve"> is the causal effect of interest which is estimated through the model described in equation </w:t>
      </w:r>
      <w:r>
        <w:fldChar w:fldCharType="begin"/>
      </w:r>
      <w:r>
        <w:instrText>REF _Ref534894565 \h</w:instrText>
      </w:r>
      <w:r>
        <w:fldChar w:fldCharType="separate"/>
      </w:r>
      <w:r>
        <w:t>(1</w:t>
      </w:r>
      <w:r>
        <w:fldChar w:fldCharType="end"/>
      </w:r>
      <w:r>
        <w:t xml:space="preserve">. The parameters in the model of equation </w:t>
      </w:r>
      <w:r>
        <w:fldChar w:fldCharType="begin"/>
      </w:r>
      <w:r>
        <w:instrText>REF _Ref534894565 \h</w:instrText>
      </w:r>
      <w:r>
        <w:fldChar w:fldCharType="separate"/>
      </w:r>
      <w:r>
        <w:t>(1</w:t>
      </w:r>
      <w:r>
        <w:fldChar w:fldCharType="end"/>
      </w:r>
      <w:r>
        <w:t xml:space="preserve"> can be seen in the light of the model described in equation </w:t>
      </w:r>
      <w:r>
        <w:fldChar w:fldCharType="begin"/>
      </w:r>
      <w:r>
        <w:instrText>REF _Ref534893964 \h</w:instrText>
      </w:r>
      <w:r>
        <w:fldChar w:fldCharType="separate"/>
      </w:r>
      <w:r>
        <w:t>(5</w:t>
      </w:r>
      <w:r>
        <w:fldChar w:fldCharType="end"/>
      </w:r>
      <w:r>
        <w:t xml:space="preserve"> in the following way:</w:t>
      </w:r>
    </w:p>
    <w:p w:rsidR="00452ACD" w:rsidRDefault="00452ACD"/>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9</w:t>
            </w:r>
            <w:r>
              <w:fldChar w:fldCharType="end"/>
            </w:r>
            <w:r>
              <w:t>)</w:t>
            </w:r>
          </w:p>
        </w:tc>
      </w:tr>
    </w:tbl>
    <w:p w:rsidR="00452ACD" w:rsidRDefault="008A451C">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452ACD" w:rsidRDefault="00452ACD"/>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10</w:t>
            </w:r>
            <w:r>
              <w:fldChar w:fldCharType="end"/>
            </w:r>
            <w:r>
              <w:t>)</w:t>
            </w:r>
          </w:p>
          <w:p w:rsidR="00452ACD" w:rsidRDefault="00452ACD">
            <w:pPr>
              <w:jc w:val="right"/>
            </w:pPr>
          </w:p>
        </w:tc>
      </w:tr>
    </w:tbl>
    <w:p w:rsidR="00452ACD" w:rsidRDefault="008A451C">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time effect of tenants group post treatment minus the time effect of the tenants post treatment. That is equal to the difference in the average health before and after the treatment.</w:t>
      </w:r>
    </w:p>
    <w:p w:rsidR="00452ACD" w:rsidRDefault="00452ACD"/>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m:t>
                    </m:r>
                    <m:r>
                      <w:rPr>
                        <w:rFonts w:ascii="Cambria Math" w:hAnsi="Cambria Math"/>
                      </w:rPr>
                      <m:t>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11</w:t>
            </w:r>
            <w:r>
              <w:fldChar w:fldCharType="end"/>
            </w:r>
            <w:r>
              <w:t>)</w:t>
            </w:r>
          </w:p>
        </w:tc>
      </w:tr>
    </w:tbl>
    <w:p w:rsidR="00452ACD" w:rsidRDefault="00452ACD"/>
    <w:p w:rsidR="00452ACD" w:rsidRDefault="008A451C">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452ACD" w:rsidRDefault="00452ACD"/>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w:r>
              <w:t xml:space="preserve"> </w:t>
            </w:r>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12</w:t>
            </w:r>
            <w:r>
              <w:fldChar w:fldCharType="end"/>
            </w:r>
            <w:r>
              <w:t>)</w:t>
            </w:r>
          </w:p>
        </w:tc>
      </w:tr>
    </w:tbl>
    <w:p w:rsidR="00452ACD" w:rsidRDefault="008A451C">
      <w:r>
        <w:t>So this is the difference in differences between average health before and after the treatment of the home owners and the tenants.</w:t>
      </w:r>
    </w:p>
    <w:p w:rsidR="00E2040E" w:rsidRDefault="00E2040E">
      <w:r>
        <w:tab/>
        <w:t>Because</w:t>
      </w:r>
      <w:r w:rsidR="004D630A">
        <w:t xml:space="preserve"> characteristics might differ and therefore explain some of the variation in health in the first group (i.e. all the observations) an extra regression on that group will be run which includes some extra coefficients. The extra coefficients are net income, education and gender because they can all be assumed to have an effect on health. This is not necessary in the second group because these differences should cancel out between the pre-treatment and post-treatment periods. The regression model will then look like this:</w:t>
      </w:r>
    </w:p>
    <w:p w:rsidR="004D630A" w:rsidRDefault="004D630A" w:rsidP="004D630A">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r>
            <w:rPr>
              <w:rFonts w:ascii="Cambria Math" w:hAnsi="Cambria Math"/>
            </w:rPr>
            <m:t xml:space="preserve">X+ </m:t>
          </m:r>
          <m:r>
            <w:rPr>
              <w:rFonts w:ascii="Cambria Math" w:hAnsi="Cambria Math"/>
            </w:rPr>
            <m:t>ε</m:t>
          </m:r>
        </m:oMath>
      </m:oMathPara>
    </w:p>
    <w:p w:rsidR="00452ACD" w:rsidRDefault="004D630A">
      <w:r>
        <w:t xml:space="preserve">Where X represents the extra coefficients. </w:t>
      </w:r>
    </w:p>
    <w:p w:rsidR="00452ACD" w:rsidRDefault="00452ACD">
      <w:pPr>
        <w:rPr>
          <w:b/>
          <w:sz w:val="28"/>
          <w:szCs w:val="28"/>
        </w:rPr>
      </w:pPr>
    </w:p>
    <w:p w:rsidR="00452ACD" w:rsidRDefault="008A451C">
      <w:pPr>
        <w:rPr>
          <w:b/>
        </w:rPr>
      </w:pPr>
      <w:r>
        <w:rPr>
          <w:b/>
          <w:sz w:val="28"/>
          <w:szCs w:val="28"/>
        </w:rPr>
        <w:t>Results</w:t>
      </w:r>
      <w:r>
        <w:rPr>
          <w:b/>
        </w:rPr>
        <w:t>:</w:t>
      </w:r>
    </w:p>
    <w:p w:rsidR="00452ACD" w:rsidRDefault="00452ACD">
      <w:pPr>
        <w:rPr>
          <w:b/>
        </w:rPr>
      </w:pPr>
    </w:p>
    <w:p w:rsidR="00452ACD" w:rsidRDefault="008A451C">
      <w:pPr>
        <w:rPr>
          <w:b/>
        </w:rPr>
      </w:pPr>
      <w:r>
        <w:rPr>
          <w:b/>
        </w:rPr>
        <w:t>Basic OLS results</w:t>
      </w:r>
    </w:p>
    <w:p w:rsidR="00452ACD" w:rsidRDefault="008A451C">
      <w:r>
        <w:t>A simple OLS regression was conducted first to check whether or not there exists a correlation between health  and health in this dataset. With the simple model:</w:t>
      </w:r>
    </w:p>
    <w:p w:rsidR="00452ACD" w:rsidRDefault="008A451C">
      <w:pPr>
        <w:jc w:val="center"/>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*Networth+ε</m:t>
          </m:r>
        </m:oMath>
      </m:oMathPara>
    </w:p>
    <w:p w:rsidR="00452ACD" w:rsidRDefault="008A451C">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the possible causal effect. </w:t>
      </w:r>
    </w:p>
    <w:p w:rsidR="00452ACD" w:rsidRDefault="00452ACD"/>
    <w:p w:rsidR="00452ACD" w:rsidRDefault="008A451C">
      <w:pPr>
        <w:pStyle w:val="Caption"/>
        <w:keepNext/>
      </w:pPr>
      <w:r>
        <w:t xml:space="preserve">Table </w:t>
      </w:r>
      <w:r w:rsidR="00A666AD">
        <w:fldChar w:fldCharType="begin"/>
      </w:r>
      <w:r w:rsidR="00A666AD">
        <w:instrText xml:space="preserve"> SEQ Table \* ARABIC </w:instrText>
      </w:r>
      <w:r w:rsidR="00A666AD">
        <w:fldChar w:fldCharType="separate"/>
      </w:r>
      <w:r w:rsidR="003A601B">
        <w:rPr>
          <w:noProof/>
        </w:rPr>
        <w:t>6</w:t>
      </w:r>
      <w:r w:rsidR="00A666AD">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452ACD" w:rsidTr="00452ACD">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452ACD" w:rsidRDefault="008A451C">
            <w:pPr>
              <w:rPr>
                <w:color w:val="31849B" w:themeColor="accent5" w:themeShade="BF"/>
              </w:rPr>
            </w:pPr>
            <w:r>
              <w:rPr>
                <w:color w:val="31849B" w:themeColor="accent5" w:themeShade="BF"/>
              </w:rPr>
              <w:t>Intercept</w:t>
            </w:r>
          </w:p>
        </w:tc>
        <w:tc>
          <w:tcPr>
            <w:tcW w:w="2409"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452ACD" w:rsidTr="00452AC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52ACD" w:rsidRDefault="00452ACD">
            <w:pPr>
              <w:rPr>
                <w:color w:val="31849B" w:themeColor="accent5" w:themeShade="BF"/>
              </w:rPr>
            </w:pPr>
          </w:p>
        </w:tc>
        <w:tc>
          <w:tcPr>
            <w:tcW w:w="2409"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452ACD" w:rsidTr="00452ACD">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452ACD" w:rsidRDefault="008A451C">
            <w:pPr>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452ACD" w:rsidTr="00452AC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52ACD" w:rsidRDefault="00452ACD">
            <w:pPr>
              <w:rPr>
                <w:color w:val="31849B" w:themeColor="accent5" w:themeShade="BF"/>
              </w:rPr>
            </w:pPr>
          </w:p>
        </w:tc>
        <w:tc>
          <w:tcPr>
            <w:tcW w:w="2409"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452ACD" w:rsidTr="00452ACD">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452ACD" w:rsidRDefault="008A451C">
            <w:pPr>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452ACD" w:rsidTr="00452AC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52ACD" w:rsidRDefault="00452ACD">
            <w:pPr>
              <w:rPr>
                <w:color w:val="31849B" w:themeColor="accent5" w:themeShade="BF"/>
              </w:rPr>
            </w:pPr>
          </w:p>
        </w:tc>
        <w:tc>
          <w:tcPr>
            <w:tcW w:w="2409"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452ACD" w:rsidTr="00452ACD">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452ACD" w:rsidRDefault="008A451C">
            <w:pPr>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452ACD" w:rsidRDefault="00452ACD">
      <w:pPr>
        <w:rPr>
          <w:b/>
        </w:rPr>
      </w:pPr>
    </w:p>
    <w:p w:rsidR="00452ACD" w:rsidRDefault="00452ACD">
      <w:pPr>
        <w:rPr>
          <w:b/>
        </w:rPr>
      </w:pPr>
    </w:p>
    <w:p w:rsidR="00452ACD" w:rsidRDefault="00452ACD">
      <w:pPr>
        <w:rPr>
          <w:b/>
        </w:rPr>
      </w:pPr>
    </w:p>
    <w:p w:rsidR="00452ACD" w:rsidRDefault="00452ACD">
      <w:pPr>
        <w:pStyle w:val="Caption"/>
      </w:pPr>
    </w:p>
    <w:p w:rsidR="00452ACD" w:rsidRDefault="008A451C">
      <w:pPr>
        <w:pStyle w:val="Caption"/>
        <w:rPr>
          <w:b/>
          <w:i w:val="0"/>
        </w:rPr>
      </w:pPr>
      <w:r>
        <w:rPr>
          <w:b/>
          <w:i w:val="0"/>
        </w:rPr>
        <w:t>Difference in Difference Analysis</w:t>
      </w:r>
    </w:p>
    <w:p w:rsidR="00452ACD" w:rsidRDefault="008A451C">
      <w:pPr>
        <w:rPr>
          <w:i/>
        </w:rPr>
      </w:pPr>
      <w:r>
        <w:t>As pointed out before in this paper, endogeneity is a problem when considering the effects of wealth on health. Two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p>
    <w:p w:rsidR="00452ACD" w:rsidRDefault="008A451C">
      <w:r>
        <w:t xml:space="preserve">The results for the short term analysis can be seen in table 3, column 2007 - 2013. This analysis does not find a significant causal relationship between health and wealth. This corresponds with the results found by Meer, Miller and Rosen (2003) who also checked for short-term changes in health driven by wealth. </w:t>
      </w:r>
    </w:p>
    <w:p w:rsidR="00A666AD" w:rsidRDefault="00A666AD"/>
    <w:p w:rsidR="00A666AD" w:rsidRDefault="00A666AD">
      <w:pPr>
        <w:rPr>
          <w:i/>
        </w:rPr>
      </w:pPr>
    </w:p>
    <w:p w:rsidR="00452ACD" w:rsidRDefault="00452ACD">
      <w:pPr>
        <w:rPr>
          <w:i/>
        </w:rPr>
      </w:pPr>
    </w:p>
    <w:p w:rsidR="00A666AD" w:rsidRDefault="00A666AD" w:rsidP="00A666AD">
      <w:pPr>
        <w:pStyle w:val="Caption"/>
        <w:keepNext/>
      </w:pPr>
      <w:r>
        <w:t xml:space="preserve">Table </w:t>
      </w:r>
      <w:r>
        <w:fldChar w:fldCharType="begin"/>
      </w:r>
      <w:r>
        <w:instrText xml:space="preserve"> SEQ Table \* ARABIC </w:instrText>
      </w:r>
      <w:r>
        <w:fldChar w:fldCharType="separate"/>
      </w:r>
      <w:r w:rsidR="003A601B">
        <w:rPr>
          <w:noProof/>
        </w:rPr>
        <w:t>7</w:t>
      </w:r>
      <w:r>
        <w:fldChar w:fldCharType="end"/>
      </w:r>
      <w:r>
        <w:t>: DD results all observations</w:t>
      </w:r>
    </w:p>
    <w:tbl>
      <w:tblPr>
        <w:tblW w:w="9662" w:type="dxa"/>
        <w:tblInd w:w="93" w:type="dxa"/>
        <w:tblLook w:val="04A0" w:firstRow="1" w:lastRow="0" w:firstColumn="1" w:lastColumn="0" w:noHBand="0" w:noVBand="1"/>
      </w:tblPr>
      <w:tblGrid>
        <w:gridCol w:w="1440"/>
        <w:gridCol w:w="1160"/>
        <w:gridCol w:w="1160"/>
        <w:gridCol w:w="1160"/>
        <w:gridCol w:w="1160"/>
        <w:gridCol w:w="1262"/>
        <w:gridCol w:w="1160"/>
        <w:gridCol w:w="1160"/>
      </w:tblGrid>
      <w:tr w:rsidR="00A666AD" w:rsidRPr="00A666AD" w:rsidTr="00A666AD">
        <w:trPr>
          <w:trHeight w:val="255"/>
        </w:trPr>
        <w:tc>
          <w:tcPr>
            <w:tcW w:w="1440" w:type="dxa"/>
            <w:tcBorders>
              <w:top w:val="single" w:sz="4" w:space="0" w:color="000000"/>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2007 - 2013</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2007 - 2017</w:t>
            </w:r>
          </w:p>
        </w:tc>
        <w:tc>
          <w:tcPr>
            <w:tcW w:w="1160" w:type="dxa"/>
            <w:tcBorders>
              <w:top w:val="single" w:sz="4" w:space="0" w:color="000000"/>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2013 - 2017</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2007 - 2013</w:t>
            </w:r>
          </w:p>
        </w:tc>
        <w:tc>
          <w:tcPr>
            <w:tcW w:w="1262"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2007 - 2017</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2013 - 2017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VARIABLES</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single" w:sz="4" w:space="0" w:color="000000"/>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262"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Time</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0.0026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-0.0265***</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-0.0291***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0.0054</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-0.0124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-0.0173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(0.0096)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(0.0096)</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(0.0110)</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(0.0109)</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Treated</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0.0190**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0.0190*</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0.0078</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0.0173</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0.0164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0.0028</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(0.0096)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(0.0102)</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(0.0108)</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(0.0116)</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(0.0123)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DID</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-0.0112</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0.0235*</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0.0347**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-0.0123</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0.0234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(0.0139)</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(0.0138)</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(0.0143)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(0.0155)</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(0.0149)</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(0.0155)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Gender</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-0.0124</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-0.0165**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(0.0088)</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(0.0082)</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Education</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0.0044</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0.0096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0.0070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(0.0084)</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(0.0082)</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Net Income</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Constant</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0.9487***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0.9487***</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0.9513***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0.9426***</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0.9413***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0.9450***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(0.0065)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(0.0069)</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(0.0076)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(0.0087)</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(0.0097)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Observations</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3,458</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4,024</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3,864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2,586</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2,881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2,671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single" w:sz="4" w:space="0" w:color="000000"/>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R-squared</w:t>
            </w:r>
          </w:p>
        </w:tc>
        <w:tc>
          <w:tcPr>
            <w:tcW w:w="1160" w:type="dxa"/>
            <w:tcBorders>
              <w:top w:val="nil"/>
              <w:left w:val="single" w:sz="4" w:space="0" w:color="auto"/>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0.0013</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0.0070</w:t>
            </w:r>
          </w:p>
        </w:tc>
        <w:tc>
          <w:tcPr>
            <w:tcW w:w="1160" w:type="dxa"/>
            <w:tcBorders>
              <w:top w:val="nil"/>
              <w:left w:val="nil"/>
              <w:bottom w:val="single" w:sz="4" w:space="0" w:color="000000"/>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0.0060</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0.0046</w:t>
            </w:r>
          </w:p>
        </w:tc>
        <w:tc>
          <w:tcPr>
            <w:tcW w:w="1262"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0.0100</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3760" w:type="dxa"/>
            <w:gridSpan w:val="3"/>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Standard errors in parentheses</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262"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255"/>
        </w:trPr>
        <w:tc>
          <w:tcPr>
            <w:tcW w:w="2600" w:type="dxa"/>
            <w:gridSpan w:val="2"/>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p&lt;0.01, ** p&lt;0.05, * p&lt;0.1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262"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132"/>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262"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87"/>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262"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keepNext/>
              <w:rPr>
                <w:rFonts w:ascii="Calibri" w:eastAsia="Times New Roman" w:hAnsi="Calibri" w:cs="Times New Roman"/>
                <w:color w:val="auto"/>
                <w:sz w:val="20"/>
                <w:szCs w:val="20"/>
                <w:lang w:eastAsia="en-US" w:bidi="ar-SA"/>
              </w:rPr>
            </w:pPr>
          </w:p>
        </w:tc>
      </w:tr>
    </w:tbl>
    <w:p w:rsidR="00A666AD" w:rsidRDefault="00A666AD">
      <w:pPr>
        <w:pStyle w:val="Caption"/>
        <w:ind w:firstLine="720"/>
        <w:rPr>
          <w:i w:val="0"/>
        </w:rPr>
      </w:pPr>
    </w:p>
    <w:p w:rsidR="00A666AD" w:rsidRDefault="00A666AD" w:rsidP="00A666AD">
      <w:pPr>
        <w:pStyle w:val="Caption"/>
        <w:keepNext/>
      </w:pPr>
      <w:r>
        <w:t xml:space="preserve">Table </w:t>
      </w:r>
      <w:r>
        <w:fldChar w:fldCharType="begin"/>
      </w:r>
      <w:r>
        <w:instrText xml:space="preserve"> SEQ Table \* ARABIC </w:instrText>
      </w:r>
      <w:r>
        <w:fldChar w:fldCharType="separate"/>
      </w:r>
      <w:r w:rsidR="003A601B">
        <w:rPr>
          <w:noProof/>
        </w:rPr>
        <w:t>8</w:t>
      </w:r>
      <w:r>
        <w:fldChar w:fldCharType="end"/>
      </w:r>
      <w:r>
        <w:t>: DD results same persons</w:t>
      </w:r>
    </w:p>
    <w:tbl>
      <w:tblPr>
        <w:tblW w:w="4920" w:type="dxa"/>
        <w:tblInd w:w="93" w:type="dxa"/>
        <w:tblLook w:val="04A0" w:firstRow="1" w:lastRow="0" w:firstColumn="1" w:lastColumn="0" w:noHBand="0" w:noVBand="1"/>
      </w:tblPr>
      <w:tblGrid>
        <w:gridCol w:w="1440"/>
        <w:gridCol w:w="1160"/>
        <w:gridCol w:w="1160"/>
        <w:gridCol w:w="1160"/>
      </w:tblGrid>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single" w:sz="4" w:space="0" w:color="000000"/>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xml:space="preserve">2007 - </w:t>
            </w:r>
            <w:r w:rsidRPr="00A666AD">
              <w:rPr>
                <w:rFonts w:ascii="Calibri" w:eastAsia="Times New Roman" w:hAnsi="Calibri" w:cs="Times New Roman"/>
                <w:color w:val="auto"/>
                <w:sz w:val="20"/>
                <w:szCs w:val="20"/>
                <w:lang w:eastAsia="en-US" w:bidi="ar-SA"/>
              </w:rPr>
              <w:lastRenderedPageBreak/>
              <w:t>2013</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lastRenderedPageBreak/>
              <w:t xml:space="preserve">2007 - </w:t>
            </w:r>
            <w:r w:rsidRPr="00A666AD">
              <w:rPr>
                <w:rFonts w:ascii="Calibri" w:eastAsia="Times New Roman" w:hAnsi="Calibri" w:cs="Times New Roman"/>
                <w:color w:val="auto"/>
                <w:sz w:val="20"/>
                <w:szCs w:val="20"/>
                <w:lang w:eastAsia="en-US" w:bidi="ar-SA"/>
              </w:rPr>
              <w:lastRenderedPageBreak/>
              <w:t>2017</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lastRenderedPageBreak/>
              <w:t xml:space="preserve">2013 - </w:t>
            </w:r>
            <w:r w:rsidRPr="00A666AD">
              <w:rPr>
                <w:rFonts w:ascii="Calibri" w:eastAsia="Times New Roman" w:hAnsi="Calibri" w:cs="Times New Roman"/>
                <w:color w:val="auto"/>
                <w:sz w:val="20"/>
                <w:szCs w:val="20"/>
                <w:lang w:eastAsia="en-US" w:bidi="ar-SA"/>
              </w:rPr>
              <w:lastRenderedPageBreak/>
              <w:t>2017</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lastRenderedPageBreak/>
              <w:t>VARIABLES</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r>
      <w:tr w:rsidR="00A666AD" w:rsidRPr="00A666AD" w:rsidTr="00A666AD">
        <w:trPr>
          <w:trHeight w:val="255"/>
        </w:trPr>
        <w:tc>
          <w:tcPr>
            <w:tcW w:w="1440" w:type="dxa"/>
            <w:tcBorders>
              <w:top w:val="single" w:sz="4" w:space="0" w:color="000000"/>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time</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-0.0130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-0.0347**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-0.0155</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(0.0144)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(0.0162)</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(0.0151)</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treated</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0.0205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0.0270*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0.0243*</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(0.0139)</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(0.0152)</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(0.0139)</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DID</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0.0183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0.0167</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(0.0197)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(0.0216)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(0.0199)</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Constant</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0.9595***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0.9581***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0.9410***</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(0.0109)</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(0.0103)</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Observations</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1,288</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1,886</w:t>
            </w:r>
          </w:p>
        </w:tc>
      </w:tr>
      <w:tr w:rsidR="00A666AD" w:rsidRPr="00A666AD" w:rsidTr="00A666AD">
        <w:trPr>
          <w:trHeight w:val="255"/>
        </w:trPr>
        <w:tc>
          <w:tcPr>
            <w:tcW w:w="1440" w:type="dxa"/>
            <w:tcBorders>
              <w:top w:val="nil"/>
              <w:left w:val="nil"/>
              <w:bottom w:val="single" w:sz="4" w:space="0" w:color="000000"/>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R-squared</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0.0040</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0.0122</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0.0061</w:t>
            </w:r>
          </w:p>
        </w:tc>
      </w:tr>
      <w:tr w:rsidR="00A666AD" w:rsidRPr="00A666AD" w:rsidTr="00A666AD">
        <w:trPr>
          <w:trHeight w:val="255"/>
        </w:trPr>
        <w:tc>
          <w:tcPr>
            <w:tcW w:w="3760" w:type="dxa"/>
            <w:gridSpan w:val="3"/>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Standard errors in parentheses</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255"/>
        </w:trPr>
        <w:tc>
          <w:tcPr>
            <w:tcW w:w="2600" w:type="dxa"/>
            <w:gridSpan w:val="2"/>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p&lt;0.01, ** p&lt;0.05, * p&lt;0.1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bl>
    <w:p w:rsidR="00452ACD" w:rsidRDefault="00452ACD">
      <w:pPr>
        <w:pStyle w:val="Caption"/>
        <w:ind w:firstLine="720"/>
        <w:rPr>
          <w:i w:val="0"/>
        </w:rPr>
      </w:pPr>
    </w:p>
    <w:p w:rsidR="00452ACD" w:rsidRDefault="00452ACD">
      <w:pPr>
        <w:pStyle w:val="Caption"/>
        <w:ind w:firstLine="720"/>
        <w:rPr>
          <w:i w:val="0"/>
        </w:rPr>
      </w:pPr>
    </w:p>
    <w:p w:rsidR="00452ACD" w:rsidRDefault="008A451C">
      <w:r>
        <w:t>The results from the mid-term analysis can be seen in table 7, column 2007 - 2017. This analysis does find a significant (p&lt;10%) causal relationship between wealth and health using the DD analysis. This suggests that in the Netherlands</w:t>
      </w:r>
      <w:r>
        <w:rPr>
          <w:i/>
        </w:rPr>
        <w:t>,</w:t>
      </w:r>
      <w:r>
        <w:t xml:space="preserve"> wealth does have an impact on the chance of being healthy. The coefficient of time is -0.026 which implies that in the time of 2007 until 2017, the chance of being healthy decreased by 2.6 percentage point in the control group. The coefficient of treated of 0.19 means that before the treatment, people who were in the treatment group, the home-owners, had a 1.9 percentage point more chance of being healthy than the people in the control group, the tenants. The interaction coefficient (DID in the table) is 0.023, which 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of the expected negative effect.</w:t>
      </w:r>
    </w:p>
    <w:p w:rsidR="00452ACD" w:rsidRDefault="008A451C">
      <w:r>
        <w:tab/>
        <w:t>To check whether the positive interaction coefficient can be explained by the rise in housing prices between 2013 and 2017 a third DD analysis was conducted between 2013 and 2017. Here the treatment was the rise in housing prices between 2013 and 2017. Therefore the pre-treatment year is 2013 and the 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chance of being healthy than the tenants.</w:t>
      </w:r>
    </w:p>
    <w:p w:rsidR="00452ACD" w:rsidRDefault="00452ACD"/>
    <w:p w:rsidR="00452ACD" w:rsidRDefault="006B3ABA">
      <w:pPr>
        <w:rPr>
          <w:b/>
          <w:sz w:val="28"/>
          <w:szCs w:val="28"/>
        </w:rPr>
      </w:pPr>
      <w:r>
        <w:rPr>
          <w:b/>
          <w:sz w:val="28"/>
          <w:szCs w:val="28"/>
        </w:rPr>
        <w:t>Robustness checks</w:t>
      </w:r>
    </w:p>
    <w:p w:rsidR="003A601B" w:rsidRDefault="003A601B" w:rsidP="003A601B">
      <w:pPr>
        <w:pStyle w:val="Caption"/>
        <w:keepNext/>
      </w:pPr>
      <w:r>
        <w:t xml:space="preserve">Table </w:t>
      </w:r>
      <w:r>
        <w:fldChar w:fldCharType="begin"/>
      </w:r>
      <w:r>
        <w:instrText xml:space="preserve"> SEQ Table \* ARABIC </w:instrText>
      </w:r>
      <w:r>
        <w:fldChar w:fldCharType="separate"/>
      </w:r>
      <w:r>
        <w:rPr>
          <w:noProof/>
        </w:rPr>
        <w:t>9</w:t>
      </w:r>
      <w:r>
        <w:fldChar w:fldCharType="end"/>
      </w:r>
      <w:r>
        <w:t>: mechanism check</w:t>
      </w:r>
    </w:p>
    <w:tbl>
      <w:tblPr>
        <w:tblW w:w="9761" w:type="dxa"/>
        <w:tblInd w:w="93" w:type="dxa"/>
        <w:tblLook w:val="04A0" w:firstRow="1" w:lastRow="0" w:firstColumn="1" w:lastColumn="0" w:noHBand="0" w:noVBand="1"/>
      </w:tblPr>
      <w:tblGrid>
        <w:gridCol w:w="1259"/>
        <w:gridCol w:w="1303"/>
        <w:gridCol w:w="1304"/>
        <w:gridCol w:w="1304"/>
        <w:gridCol w:w="1304"/>
        <w:gridCol w:w="1304"/>
        <w:gridCol w:w="1304"/>
        <w:gridCol w:w="679"/>
      </w:tblGrid>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all observations</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same persons</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single" w:sz="4" w:space="0" w:color="000000"/>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334"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2007 - 2013</w:t>
            </w:r>
          </w:p>
        </w:tc>
        <w:tc>
          <w:tcPr>
            <w:tcW w:w="1334"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2007 - 2017</w:t>
            </w:r>
          </w:p>
        </w:tc>
        <w:tc>
          <w:tcPr>
            <w:tcW w:w="1334" w:type="dxa"/>
            <w:tcBorders>
              <w:top w:val="single" w:sz="4" w:space="0" w:color="000000"/>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2013 - 2017</w:t>
            </w:r>
          </w:p>
        </w:tc>
        <w:tc>
          <w:tcPr>
            <w:tcW w:w="1334"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2007 - 2013</w:t>
            </w:r>
          </w:p>
        </w:tc>
        <w:tc>
          <w:tcPr>
            <w:tcW w:w="1334"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2007 - 2017</w:t>
            </w:r>
          </w:p>
        </w:tc>
        <w:tc>
          <w:tcPr>
            <w:tcW w:w="1334"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2013 - 2017</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Variables:</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single" w:sz="4" w:space="0" w:color="000000"/>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334"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334"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334" w:type="dxa"/>
            <w:tcBorders>
              <w:top w:val="single" w:sz="4" w:space="0" w:color="000000"/>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334"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334"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334"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time</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3,533</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6,130</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2,597</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4,732</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-4,700</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-821</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(9,902</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(10,051</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(9,605</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(15,015</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(17,042</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(15,110</w:t>
            </w:r>
            <w:r w:rsidR="006B3ABA" w:rsidRPr="006B3ABA">
              <w:rPr>
                <w:rFonts w:ascii="Calibri" w:eastAsia="Times New Roman" w:hAnsi="Calibri" w:cs="Times New Roman"/>
                <w:color w:val="auto"/>
                <w:sz w:val="20"/>
                <w:szCs w:val="20"/>
                <w:lang w:eastAsia="en-US" w:bidi="ar-SA"/>
              </w:rPr>
              <w:t>)</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treated</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249,872</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249,872</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227,587</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263,253</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258,237</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243,262</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3A601B">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(9,924)</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(10,665</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(10,237</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(14,577</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(15,999</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(13,963</w:t>
            </w:r>
            <w:r w:rsidR="006B3ABA" w:rsidRPr="006B3ABA">
              <w:rPr>
                <w:rFonts w:ascii="Calibri" w:eastAsia="Times New Roman" w:hAnsi="Calibri" w:cs="Times New Roman"/>
                <w:color w:val="auto"/>
                <w:sz w:val="20"/>
                <w:szCs w:val="20"/>
                <w:lang w:eastAsia="en-US" w:bidi="ar-SA"/>
              </w:rPr>
              <w:t>)</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DID</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-22,284</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-18,349</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3,935</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-48,246</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-713</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25,871</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3A601B">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(14,351)</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(14,363</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(13,527</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(20,639</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(22,828</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(19,905</w:t>
            </w:r>
            <w:r w:rsidR="006B3ABA" w:rsidRPr="006B3ABA">
              <w:rPr>
                <w:rFonts w:ascii="Calibri" w:eastAsia="Times New Roman" w:hAnsi="Calibri" w:cs="Times New Roman"/>
                <w:color w:val="auto"/>
                <w:sz w:val="20"/>
                <w:szCs w:val="20"/>
                <w:lang w:eastAsia="en-US" w:bidi="ar-SA"/>
              </w:rPr>
              <w:t>)</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Constant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25,399</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25,399</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28,933</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25,004</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29,716</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37,327</w:t>
            </w:r>
            <w:r w:rsidRPr="006B3ABA">
              <w:rPr>
                <w:rFonts w:ascii="Calibri" w:eastAsia="Times New Roman" w:hAnsi="Calibri" w:cs="Times New Roman"/>
                <w:color w:val="auto"/>
                <w:sz w:val="20"/>
                <w:szCs w:val="20"/>
                <w:lang w:eastAsia="en-US" w:bidi="ar-SA"/>
              </w:rPr>
              <w:t xml:space="preserve"> </w:t>
            </w:r>
            <w:r w:rsidR="006B3ABA" w:rsidRPr="006B3ABA">
              <w:rPr>
                <w:rFonts w:ascii="Calibri" w:eastAsia="Times New Roman" w:hAnsi="Calibri" w:cs="Times New Roman"/>
                <w:color w:val="auto"/>
                <w:sz w:val="20"/>
                <w:szCs w:val="20"/>
                <w:lang w:eastAsia="en-US" w:bidi="ar-SA"/>
              </w:rPr>
              <w:t>***</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(6,742</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(7,246</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(7,162</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(10,506</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(11,522</w:t>
            </w:r>
            <w:r w:rsidR="006B3ABA" w:rsidRPr="006B3ABA">
              <w:rPr>
                <w:rFonts w:ascii="Calibri" w:eastAsia="Times New Roman" w:hAnsi="Calibri" w:cs="Times New Roman"/>
                <w:color w:val="auto"/>
                <w:sz w:val="20"/>
                <w:szCs w:val="20"/>
                <w:lang w:eastAsia="en-US" w:bidi="ar-SA"/>
              </w:rPr>
              <w:t>)</w:t>
            </w:r>
          </w:p>
        </w:tc>
        <w:tc>
          <w:tcPr>
            <w:tcW w:w="1334" w:type="dxa"/>
            <w:tcBorders>
              <w:top w:val="nil"/>
              <w:left w:val="nil"/>
              <w:bottom w:val="nil"/>
              <w:right w:val="nil"/>
            </w:tcBorders>
            <w:shd w:val="clear" w:color="auto" w:fill="auto"/>
            <w:noWrap/>
            <w:vAlign w:val="bottom"/>
            <w:hideMark/>
          </w:tcPr>
          <w:p w:rsidR="006B3ABA" w:rsidRPr="006B3ABA"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(10,359</w:t>
            </w:r>
            <w:r w:rsidR="006B3ABA" w:rsidRPr="006B3ABA">
              <w:rPr>
                <w:rFonts w:ascii="Calibri" w:eastAsia="Times New Roman" w:hAnsi="Calibri" w:cs="Times New Roman"/>
                <w:color w:val="auto"/>
                <w:sz w:val="20"/>
                <w:szCs w:val="20"/>
                <w:lang w:eastAsia="en-US" w:bidi="ar-SA"/>
              </w:rPr>
              <w:t>)</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p>
        </w:tc>
        <w:tc>
          <w:tcPr>
            <w:tcW w:w="1334"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Observations</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3,458</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4,024</w:t>
            </w:r>
          </w:p>
        </w:tc>
        <w:tc>
          <w:tcPr>
            <w:tcW w:w="1334"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3,864</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1,540</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1,288</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1,886</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1065" w:type="dxa"/>
            <w:tcBorders>
              <w:top w:val="nil"/>
              <w:left w:val="nil"/>
              <w:bottom w:val="single" w:sz="4" w:space="0" w:color="000000"/>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R-squared</w:t>
            </w:r>
          </w:p>
        </w:tc>
        <w:tc>
          <w:tcPr>
            <w:tcW w:w="1334" w:type="dxa"/>
            <w:tcBorders>
              <w:top w:val="nil"/>
              <w:left w:val="nil"/>
              <w:bottom w:val="single" w:sz="4" w:space="0" w:color="000000"/>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0.2442</w:t>
            </w:r>
          </w:p>
        </w:tc>
        <w:tc>
          <w:tcPr>
            <w:tcW w:w="1334" w:type="dxa"/>
            <w:tcBorders>
              <w:top w:val="nil"/>
              <w:left w:val="nil"/>
              <w:bottom w:val="single" w:sz="4" w:space="0" w:color="000000"/>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0.2195</w:t>
            </w:r>
          </w:p>
        </w:tc>
        <w:tc>
          <w:tcPr>
            <w:tcW w:w="1334" w:type="dxa"/>
            <w:tcBorders>
              <w:top w:val="nil"/>
              <w:left w:val="nil"/>
              <w:bottom w:val="single" w:sz="4" w:space="0" w:color="000000"/>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0.2346</w:t>
            </w:r>
          </w:p>
        </w:tc>
        <w:tc>
          <w:tcPr>
            <w:tcW w:w="1334" w:type="dxa"/>
            <w:tcBorders>
              <w:top w:val="nil"/>
              <w:left w:val="nil"/>
              <w:bottom w:val="single" w:sz="4" w:space="0" w:color="000000"/>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0.2619</w:t>
            </w:r>
          </w:p>
        </w:tc>
        <w:tc>
          <w:tcPr>
            <w:tcW w:w="1334" w:type="dxa"/>
            <w:tcBorders>
              <w:top w:val="nil"/>
              <w:left w:val="nil"/>
              <w:bottom w:val="single" w:sz="4" w:space="0" w:color="000000"/>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0.2852</w:t>
            </w:r>
          </w:p>
        </w:tc>
        <w:tc>
          <w:tcPr>
            <w:tcW w:w="1334" w:type="dxa"/>
            <w:tcBorders>
              <w:top w:val="nil"/>
              <w:left w:val="nil"/>
              <w:bottom w:val="single" w:sz="4" w:space="0" w:color="000000"/>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0.2628</w:t>
            </w: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3733" w:type="dxa"/>
            <w:gridSpan w:val="3"/>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Standard errors in parentheses</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3A601B" w:rsidRPr="006B3ABA" w:rsidTr="003A601B">
        <w:trPr>
          <w:trHeight w:val="255"/>
        </w:trPr>
        <w:tc>
          <w:tcPr>
            <w:tcW w:w="2399" w:type="dxa"/>
            <w:gridSpan w:val="2"/>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p&lt;0.01, ** p&lt;0.05, * p&lt;0.1</w:t>
            </w: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334"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692"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bl>
    <w:p w:rsidR="006B3ABA" w:rsidRPr="006B3ABA" w:rsidRDefault="006B3ABA">
      <w:pPr>
        <w:rPr>
          <w:b/>
          <w:sz w:val="28"/>
          <w:szCs w:val="28"/>
        </w:rPr>
      </w:pPr>
    </w:p>
    <w:p w:rsidR="006B3ABA" w:rsidRDefault="006B3ABA"/>
    <w:p w:rsidR="00D8016F" w:rsidRDefault="00D8016F"/>
    <w:p w:rsidR="003A601B" w:rsidRDefault="003A601B" w:rsidP="003A601B">
      <w:pPr>
        <w:pStyle w:val="Caption"/>
        <w:keepNext/>
      </w:pPr>
      <w:r>
        <w:t xml:space="preserve">Table </w:t>
      </w:r>
      <w:r>
        <w:fldChar w:fldCharType="begin"/>
      </w:r>
      <w:r>
        <w:instrText xml:space="preserve"> SEQ Table \* ARABIC </w:instrText>
      </w:r>
      <w:r>
        <w:fldChar w:fldCharType="separate"/>
      </w:r>
      <w:r>
        <w:rPr>
          <w:noProof/>
        </w:rPr>
        <w:t>10</w:t>
      </w:r>
      <w:r>
        <w:fldChar w:fldCharType="end"/>
      </w:r>
      <w:r>
        <w:t>: characteristics check gender</w:t>
      </w:r>
    </w:p>
    <w:tbl>
      <w:tblPr>
        <w:tblW w:w="4920" w:type="dxa"/>
        <w:tblInd w:w="93" w:type="dxa"/>
        <w:tblLook w:val="04A0" w:firstRow="1" w:lastRow="0" w:firstColumn="1" w:lastColumn="0" w:noHBand="0" w:noVBand="1"/>
      </w:tblPr>
      <w:tblGrid>
        <w:gridCol w:w="1440"/>
        <w:gridCol w:w="1160"/>
        <w:gridCol w:w="1160"/>
        <w:gridCol w:w="1160"/>
      </w:tblGrid>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2007 - 2013</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2007 - 2013</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2013 -2017</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VARIABLES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gender</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gender</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gender</w:t>
            </w: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time</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0.0133</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0.0125</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-0.0008</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(0.0254)</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(0.0252)</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(0.0265)</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treated</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0.3971***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0.3971***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0.3919***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(0.0244)</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(0.0248)</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(0.0269)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DID</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-0.0052</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-0.0696**</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-0.0644*</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(0.0360)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(0.0347)</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(0.0362)</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Constant</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0.3576***</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0.3576***</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0.3709***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(0.0171)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(0.0174)</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(0.0192)</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Observations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2,586</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2,881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2,671</w:t>
            </w:r>
          </w:p>
        </w:tc>
      </w:tr>
      <w:tr w:rsidR="00D8016F" w:rsidRPr="00D8016F" w:rsidTr="00D8016F">
        <w:trPr>
          <w:trHeight w:val="255"/>
        </w:trPr>
        <w:tc>
          <w:tcPr>
            <w:tcW w:w="1440" w:type="dxa"/>
            <w:tcBorders>
              <w:top w:val="nil"/>
              <w:left w:val="nil"/>
              <w:bottom w:val="single" w:sz="4" w:space="0" w:color="000000"/>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R-squared</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0.1584</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0.1323</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0.1290</w:t>
            </w:r>
          </w:p>
        </w:tc>
      </w:tr>
      <w:tr w:rsidR="00D8016F" w:rsidRPr="00D8016F" w:rsidTr="00D8016F">
        <w:trPr>
          <w:trHeight w:val="255"/>
        </w:trPr>
        <w:tc>
          <w:tcPr>
            <w:tcW w:w="3760" w:type="dxa"/>
            <w:gridSpan w:val="3"/>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Standard errors in parentheses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2600" w:type="dxa"/>
            <w:gridSpan w:val="2"/>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p&lt;0.01, ** p&lt;0.05, * p&lt;0.1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bl>
    <w:p w:rsidR="00D8016F" w:rsidRDefault="00D8016F"/>
    <w:p w:rsidR="00D8016F" w:rsidRDefault="00D8016F"/>
    <w:p w:rsidR="00D8016F" w:rsidRDefault="00D8016F"/>
    <w:p w:rsidR="003A601B" w:rsidRDefault="003A601B" w:rsidP="003A601B">
      <w:pPr>
        <w:pStyle w:val="Caption"/>
        <w:keepNext/>
      </w:pPr>
      <w:r>
        <w:t xml:space="preserve">Table </w:t>
      </w:r>
      <w:r>
        <w:fldChar w:fldCharType="begin"/>
      </w:r>
      <w:r>
        <w:instrText xml:space="preserve"> SEQ Table \* ARABIC </w:instrText>
      </w:r>
      <w:r>
        <w:fldChar w:fldCharType="separate"/>
      </w:r>
      <w:r>
        <w:rPr>
          <w:noProof/>
        </w:rPr>
        <w:t>11</w:t>
      </w:r>
      <w:r>
        <w:fldChar w:fldCharType="end"/>
      </w:r>
      <w:r>
        <w:t xml:space="preserve">: </w:t>
      </w:r>
      <w:r w:rsidRPr="00C85F76">
        <w:t xml:space="preserve">characteristics check </w:t>
      </w:r>
      <w:r>
        <w:t>education</w:t>
      </w:r>
    </w:p>
    <w:tbl>
      <w:tblPr>
        <w:tblW w:w="4920" w:type="dxa"/>
        <w:tblInd w:w="93" w:type="dxa"/>
        <w:tblLook w:val="04A0" w:firstRow="1" w:lastRow="0" w:firstColumn="1" w:lastColumn="0" w:noHBand="0" w:noVBand="1"/>
      </w:tblPr>
      <w:tblGrid>
        <w:gridCol w:w="1440"/>
        <w:gridCol w:w="1160"/>
        <w:gridCol w:w="1160"/>
        <w:gridCol w:w="1160"/>
      </w:tblGrid>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2007 - 2013</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2007 - 2017</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2013 - 2017</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VARIABLES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education</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education</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education</w:t>
            </w: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time</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0.0807***</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0.0128</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-0.0678**</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(0.0268)</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(0.0259)</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(0.0277)</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treated</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0.2010***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0.2010***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0.1619***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(0.0257)</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(0.0255)</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(0.0281)</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DID</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-0.0392</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-0.0280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0.0111</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(0.0380)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(0.0357)</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(0.0379)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Constant</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0.2749***</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0.2749***</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0.3556***</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(0.0180)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(0.0178)</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(0.0200)</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Observations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2,586</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2,881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2,671</w:t>
            </w:r>
          </w:p>
        </w:tc>
      </w:tr>
      <w:tr w:rsidR="00D8016F" w:rsidRPr="00D8016F" w:rsidTr="00D8016F">
        <w:trPr>
          <w:trHeight w:val="255"/>
        </w:trPr>
        <w:tc>
          <w:tcPr>
            <w:tcW w:w="1440" w:type="dxa"/>
            <w:tcBorders>
              <w:top w:val="nil"/>
              <w:left w:val="nil"/>
              <w:bottom w:val="single" w:sz="4" w:space="0" w:color="000000"/>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R-squared</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0.0395</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0.0370</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0.0317</w:t>
            </w:r>
          </w:p>
        </w:tc>
      </w:tr>
      <w:tr w:rsidR="00D8016F" w:rsidRPr="00D8016F" w:rsidTr="00D8016F">
        <w:trPr>
          <w:trHeight w:val="255"/>
        </w:trPr>
        <w:tc>
          <w:tcPr>
            <w:tcW w:w="3760" w:type="dxa"/>
            <w:gridSpan w:val="3"/>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Standard errors in parentheses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2600" w:type="dxa"/>
            <w:gridSpan w:val="2"/>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p&lt;0.01, ** p&lt;0.05, * p&lt;0.1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bl>
    <w:p w:rsidR="00D8016F" w:rsidRDefault="00D8016F"/>
    <w:p w:rsidR="00D8016F" w:rsidRDefault="00D8016F"/>
    <w:p w:rsidR="003A601B" w:rsidRDefault="003A601B" w:rsidP="003A601B">
      <w:pPr>
        <w:pStyle w:val="Caption"/>
        <w:keepNext/>
      </w:pPr>
      <w:r>
        <w:t xml:space="preserve">Table </w:t>
      </w:r>
      <w:r>
        <w:fldChar w:fldCharType="begin"/>
      </w:r>
      <w:r>
        <w:instrText xml:space="preserve"> SEQ Table \* ARABIC </w:instrText>
      </w:r>
      <w:r>
        <w:fldChar w:fldCharType="separate"/>
      </w:r>
      <w:r>
        <w:rPr>
          <w:noProof/>
        </w:rPr>
        <w:t>12</w:t>
      </w:r>
      <w:r>
        <w:fldChar w:fldCharType="end"/>
      </w:r>
      <w:r>
        <w:t xml:space="preserve">: </w:t>
      </w:r>
      <w:r w:rsidRPr="00475A95">
        <w:t>characteristics check</w:t>
      </w:r>
      <w:r>
        <w:t xml:space="preserve"> net income</w:t>
      </w:r>
    </w:p>
    <w:tbl>
      <w:tblPr>
        <w:tblW w:w="5466" w:type="dxa"/>
        <w:tblInd w:w="93" w:type="dxa"/>
        <w:tblLook w:val="04A0" w:firstRow="1" w:lastRow="0" w:firstColumn="1" w:lastColumn="0" w:noHBand="0" w:noVBand="1"/>
      </w:tblPr>
      <w:tblGrid>
        <w:gridCol w:w="1440"/>
        <w:gridCol w:w="1342"/>
        <w:gridCol w:w="1342"/>
        <w:gridCol w:w="1342"/>
      </w:tblGrid>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2007 - 2013</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2007 - 2017</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2013 - 2017</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VARIABLES</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Net Income</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Net Income</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Net Income</w:t>
            </w: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time</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2,964</w:t>
            </w:r>
            <w:r w:rsidRPr="00D8016F">
              <w:rPr>
                <w:rFonts w:ascii="Calibri" w:eastAsia="Times New Roman" w:hAnsi="Calibri" w:cs="Times New Roman"/>
                <w:color w:val="auto"/>
                <w:sz w:val="20"/>
                <w:szCs w:val="20"/>
                <w:lang w:eastAsia="en-US" w:bidi="ar-SA"/>
              </w:rPr>
              <w:t xml:space="preserve"> </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2,933</w:t>
            </w:r>
            <w:r w:rsidRPr="00D8016F">
              <w:rPr>
                <w:rFonts w:ascii="Calibri" w:eastAsia="Times New Roman" w:hAnsi="Calibri" w:cs="Times New Roman"/>
                <w:color w:val="auto"/>
                <w:sz w:val="20"/>
                <w:szCs w:val="20"/>
                <w:lang w:eastAsia="en-US" w:bidi="ar-SA"/>
              </w:rPr>
              <w:t xml:space="preserve"> </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-31.3424</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(752</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(802</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(872</w:t>
            </w:r>
            <w:r w:rsidR="00D8016F" w:rsidRPr="00D8016F">
              <w:rPr>
                <w:rFonts w:ascii="Calibri" w:eastAsia="Times New Roman" w:hAnsi="Calibri" w:cs="Times New Roman"/>
                <w:color w:val="auto"/>
                <w:sz w:val="20"/>
                <w:szCs w:val="20"/>
                <w:lang w:eastAsia="en-US" w:bidi="ar-SA"/>
              </w:rPr>
              <w:t>)</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treated</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14,764</w:t>
            </w:r>
            <w:r w:rsidRPr="00D8016F">
              <w:rPr>
                <w:rFonts w:ascii="Calibri" w:eastAsia="Times New Roman" w:hAnsi="Calibri" w:cs="Times New Roman"/>
                <w:color w:val="auto"/>
                <w:sz w:val="20"/>
                <w:szCs w:val="20"/>
                <w:lang w:eastAsia="en-US" w:bidi="ar-SA"/>
              </w:rPr>
              <w:t xml:space="preserve"> </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14,764</w:t>
            </w:r>
            <w:r w:rsidRPr="00D8016F">
              <w:rPr>
                <w:rFonts w:ascii="Calibri" w:eastAsia="Times New Roman" w:hAnsi="Calibri" w:cs="Times New Roman"/>
                <w:color w:val="auto"/>
                <w:sz w:val="20"/>
                <w:szCs w:val="20"/>
                <w:lang w:eastAsia="en-US" w:bidi="ar-SA"/>
              </w:rPr>
              <w:t xml:space="preserve"> </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13,736</w:t>
            </w:r>
            <w:r w:rsidRPr="00D8016F">
              <w:rPr>
                <w:rFonts w:ascii="Calibri" w:eastAsia="Times New Roman" w:hAnsi="Calibri" w:cs="Times New Roman"/>
                <w:color w:val="auto"/>
                <w:sz w:val="20"/>
                <w:szCs w:val="20"/>
                <w:lang w:eastAsia="en-US" w:bidi="ar-SA"/>
              </w:rPr>
              <w:t xml:space="preserve"> </w:t>
            </w:r>
            <w:r w:rsidR="00D8016F" w:rsidRPr="00D8016F">
              <w:rPr>
                <w:rFonts w:ascii="Calibri" w:eastAsia="Times New Roman" w:hAnsi="Calibri" w:cs="Times New Roman"/>
                <w:color w:val="auto"/>
                <w:sz w:val="20"/>
                <w:szCs w:val="20"/>
                <w:lang w:eastAsia="en-US" w:bidi="ar-SA"/>
              </w:rPr>
              <w:t>***</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(721</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(789</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(885</w:t>
            </w:r>
            <w:r w:rsidR="00D8016F" w:rsidRPr="00D8016F">
              <w:rPr>
                <w:rFonts w:ascii="Calibri" w:eastAsia="Times New Roman" w:hAnsi="Calibri" w:cs="Times New Roman"/>
                <w:color w:val="auto"/>
                <w:sz w:val="20"/>
                <w:szCs w:val="20"/>
                <w:lang w:eastAsia="en-US" w:bidi="ar-SA"/>
              </w:rPr>
              <w:t>)</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DID</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-1,028</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403</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1,431</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(1,065</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(1,105</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(1,193</w:t>
            </w:r>
            <w:r w:rsidR="00D8016F" w:rsidRPr="00D8016F">
              <w:rPr>
                <w:rFonts w:ascii="Calibri" w:eastAsia="Times New Roman" w:hAnsi="Calibri" w:cs="Times New Roman"/>
                <w:color w:val="auto"/>
                <w:sz w:val="20"/>
                <w:szCs w:val="20"/>
                <w:lang w:eastAsia="en-US" w:bidi="ar-SA"/>
              </w:rPr>
              <w:t>)</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Constant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13,641</w:t>
            </w:r>
            <w:r w:rsidRPr="00D8016F">
              <w:rPr>
                <w:rFonts w:ascii="Calibri" w:eastAsia="Times New Roman" w:hAnsi="Calibri" w:cs="Times New Roman"/>
                <w:color w:val="auto"/>
                <w:sz w:val="20"/>
                <w:szCs w:val="20"/>
                <w:lang w:eastAsia="en-US" w:bidi="ar-SA"/>
              </w:rPr>
              <w:t xml:space="preserve"> </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13,641</w:t>
            </w:r>
            <w:r w:rsidRPr="00D8016F">
              <w:rPr>
                <w:rFonts w:ascii="Calibri" w:eastAsia="Times New Roman" w:hAnsi="Calibri" w:cs="Times New Roman"/>
                <w:color w:val="auto"/>
                <w:sz w:val="20"/>
                <w:szCs w:val="20"/>
                <w:lang w:eastAsia="en-US" w:bidi="ar-SA"/>
              </w:rPr>
              <w:t xml:space="preserve"> </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16,605</w:t>
            </w:r>
            <w:r w:rsidRPr="00D8016F">
              <w:rPr>
                <w:rFonts w:ascii="Calibri" w:eastAsia="Times New Roman" w:hAnsi="Calibri" w:cs="Times New Roman"/>
                <w:color w:val="auto"/>
                <w:sz w:val="20"/>
                <w:szCs w:val="20"/>
                <w:lang w:eastAsia="en-US" w:bidi="ar-SA"/>
              </w:rPr>
              <w:t xml:space="preserve"> </w:t>
            </w:r>
            <w:r w:rsidR="00D8016F" w:rsidRPr="00D8016F">
              <w:rPr>
                <w:rFonts w:ascii="Calibri" w:eastAsia="Times New Roman" w:hAnsi="Calibri" w:cs="Times New Roman"/>
                <w:color w:val="auto"/>
                <w:sz w:val="20"/>
                <w:szCs w:val="20"/>
                <w:lang w:eastAsia="en-US" w:bidi="ar-SA"/>
              </w:rPr>
              <w:t>***</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(505</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(552</w:t>
            </w:r>
            <w:r w:rsidR="00D8016F" w:rsidRPr="00D8016F">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rsidR="00D8016F" w:rsidRPr="00D8016F" w:rsidRDefault="003A601B" w:rsidP="003A601B">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(631</w:t>
            </w:r>
            <w:r w:rsidR="00D8016F" w:rsidRPr="00D8016F">
              <w:rPr>
                <w:rFonts w:ascii="Calibri" w:eastAsia="Times New Roman" w:hAnsi="Calibri" w:cs="Times New Roman"/>
                <w:color w:val="auto"/>
                <w:sz w:val="20"/>
                <w:szCs w:val="20"/>
                <w:lang w:eastAsia="en-US" w:bidi="ar-SA"/>
              </w:rPr>
              <w:t>)</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Observations</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2,586</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2,881</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2,671</w:t>
            </w:r>
          </w:p>
        </w:tc>
      </w:tr>
      <w:tr w:rsidR="00D8016F" w:rsidRPr="00D8016F" w:rsidTr="00D8016F">
        <w:trPr>
          <w:trHeight w:val="255"/>
        </w:trPr>
        <w:tc>
          <w:tcPr>
            <w:tcW w:w="1440" w:type="dxa"/>
            <w:tcBorders>
              <w:top w:val="nil"/>
              <w:left w:val="nil"/>
              <w:bottom w:val="single" w:sz="4" w:space="0" w:color="000000"/>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R-squared</w:t>
            </w:r>
          </w:p>
        </w:tc>
        <w:tc>
          <w:tcPr>
            <w:tcW w:w="1342"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0.2255</w:t>
            </w:r>
          </w:p>
        </w:tc>
        <w:tc>
          <w:tcPr>
            <w:tcW w:w="1342"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0.2166</w:t>
            </w:r>
          </w:p>
        </w:tc>
        <w:tc>
          <w:tcPr>
            <w:tcW w:w="1342"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0.1855</w:t>
            </w:r>
          </w:p>
        </w:tc>
      </w:tr>
      <w:tr w:rsidR="00D8016F" w:rsidRPr="00D8016F" w:rsidTr="00D8016F">
        <w:trPr>
          <w:trHeight w:val="255"/>
        </w:trPr>
        <w:tc>
          <w:tcPr>
            <w:tcW w:w="4124" w:type="dxa"/>
            <w:gridSpan w:val="3"/>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Standard errors in parentheses</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2782" w:type="dxa"/>
            <w:gridSpan w:val="2"/>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p&lt;0.01, ** p&lt;0.05, * p&lt;0.1</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bl>
    <w:p w:rsidR="006B3ABA" w:rsidRDefault="006B3ABA"/>
    <w:p w:rsidR="00D8016F" w:rsidRDefault="00D8016F"/>
    <w:p w:rsidR="00452ACD" w:rsidRPr="008A451C" w:rsidRDefault="008A451C">
      <w:pPr>
        <w:rPr>
          <w:b/>
          <w:bCs/>
          <w:lang w:val="nl-NL"/>
        </w:rPr>
      </w:pPr>
      <w:r w:rsidRPr="008A451C">
        <w:rPr>
          <w:b/>
          <w:bCs/>
          <w:lang w:val="nl-NL"/>
        </w:rPr>
        <w:t>Literatuur</w:t>
      </w:r>
    </w:p>
    <w:p w:rsidR="00452ACD" w:rsidRPr="008A451C" w:rsidRDefault="00452ACD">
      <w:pPr>
        <w:rPr>
          <w:b/>
          <w:bCs/>
          <w:lang w:val="nl-NL"/>
        </w:rPr>
      </w:pPr>
    </w:p>
    <w:p w:rsidR="00452ACD" w:rsidRDefault="008A451C">
      <w:proofErr w:type="spellStart"/>
      <w:r w:rsidRPr="008A451C">
        <w:rPr>
          <w:lang w:val="nl-NL"/>
        </w:rPr>
        <w:t>Aittomäki</w:t>
      </w:r>
      <w:proofErr w:type="spellEnd"/>
      <w:r w:rsidRPr="008A451C">
        <w:rPr>
          <w:lang w:val="nl-NL"/>
        </w:rPr>
        <w:t xml:space="preserve">, </w:t>
      </w:r>
      <w:proofErr w:type="spellStart"/>
      <w:r w:rsidRPr="008A451C">
        <w:rPr>
          <w:lang w:val="nl-NL"/>
        </w:rPr>
        <w:t>Martikainen</w:t>
      </w:r>
      <w:proofErr w:type="spellEnd"/>
      <w:r w:rsidRPr="008A451C">
        <w:rPr>
          <w:lang w:val="nl-NL"/>
        </w:rPr>
        <w:t xml:space="preserve">, </w:t>
      </w:r>
      <w:proofErr w:type="spellStart"/>
      <w:r w:rsidRPr="008A451C">
        <w:rPr>
          <w:lang w:val="nl-NL"/>
        </w:rPr>
        <w:t>Laaksonen</w:t>
      </w:r>
      <w:proofErr w:type="spellEnd"/>
      <w:r w:rsidRPr="008A451C">
        <w:rPr>
          <w:lang w:val="nl-NL"/>
        </w:rPr>
        <w:t xml:space="preserve">, </w:t>
      </w:r>
      <w:proofErr w:type="spellStart"/>
      <w:r w:rsidRPr="008A451C">
        <w:rPr>
          <w:lang w:val="nl-NL"/>
        </w:rPr>
        <w:t>Lahelma</w:t>
      </w:r>
      <w:proofErr w:type="spellEnd"/>
      <w:r w:rsidRPr="008A451C">
        <w:rPr>
          <w:lang w:val="nl-NL"/>
        </w:rPr>
        <w:t xml:space="preserve">, &amp; </w:t>
      </w:r>
      <w:proofErr w:type="spellStart"/>
      <w:r w:rsidRPr="008A451C">
        <w:rPr>
          <w:lang w:val="nl-NL"/>
        </w:rPr>
        <w:t>Rahkonen</w:t>
      </w:r>
      <w:proofErr w:type="spellEnd"/>
      <w:r w:rsidRPr="008A451C">
        <w:rPr>
          <w:lang w:val="nl-NL"/>
        </w:rPr>
        <w:t xml:space="preserve">. </w:t>
      </w:r>
      <w:r>
        <w:t>(2010). The associations of household wealth and income with self-rated health – A study on economic advantage in middle-aged Finnish men and women. Social Science &amp; Medicine, 71(5), 1018-1026.</w:t>
      </w:r>
    </w:p>
    <w:p w:rsidR="00452ACD" w:rsidRDefault="00452ACD"/>
    <w:p w:rsidR="00452ACD" w:rsidRDefault="008A451C" w:rsidP="008619C6">
      <w:proofErr w:type="spellStart"/>
      <w:r>
        <w:t>Apouey</w:t>
      </w:r>
      <w:proofErr w:type="spellEnd"/>
      <w:r>
        <w:t>, B., &amp; Clark, A. (2015). Winning Big but Feeling no Better? The Effect of Lottery Prizes on Physical and Mental Health. Health Economics, 24(5), 516-538.</w:t>
      </w:r>
    </w:p>
    <w:p w:rsidR="00452ACD" w:rsidRDefault="00452ACD"/>
    <w:p w:rsidR="00452ACD" w:rsidRDefault="008A451C" w:rsidP="008619C6">
      <w:r>
        <w:t>Au, N., &amp; Johnston, D. (2015). Too Much of a Good Thing? Exploring the Impact of Wealth on Weight. Health Economics, 24(11), 1403-1421.</w:t>
      </w:r>
    </w:p>
    <w:p w:rsidR="00452ACD" w:rsidRDefault="00452ACD"/>
    <w:p w:rsidR="00452ACD" w:rsidRDefault="008A451C">
      <w:proofErr w:type="spellStart"/>
      <w:r>
        <w:t>Cai</w:t>
      </w:r>
      <w:proofErr w:type="spellEnd"/>
      <w:r>
        <w:t>, L. (2009). Be wealthy to stay healthy: An analysis of older Australians using the HILDA survey. Journal of Sociology, 45(1), 55-70.</w:t>
      </w:r>
    </w:p>
    <w:p w:rsidR="00452ACD" w:rsidRDefault="00452ACD"/>
    <w:p w:rsidR="00452ACD" w:rsidRDefault="008A451C">
      <w:proofErr w:type="spellStart"/>
      <w:r>
        <w:t>CentERdata</w:t>
      </w:r>
      <w:proofErr w:type="spellEnd"/>
      <w:r>
        <w:t xml:space="preserve">. (2019). DHS data access. Retrieved January 2, 2019, from </w:t>
      </w:r>
      <w:hyperlink r:id="rId8">
        <w:r>
          <w:rPr>
            <w:rStyle w:val="InternetLink"/>
          </w:rPr>
          <w:t>https://www.dhsdata.nl/site/users/login</w:t>
        </w:r>
      </w:hyperlink>
    </w:p>
    <w:p w:rsidR="00452ACD" w:rsidRDefault="00452ACD"/>
    <w:p w:rsidR="00452ACD" w:rsidRDefault="008A451C">
      <w:pPr>
        <w:rPr>
          <w:rStyle w:val="InternetLink"/>
        </w:rPr>
      </w:pPr>
      <w:proofErr w:type="spellStart"/>
      <w:r>
        <w:t>CentERdata</w:t>
      </w:r>
      <w:proofErr w:type="spellEnd"/>
      <w:r>
        <w:t>. (</w:t>
      </w:r>
      <w:proofErr w:type="spellStart"/>
      <w:r>
        <w:t>n.d.</w:t>
      </w:r>
      <w:proofErr w:type="spellEnd"/>
      <w:r>
        <w:t xml:space="preserve">). DHS data access | CentERdata.nl. Retrieved January 2, 2019, from </w:t>
      </w:r>
      <w:hyperlink r:id="rId9">
        <w:r>
          <w:rPr>
            <w:rStyle w:val="InternetLink"/>
          </w:rPr>
          <w:t>https://www.centerdata.nl/en/databank/dhs-data-access</w:t>
        </w:r>
      </w:hyperlink>
    </w:p>
    <w:p w:rsidR="008619C6" w:rsidRDefault="008619C6">
      <w:pPr>
        <w:rPr>
          <w:rStyle w:val="InternetLink"/>
        </w:rPr>
      </w:pPr>
    </w:p>
    <w:p w:rsidR="008619C6" w:rsidRDefault="008619C6" w:rsidP="008619C6">
      <w:r w:rsidRPr="008619C6">
        <w:rPr>
          <w:lang w:val="nl-NL"/>
        </w:rPr>
        <w:t xml:space="preserve">Zilveren Kruis. (2019). Eigen risico. Wat is het en waarom betaalt u het? - Zilveren Kruis. </w:t>
      </w:r>
      <w:r>
        <w:t>Retrieved January 15, 2019, from https://www.zilverenkruis.nl/Consumenten/zorgverzekering/basisverzekering/Paginas/eigen-risico.aspx</w:t>
      </w:r>
    </w:p>
    <w:p w:rsidR="008619C6" w:rsidRDefault="008619C6"/>
    <w:p w:rsidR="00452ACD" w:rsidRDefault="00452ACD"/>
    <w:p w:rsidR="00452ACD" w:rsidRDefault="008A451C">
      <w:r>
        <w:t xml:space="preserve">Idler, E., &amp; </w:t>
      </w:r>
      <w:proofErr w:type="spellStart"/>
      <w:r>
        <w:t>Benyamini</w:t>
      </w:r>
      <w:proofErr w:type="spellEnd"/>
      <w:r>
        <w:t>, Y. (1997). Self-Rated Health and Mortality: A Review of Twenty-Seven Community Studies. Journal of Health and Social Behavior, 38(1), 21-37.</w:t>
      </w:r>
    </w:p>
    <w:p w:rsidR="00452ACD" w:rsidRDefault="00452ACD"/>
    <w:p w:rsidR="00452ACD" w:rsidRDefault="008A451C">
      <w:proofErr w:type="spellStart"/>
      <w:r>
        <w:t>Keese</w:t>
      </w:r>
      <w:proofErr w:type="spellEnd"/>
      <w:r>
        <w:t>, M., &amp; Schmitz, H. (2014). Broke, Ill, and Obese: Is There an Effect of Household Debt on Health? Review of Income and Wealth, 60(3), 525-541.</w:t>
      </w:r>
    </w:p>
    <w:p w:rsidR="00452ACD" w:rsidRDefault="00452ACD"/>
    <w:p w:rsidR="00452ACD" w:rsidRDefault="008A451C">
      <w:r>
        <w:t xml:space="preserve">Kim, B., &amp; </w:t>
      </w:r>
      <w:proofErr w:type="spellStart"/>
      <w:r>
        <w:t>Ruhm</w:t>
      </w:r>
      <w:proofErr w:type="spellEnd"/>
      <w:r>
        <w:t>, C. (2012). Inheritances, health and death. Health Economics, 21(2), 127-144.</w:t>
      </w:r>
    </w:p>
    <w:p w:rsidR="00452ACD" w:rsidRDefault="00452ACD"/>
    <w:p w:rsidR="00452ACD" w:rsidRDefault="008A451C">
      <w:r>
        <w:t>Meer, Miller, &amp; Rosen. (2003). Exploring the health–wealth nexus. Journal of Health Economics, 22(5), 713-730.</w:t>
      </w:r>
    </w:p>
    <w:p w:rsidR="00452ACD" w:rsidRDefault="00452ACD"/>
    <w:p w:rsidR="00452ACD" w:rsidRDefault="008A451C">
      <w:r>
        <w:t xml:space="preserve">Michaud, &amp; Van </w:t>
      </w:r>
      <w:proofErr w:type="spellStart"/>
      <w:r>
        <w:t>Soest</w:t>
      </w:r>
      <w:proofErr w:type="spellEnd"/>
      <w:r>
        <w:t>. (2008). Health and wealth of elderly couples: Causality tests using dynamic panel data models. Journal of Health Economics, 27(5), 1312-1325.</w:t>
      </w:r>
    </w:p>
    <w:p w:rsidR="00452ACD" w:rsidRDefault="00452ACD"/>
    <w:p w:rsidR="00452ACD" w:rsidRDefault="008A451C">
      <w:pPr>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sidRPr="008619C6">
        <w:rPr>
          <w:lang w:val="nl-NL"/>
        </w:rPr>
        <w:t xml:space="preserve">American Journal of </w:t>
      </w:r>
      <w:proofErr w:type="spellStart"/>
      <w:r w:rsidRPr="008619C6">
        <w:rPr>
          <w:lang w:val="nl-NL"/>
        </w:rPr>
        <w:t>Preventive</w:t>
      </w:r>
      <w:proofErr w:type="spellEnd"/>
      <w:r w:rsidRPr="008619C6">
        <w:rPr>
          <w:lang w:val="nl-NL"/>
        </w:rPr>
        <w:t xml:space="preserve"> </w:t>
      </w:r>
      <w:proofErr w:type="spellStart"/>
      <w:r w:rsidRPr="008619C6">
        <w:rPr>
          <w:lang w:val="nl-NL"/>
        </w:rPr>
        <w:t>Medicine</w:t>
      </w:r>
      <w:proofErr w:type="spellEnd"/>
      <w:r w:rsidRPr="008619C6">
        <w:rPr>
          <w:lang w:val="nl-NL"/>
        </w:rPr>
        <w:t>, 33(3), 250-264.</w:t>
      </w:r>
    </w:p>
    <w:p w:rsidR="00AD0F37" w:rsidRPr="008619C6" w:rsidRDefault="00AD0F37">
      <w:pPr>
        <w:rPr>
          <w:lang w:val="nl-NL"/>
        </w:rPr>
      </w:pPr>
    </w:p>
    <w:p w:rsidR="00AD0F37" w:rsidRDefault="00AD0F37" w:rsidP="00AD0F37">
      <w:r w:rsidRPr="00AD0F37">
        <w:rPr>
          <w:lang w:val="nl-NL"/>
        </w:rPr>
        <w:t>UWV. (</w:t>
      </w:r>
      <w:proofErr w:type="spellStart"/>
      <w:r w:rsidRPr="00AD0F37">
        <w:rPr>
          <w:lang w:val="nl-NL"/>
        </w:rPr>
        <w:t>n.d</w:t>
      </w:r>
      <w:proofErr w:type="spellEnd"/>
      <w:r w:rsidRPr="00AD0F37">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452ACD" w:rsidRPr="00AD0F37" w:rsidRDefault="00452ACD"/>
    <w:p w:rsidR="00452ACD" w:rsidRPr="00AD0F37" w:rsidRDefault="00452ACD"/>
    <w:sectPr w:rsidR="00452ACD" w:rsidRPr="00AD0F37">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vA" w:date="2019-01-09T16:21:00Z" w:initials="UvA">
    <w:p w:rsidR="00F15B4E" w:rsidRPr="008A451C" w:rsidRDefault="00F15B4E">
      <w:pPr>
        <w:rPr>
          <w:lang w:val="nl-NL"/>
        </w:rPr>
      </w:pPr>
      <w:r>
        <w:rPr>
          <w:rFonts w:eastAsia="DejaVu Sans" w:cs="DejaVu Sans"/>
          <w:lang w:val="nl-NL" w:eastAsia="en-US" w:bidi="en-US"/>
        </w:rPr>
        <w:t>Kan dit niet gewoon naar beneden naar de data of methoden sectie?</w:t>
      </w:r>
    </w:p>
    <w:p w:rsidR="00F15B4E" w:rsidRPr="008A451C" w:rsidRDefault="00F15B4E">
      <w:pPr>
        <w:rPr>
          <w:lang w:val="nl-NL"/>
        </w:rPr>
      </w:pPr>
    </w:p>
  </w:comment>
  <w:comment w:id="1" w:author="UvA" w:date="2019-01-15T15:26:00Z" w:initials="UvA">
    <w:p w:rsidR="00F15B4E" w:rsidRDefault="00F15B4E">
      <w:pPr>
        <w:pStyle w:val="CommentText"/>
      </w:pPr>
      <w:r>
        <w:rPr>
          <w:rStyle w:val="CommentReference"/>
        </w:rPr>
        <w:annotationRef/>
      </w:r>
      <w:proofErr w:type="spellStart"/>
      <w:r>
        <w:t>Veranderen</w:t>
      </w:r>
      <w:proofErr w:type="spellEnd"/>
    </w:p>
    <w:p w:rsidR="00F15B4E" w:rsidRDefault="00F15B4E">
      <w:pPr>
        <w:pStyle w:val="CommentText"/>
      </w:pPr>
    </w:p>
  </w:comment>
  <w:comment w:id="8" w:author="UvA" w:date="2019-01-09T15:21:00Z" w:initials="UvA">
    <w:p w:rsidR="00F15B4E" w:rsidRDefault="00F15B4E">
      <w:proofErr w:type="spellStart"/>
      <w:r>
        <w:rPr>
          <w:rFonts w:eastAsia="DejaVu Sans" w:cs="DejaVu Sans"/>
          <w:lang w:eastAsia="en-US" w:bidi="en-US"/>
        </w:rPr>
        <w:t>Gevolg</w:t>
      </w:r>
      <w:proofErr w:type="spellEnd"/>
      <w:r>
        <w:rPr>
          <w:rFonts w:eastAsia="DejaVu Sans" w:cs="DejaVu Sans"/>
          <w:lang w:eastAsia="en-US" w:bidi="en-US"/>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ACD"/>
    <w:rsid w:val="002E4A73"/>
    <w:rsid w:val="003A601B"/>
    <w:rsid w:val="00452ACD"/>
    <w:rsid w:val="004D3741"/>
    <w:rsid w:val="004D630A"/>
    <w:rsid w:val="00545B94"/>
    <w:rsid w:val="006B346E"/>
    <w:rsid w:val="006B3ABA"/>
    <w:rsid w:val="008619C6"/>
    <w:rsid w:val="00892F01"/>
    <w:rsid w:val="008A451C"/>
    <w:rsid w:val="00A666AD"/>
    <w:rsid w:val="00AD0F37"/>
    <w:rsid w:val="00D8016F"/>
    <w:rsid w:val="00E2040E"/>
    <w:rsid w:val="00F15B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Pr>
      <w:rFonts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i/>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semiHidden/>
    <w:unhideWhenUsed/>
    <w:rsid w:val="008619C6"/>
    <w:pPr>
      <w:spacing w:before="100" w:beforeAutospacing="1" w:after="100" w:afterAutospacing="1"/>
    </w:pPr>
    <w:rPr>
      <w:rFonts w:ascii="Times New Roman" w:eastAsia="Times New Roman" w:hAnsi="Times New Roman" w:cs="Times New Roman"/>
      <w:color w:val="auto"/>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Pr>
      <w:rFonts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i/>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semiHidden/>
    <w:unhideWhenUsed/>
    <w:rsid w:val="008619C6"/>
    <w:pPr>
      <w:spacing w:before="100" w:beforeAutospacing="1" w:after="100" w:afterAutospacing="1"/>
    </w:pPr>
    <w:rPr>
      <w:rFonts w:ascii="Times New Roman" w:eastAsia="Times New Roman"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2080">
      <w:bodyDiv w:val="1"/>
      <w:marLeft w:val="0"/>
      <w:marRight w:val="0"/>
      <w:marTop w:val="0"/>
      <w:marBottom w:val="0"/>
      <w:divBdr>
        <w:top w:val="none" w:sz="0" w:space="0" w:color="auto"/>
        <w:left w:val="none" w:sz="0" w:space="0" w:color="auto"/>
        <w:bottom w:val="none" w:sz="0" w:space="0" w:color="auto"/>
        <w:right w:val="none" w:sz="0" w:space="0" w:color="auto"/>
      </w:divBdr>
    </w:div>
    <w:div w:id="107165559">
      <w:bodyDiv w:val="1"/>
      <w:marLeft w:val="0"/>
      <w:marRight w:val="0"/>
      <w:marTop w:val="0"/>
      <w:marBottom w:val="0"/>
      <w:divBdr>
        <w:top w:val="none" w:sz="0" w:space="0" w:color="auto"/>
        <w:left w:val="none" w:sz="0" w:space="0" w:color="auto"/>
        <w:bottom w:val="none" w:sz="0" w:space="0" w:color="auto"/>
        <w:right w:val="none" w:sz="0" w:space="0" w:color="auto"/>
      </w:divBdr>
    </w:div>
    <w:div w:id="133067366">
      <w:bodyDiv w:val="1"/>
      <w:marLeft w:val="0"/>
      <w:marRight w:val="0"/>
      <w:marTop w:val="0"/>
      <w:marBottom w:val="0"/>
      <w:divBdr>
        <w:top w:val="none" w:sz="0" w:space="0" w:color="auto"/>
        <w:left w:val="none" w:sz="0" w:space="0" w:color="auto"/>
        <w:bottom w:val="none" w:sz="0" w:space="0" w:color="auto"/>
        <w:right w:val="none" w:sz="0" w:space="0" w:color="auto"/>
      </w:divBdr>
    </w:div>
    <w:div w:id="423770541">
      <w:bodyDiv w:val="1"/>
      <w:marLeft w:val="0"/>
      <w:marRight w:val="0"/>
      <w:marTop w:val="0"/>
      <w:marBottom w:val="0"/>
      <w:divBdr>
        <w:top w:val="none" w:sz="0" w:space="0" w:color="auto"/>
        <w:left w:val="none" w:sz="0" w:space="0" w:color="auto"/>
        <w:bottom w:val="none" w:sz="0" w:space="0" w:color="auto"/>
        <w:right w:val="none" w:sz="0" w:space="0" w:color="auto"/>
      </w:divBdr>
    </w:div>
    <w:div w:id="628164205">
      <w:bodyDiv w:val="1"/>
      <w:marLeft w:val="0"/>
      <w:marRight w:val="0"/>
      <w:marTop w:val="0"/>
      <w:marBottom w:val="0"/>
      <w:divBdr>
        <w:top w:val="none" w:sz="0" w:space="0" w:color="auto"/>
        <w:left w:val="none" w:sz="0" w:space="0" w:color="auto"/>
        <w:bottom w:val="none" w:sz="0" w:space="0" w:color="auto"/>
        <w:right w:val="none" w:sz="0" w:space="0" w:color="auto"/>
      </w:divBdr>
    </w:div>
    <w:div w:id="1103652672">
      <w:bodyDiv w:val="1"/>
      <w:marLeft w:val="0"/>
      <w:marRight w:val="0"/>
      <w:marTop w:val="0"/>
      <w:marBottom w:val="0"/>
      <w:divBdr>
        <w:top w:val="none" w:sz="0" w:space="0" w:color="auto"/>
        <w:left w:val="none" w:sz="0" w:space="0" w:color="auto"/>
        <w:bottom w:val="none" w:sz="0" w:space="0" w:color="auto"/>
        <w:right w:val="none" w:sz="0" w:space="0" w:color="auto"/>
      </w:divBdr>
    </w:div>
    <w:div w:id="1155606287">
      <w:bodyDiv w:val="1"/>
      <w:marLeft w:val="0"/>
      <w:marRight w:val="0"/>
      <w:marTop w:val="0"/>
      <w:marBottom w:val="0"/>
      <w:divBdr>
        <w:top w:val="none" w:sz="0" w:space="0" w:color="auto"/>
        <w:left w:val="none" w:sz="0" w:space="0" w:color="auto"/>
        <w:bottom w:val="none" w:sz="0" w:space="0" w:color="auto"/>
        <w:right w:val="none" w:sz="0" w:space="0" w:color="auto"/>
      </w:divBdr>
    </w:div>
    <w:div w:id="1325284314">
      <w:bodyDiv w:val="1"/>
      <w:marLeft w:val="0"/>
      <w:marRight w:val="0"/>
      <w:marTop w:val="0"/>
      <w:marBottom w:val="0"/>
      <w:divBdr>
        <w:top w:val="none" w:sz="0" w:space="0" w:color="auto"/>
        <w:left w:val="none" w:sz="0" w:space="0" w:color="auto"/>
        <w:bottom w:val="none" w:sz="0" w:space="0" w:color="auto"/>
        <w:right w:val="none" w:sz="0" w:space="0" w:color="auto"/>
      </w:divBdr>
    </w:div>
    <w:div w:id="1373918898">
      <w:bodyDiv w:val="1"/>
      <w:marLeft w:val="0"/>
      <w:marRight w:val="0"/>
      <w:marTop w:val="0"/>
      <w:marBottom w:val="0"/>
      <w:divBdr>
        <w:top w:val="none" w:sz="0" w:space="0" w:color="auto"/>
        <w:left w:val="none" w:sz="0" w:space="0" w:color="auto"/>
        <w:bottom w:val="none" w:sz="0" w:space="0" w:color="auto"/>
        <w:right w:val="none" w:sz="0" w:space="0" w:color="auto"/>
      </w:divBdr>
    </w:div>
    <w:div w:id="1431858034">
      <w:bodyDiv w:val="1"/>
      <w:marLeft w:val="0"/>
      <w:marRight w:val="0"/>
      <w:marTop w:val="0"/>
      <w:marBottom w:val="0"/>
      <w:divBdr>
        <w:top w:val="none" w:sz="0" w:space="0" w:color="auto"/>
        <w:left w:val="none" w:sz="0" w:space="0" w:color="auto"/>
        <w:bottom w:val="none" w:sz="0" w:space="0" w:color="auto"/>
        <w:right w:val="none" w:sz="0" w:space="0" w:color="auto"/>
      </w:divBdr>
    </w:div>
    <w:div w:id="1744795739">
      <w:bodyDiv w:val="1"/>
      <w:marLeft w:val="0"/>
      <w:marRight w:val="0"/>
      <w:marTop w:val="0"/>
      <w:marBottom w:val="0"/>
      <w:divBdr>
        <w:top w:val="none" w:sz="0" w:space="0" w:color="auto"/>
        <w:left w:val="none" w:sz="0" w:space="0" w:color="auto"/>
        <w:bottom w:val="none" w:sz="0" w:space="0" w:color="auto"/>
        <w:right w:val="none" w:sz="0" w:space="0" w:color="auto"/>
      </w:divBdr>
    </w:div>
    <w:div w:id="1832599273">
      <w:bodyDiv w:val="1"/>
      <w:marLeft w:val="0"/>
      <w:marRight w:val="0"/>
      <w:marTop w:val="0"/>
      <w:marBottom w:val="0"/>
      <w:divBdr>
        <w:top w:val="none" w:sz="0" w:space="0" w:color="auto"/>
        <w:left w:val="none" w:sz="0" w:space="0" w:color="auto"/>
        <w:bottom w:val="none" w:sz="0" w:space="0" w:color="auto"/>
        <w:right w:val="none" w:sz="0" w:space="0" w:color="auto"/>
      </w:divBdr>
    </w:div>
    <w:div w:id="1944413823">
      <w:bodyDiv w:val="1"/>
      <w:marLeft w:val="0"/>
      <w:marRight w:val="0"/>
      <w:marTop w:val="0"/>
      <w:marBottom w:val="0"/>
      <w:divBdr>
        <w:top w:val="none" w:sz="0" w:space="0" w:color="auto"/>
        <w:left w:val="none" w:sz="0" w:space="0" w:color="auto"/>
        <w:bottom w:val="none" w:sz="0" w:space="0" w:color="auto"/>
        <w:right w:val="none" w:sz="0" w:space="0" w:color="auto"/>
      </w:divBdr>
    </w:div>
    <w:div w:id="1944919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hsdata.nl/site/users/login"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enterdata.nl/en/databank/dhs-data-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60921-5DED-4FD0-9D1C-5FE8DD423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5464</Words>
  <Characters>31147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36538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4</cp:revision>
  <dcterms:created xsi:type="dcterms:W3CDTF">2019-01-15T13:47:00Z</dcterms:created>
  <dcterms:modified xsi:type="dcterms:W3CDTF">2019-01-15T15:45:00Z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