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Introduction</w:t>
      </w:r>
      <w:r>
        <w:rPr>
          <w:b/>
          <w:bCs/>
          <w:color w:val="000000"/>
          <w:highlight w:val="white"/>
        </w:rPr>
        <w:t>:</w:t>
      </w:r>
    </w:p>
    <w:p>
      <w:pPr>
        <w:pStyle w:val="Normal"/>
        <w:rPr/>
      </w:pPr>
      <w:r>
        <w:rPr/>
        <w:t>The positive correlation between health and wealth has been shown many times. Pollack et al. (2007)</w:t>
      </w:r>
      <w:r>
        <w:rPr>
          <w:rFonts w:cs="Times New Roman" w:ascii="Times New Roman" w:hAnsi="Times New Roman"/>
        </w:rPr>
        <w:t>⁠</w:t>
      </w:r>
      <w:r>
        <w:rPr/>
        <w:t xml:space="preserve"> for example found 29 studies that tested for the correlation between health and wealth. But </w:t>
      </w:r>
      <w:r>
        <w:rPr>
          <w:rFonts w:cs="Times New Roman" w:ascii="Times New Roman" w:hAnsi="Times New Roman"/>
        </w:rPr>
        <w:t>“</w:t>
      </w:r>
      <w:r>
        <w:rP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cs="Times New Roman" w:ascii="Times New Roman" w:hAnsi="Times New Roman"/>
        </w:rPr>
        <w:t>⁠</w:t>
      </w:r>
      <w:r>
        <w:rPr/>
        <w:t>.</w:t>
      </w:r>
    </w:p>
    <w:p>
      <w:pPr>
        <w:pStyle w:val="Normal"/>
        <w:rPr/>
      </w:pPr>
      <w:r>
        <w:rPr/>
        <w:tab/>
        <w:t>As Aittomäki, Martikainen, Laaksonen, Lahelma, and Rahkonen (2010)</w:t>
      </w:r>
      <w:r>
        <w:rPr>
          <w:rFonts w:cs="Times New Roman" w:ascii="Times New Roman" w:hAnsi="Times New Roman"/>
        </w:rPr>
        <w:t>⁠</w:t>
      </w:r>
      <w:r>
        <w:rPr/>
        <w:t xml:space="preserve"> point out, </w:t>
      </w:r>
      <w:r>
        <w:rPr>
          <w:rFonts w:cs="Times New Roman" w:ascii="Times New Roman" w:hAnsi="Times New Roman"/>
        </w:rPr>
        <w:t>“</w:t>
      </w:r>
      <w:r>
        <w:rPr/>
        <w:t>Wealth in particular is not directly affected by changes in labour market participation that may radically alter the current income level</w:t>
      </w:r>
      <w:r>
        <w:rPr>
          <w:rFonts w:cs="Times New Roman" w:ascii="Times New Roman" w:hAnsi="Times New Roman"/>
        </w:rPr>
        <w:t>”</w:t>
      </w:r>
      <w:r>
        <w:rPr/>
        <w:t xml:space="preserve">. This is important </w:t>
      </w:r>
      <w:r>
        <w:rPr>
          <w:rFonts w:cs="Times New Roman" w:ascii="Times New Roman" w:hAnsi="Times New Roman"/>
        </w:rPr>
        <w:t>“…</w:t>
      </w:r>
      <w:r>
        <w:rPr/>
        <w:t xml:space="preserve"> as changes in health and illness are likely to develop over a considerable time span” (Aittomäki, Martikainen, Laaksonen, Lahelma, &amp; Rahkonen, 2010, p. 1025)</w:t>
      </w:r>
      <w:r>
        <w:rPr>
          <w:rFonts w:cs="Times New Roman" w:ascii="Times New Roman" w:hAnsi="Times New Roman"/>
        </w:rPr>
        <w:t>⁠</w:t>
      </w:r>
      <w:r>
        <w:rPr/>
        <w:t xml:space="preserve">.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rPr/>
      </w:pPr>
      <w:r>
        <w:rPr/>
        <w:tab/>
      </w:r>
      <w:commentRangeStart w:id="1"/>
      <w:r>
        <w:rPr/>
        <w:t>To try to find the causal relationship between health and wealth the data from the DNB Household Survey (DHS) from CentERdata.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w:t>
      </w:r>
      <w:r>
        <w:rPr>
          <w:color w:val="000000"/>
          <w:highlight w:val="white"/>
        </w:rPr>
      </w:r>
      <w:commentRangeEnd w:id="1"/>
      <w:r>
        <w:commentReference w:id="1"/>
      </w:r>
      <w:r>
        <w:rPr>
          <w:color w:val="000000"/>
          <w:highlight w:val="white"/>
        </w:rPr>
        <w:t>Using different waves of this dataset will allow this paper to try and find a causal relationship using the difference in difference analysis.</w:t>
      </w:r>
    </w:p>
    <w:p>
      <w:pPr>
        <w:pStyle w:val="Normal"/>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pPr>
        <w:pStyle w:val="Normal"/>
        <w:rPr>
          <w:b/>
          <w:b/>
          <w:bCs/>
          <w:color w:val="000000"/>
          <w:highlight w:val="white"/>
        </w:rPr>
      </w:pPr>
      <w:r>
        <w:rPr>
          <w:b/>
          <w:bCs/>
          <w:color w:val="000000"/>
          <w:highlight w:val="white"/>
        </w:rPr>
      </w:r>
    </w:p>
    <w:p>
      <w:pPr>
        <w:pStyle w:val="Normal"/>
        <w:rPr>
          <w:color w:val="000000"/>
          <w:highlight w:val="white"/>
        </w:rPr>
      </w:pPr>
      <w:r>
        <w:rPr>
          <w:color w:val="000000"/>
          <w:highlight w:val="white"/>
        </w:rPr>
      </w:r>
    </w:p>
    <w:p>
      <w:pPr>
        <w:pStyle w:val="Normal"/>
        <w:rPr>
          <w:highlight w:val="white"/>
        </w:rPr>
      </w:pPr>
      <w:r>
        <w:rPr>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Related literature:</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pPr>
        <w:pStyle w:val="Normal"/>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rPr/>
      </w:pPr>
      <w:r>
        <w:rPr>
          <w:color w:val="000000"/>
          <w:highlight w:val="white"/>
        </w:rPr>
        <w:tab/>
        <w:t>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pPr>
        <w:pStyle w:val="Normal"/>
        <w:rPr/>
      </w:pPr>
      <w:r>
        <w:rPr>
          <w:color w:val="000000"/>
          <w:highlight w:val="white"/>
        </w:rPr>
        <w:t>We control for unobserved heterogeneity by applying fixed-effects methods and furthermore use a subsample of constantly employed individuals plus lagged debt variables to reduce problems of reverse causality</w:t>
      </w:r>
    </w:p>
    <w:p>
      <w:pPr>
        <w:pStyle w:val="Normal"/>
        <w:rPr/>
      </w:pPr>
      <w:r>
        <w:rPr>
          <w:color w:val="000000"/>
          <w:highlight w:val="white"/>
        </w:rPr>
        <w:tab/>
      </w:r>
      <w:bookmarkStart w:id="1" w:name="__UnoMark__2196_363168767"/>
      <w:bookmarkStart w:id="2" w:name="__UnoMark__2194_363168767"/>
      <w:bookmarkStart w:id="3" w:name="__UnoMark__2189_363168767"/>
      <w:bookmarkStart w:id="4" w:name="__UnoMark__2185_363168767"/>
      <w:r>
        <w:rPr>
          <w:color w:val="000000"/>
          <w:highlight w:val="white"/>
        </w:rPr>
        <w:t>Keese and Schmitz (2014)</w:t>
      </w:r>
      <w:bookmarkEnd w:id="1"/>
      <w:bookmarkEnd w:id="2"/>
      <w:bookmarkEnd w:id="3"/>
      <w:bookmarkEnd w:id="4"/>
      <w:r>
        <w:rPr>
          <w:color w:val="000000"/>
          <w:highlight w:val="white"/>
        </w:rPr>
        <w:t>⁠ find a significant causal effect between indebtedness and worse physical and mental health. They control for the unobserver hetrogeneity between health and indebtness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pPr>
        <w:pStyle w:val="Normal"/>
        <w:rPr>
          <w:b/>
          <w:b/>
          <w:bCs/>
          <w:color w:val="000000"/>
          <w:sz w:val="28"/>
          <w:highlight w:val="white"/>
        </w:rPr>
      </w:pPr>
      <w:r>
        <w:rPr>
          <w:b/>
          <w:bCs/>
          <w:color w:val="000000"/>
          <w:sz w:val="28"/>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Institutional section:</w:t>
      </w:r>
    </w:p>
    <w:p>
      <w:pPr>
        <w:pStyle w:val="Normal"/>
        <w:rPr/>
      </w:pPr>
      <w:r>
        <w:rPr>
          <w:bCs/>
          <w:color w:val="000000"/>
          <w:highlight w:val="white"/>
        </w:rPr>
        <w:t xml:space="preserve">As Michaud and Soest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w:t>
      </w:r>
      <w:r>
        <w:rPr>
          <w:bCs/>
          <w:color w:val="000000"/>
          <w:highlight w:val="white"/>
        </w:rPr>
        <w:t>two</w:t>
      </w:r>
      <w:r>
        <w:rPr>
          <w:bCs/>
          <w:color w:val="000000"/>
          <w:highlight w:val="white"/>
        </w:rPr>
        <w:t xml:space="preserve"> subjects of interest here: the obligated health insurance, the paying of salary for a sick person </w:t>
      </w:r>
      <w:r>
        <w:rPr>
          <w:bCs/>
          <w:color w:val="000000"/>
          <w:highlight w:val="white"/>
        </w:rPr>
        <w:t>with and without a permanent contract.</w:t>
      </w:r>
    </w:p>
    <w:p>
      <w:pPr>
        <w:pStyle w:val="Normal"/>
        <w:rPr/>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w:t>
      </w:r>
      <w:r>
        <w:rPr>
          <w:bCs/>
          <w:color w:val="000000"/>
          <w:highlight w:val="white"/>
        </w:rPr>
        <w:t>yearly</w:t>
      </w:r>
      <w:r>
        <w:rPr>
          <w:bCs/>
          <w:color w:val="000000"/>
          <w:highlight w:val="white"/>
        </w:rPr>
        <w:t xml:space="preserve"> deductible which is set at a minimum of </w:t>
      </w:r>
      <w:r>
        <w:rPr>
          <w:rFonts w:cs="Times New Roman" w:ascii="Times New Roman" w:hAnsi="Times New Roman"/>
          <w:bCs/>
          <w:color w:val="000000"/>
          <w:highlight w:val="white"/>
        </w:rPr>
        <w:t>€</w:t>
      </w:r>
      <w:r>
        <w:rPr>
          <w:bCs/>
          <w:color w:val="000000"/>
          <w:highlight w:val="white"/>
        </w:rPr>
        <w:t>385 (</w:t>
      </w:r>
      <w:r>
        <w:rPr/>
        <w:t xml:space="preserve">Eigen risico. </w:t>
      </w:r>
      <w:r>
        <w:rPr>
          <w:lang w:val="nl-NL"/>
        </w:rPr>
        <w:t xml:space="preserve">Wat is het en waarom betaalt u het? - Zilveren Kruis, 2009) and a maximum of </w:t>
      </w:r>
      <w:r>
        <w:rPr>
          <w:rFonts w:cs="Times New Roman" w:ascii="Times New Roman" w:hAnsi="Times New Roman"/>
          <w:lang w:val="nl-NL"/>
        </w:rPr>
        <w:t>€</w:t>
      </w:r>
      <w:r>
        <w:rPr>
          <w:lang w:val="nl-NL"/>
        </w:rPr>
        <w:t xml:space="preserve">885. </w:t>
      </w:r>
      <w:r>
        <w:rPr/>
        <w:t xml:space="preserve">The person who buys the insurance can set his own deductible somewhere between those values. Someone can also receive a “zorgtoeslag”, a benefit to pay your insurance if you are eligible. Therefore, everyone has, and can pay for insurance. </w:t>
      </w:r>
    </w:p>
    <w:p>
      <w:pPr>
        <w:pStyle w:val="Normal"/>
        <w:rPr/>
      </w:pPr>
      <w:r>
        <w:rPr/>
        <w:tab/>
        <w:t xml:space="preserve">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n.d.) When a person without a permanent contract gets sick, salary will be payed for the duration of the contract. When someone is still sick when the contracts ends, he or she can possibly get a benefit (Het Juridisch Loket, n.d.). </w:t>
      </w:r>
      <w:r>
        <w:rPr/>
        <w:t>Therefore, someone who has an income from working but is unable to keep working due to poor health will keep roughly the same income.</w:t>
      </w:r>
    </w:p>
    <w:p>
      <w:pPr>
        <w:pStyle w:val="Normal"/>
        <w:rPr/>
      </w:pPr>
      <w:r>
        <w:rPr/>
        <w:tab/>
      </w:r>
      <w:r>
        <w:rPr/>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pPr>
        <w:pStyle w:val="Normal"/>
        <w:rPr/>
      </w:pPr>
      <w:r>
        <w:rPr/>
        <w:tab/>
      </w:r>
      <w:r>
        <w:rPr/>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pPr>
        <w:pStyle w:val="Normal"/>
        <w:rPr/>
      </w:pPr>
      <w:r>
        <w:rPr/>
        <w:tab/>
      </w:r>
    </w:p>
    <w:p>
      <w:pPr>
        <w:pStyle w:val="Normal"/>
        <w:rPr/>
      </w:pPr>
      <w:r>
        <w:rPr/>
      </w:r>
    </w:p>
    <w:p>
      <w:pPr>
        <w:pStyle w:val="Normal"/>
        <w:rPr/>
      </w:pPr>
      <w:r>
        <w:rPr/>
      </w:r>
    </w:p>
    <w:p>
      <w:pPr>
        <w:pStyle w:val="Normal"/>
        <w:rPr>
          <w:b/>
          <w:b/>
          <w:bCs/>
          <w:color w:val="000000"/>
          <w:sz w:val="28"/>
          <w:highlight w:val="white"/>
        </w:rPr>
      </w:pPr>
      <w:r>
        <w:rPr>
          <w:b/>
          <w:bCs/>
          <w:color w:val="000000"/>
          <w:sz w:val="28"/>
          <w:highlight w:val="white"/>
        </w:rPr>
        <w:t>Data</w:t>
      </w:r>
    </w:p>
    <w:p>
      <w:pPr>
        <w:pStyle w:val="Normal"/>
        <w:rPr>
          <w:rStyle w:val="Bullets"/>
          <w:highlight w:val="white"/>
        </w:rPr>
      </w:pPr>
      <w:r>
        <w:rPr>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.d.)</w:t>
      </w:r>
      <w:r>
        <w:rPr>
          <w:rStyle w:val="Bullets"/>
          <w:rFonts w:eastAsia="Arial Unicode MS" w:cs="Arial Unicode MS" w:ascii="Arial Unicode MS" w:hAnsi="Arial Unicode MS"/>
          <w:highlight w:val="white"/>
        </w:rPr>
        <w:t>⁠</w:t>
      </w:r>
      <w:r>
        <w:rPr>
          <w:rStyle w:val="Bullets"/>
          <w:highlight w:val="white"/>
        </w:rPr>
        <w:t xml:space="preserve"> </w:t>
      </w:r>
    </w:p>
    <w:p>
      <w:pPr>
        <w:pStyle w:val="Normal"/>
        <w:rPr/>
      </w:pPr>
      <w:r>
        <w:rPr>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pPr>
        <w:pStyle w:val="Normal"/>
        <w:rPr/>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(Idler &amp; Benyamini, 1997)</w:t>
      </w:r>
      <w:r>
        <w:rPr>
          <w:rFonts w:cs="Times New Roman" w:ascii="Times New Roman" w:hAnsi="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pPr>
        <w:pStyle w:val="Normal"/>
        <w:rPr/>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pPr>
        <w:pStyle w:val="Normal"/>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ind w:left="360" w:hanging="0"/>
              <w:rPr>
                <w:color w:val="000000"/>
                <w:spacing w:val="15"/>
              </w:rPr>
            </w:pPr>
            <w:r>
              <w:rPr>
                <w:b/>
                <w:bCs/>
                <w:color w:val="000000"/>
                <w:spacing w:val="15"/>
              </w:rPr>
              <w:t>Assets</w:t>
            </w:r>
          </w:p>
        </w:tc>
        <w:tc>
          <w:tcPr>
            <w:tcW w:w="4926" w:type="dxa"/>
            <w:tcBorders/>
            <w:shd w:color="auto" w:fill="auto" w:val="clear"/>
          </w:tcPr>
          <w:p>
            <w:pPr>
              <w:pStyle w:val="Normal"/>
              <w:spacing w:lineRule="auto" w:line="240" w:before="0" w:after="0"/>
              <w:ind w:left="360" w:hanging="0"/>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deposit books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growth funds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put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cars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boats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rPr>
            </w:pPr>
            <w:r>
              <w:rPr>
                <w:b w:val="false"/>
                <w:bCs/>
                <w:color w:val="000000"/>
                <w:spacing w:val="15"/>
              </w:rPr>
              <w:t>business equity self-employed</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keepNext/>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Caption1"/>
        <w:jc w:val="right"/>
        <w:rPr/>
      </w:pPr>
      <w:r>
        <w:rPr/>
        <w:t>Source: CBS</w:t>
      </w:r>
    </w:p>
    <w:p>
      <w:pPr>
        <w:pStyle w:val="Normal"/>
        <w:jc w:val="right"/>
        <w:rPr>
          <w:color w:val="000000"/>
          <w:spacing w:val="15"/>
          <w:highlight w:val="white"/>
        </w:rPr>
      </w:pPr>
      <w:r>
        <w:rPr>
          <w:color w:val="000000"/>
          <w:spacing w:val="15"/>
          <w:highlight w:val="white"/>
        </w:rPr>
        <w:tab/>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pPr>
        <w:pStyle w:val="Normal"/>
        <w:rPr/>
      </w:pPr>
      <w:r>
        <w:rPr/>
        <w:tab/>
        <w:t xml:space="preserve">Table two shows the number of observations per year and the size of the treatment group, consisting of home-owners and the control group, consisting of tenants. In all the three years the ratio of treatment group to control group is rather consistent and lies around 1:1. There is a trend where the treatment group grows slightly between </w:t>
      </w:r>
      <w:commentRangeStart w:id="2"/>
      <w:r>
        <w:rPr/>
        <w:t>the years</w:t>
      </w:r>
      <w:r>
        <w:rPr/>
      </w:r>
      <w:commentRangeEnd w:id="2"/>
      <w:r>
        <w:commentReference w:id="2"/>
      </w:r>
      <w:r>
        <w:rPr/>
        <w:t>.</w:t>
      </w:r>
    </w:p>
    <w:p>
      <w:pPr>
        <w:pStyle w:val="Normal"/>
        <w:rPr>
          <w:highlight w:val="white"/>
        </w:rPr>
      </w:pPr>
      <w:r>
        <w:rPr>
          <w:highlight w:val="white"/>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color w:val="000000"/>
                <w:spacing w:val="15"/>
                <w:highlight w:val="white"/>
              </w:rPr>
            </w:pPr>
            <w:r>
              <w:rPr>
                <w:b/>
                <w:bCs/>
                <w:color w:val="000000"/>
                <w:spacing w:val="15"/>
                <w:highlight w:val="white"/>
              </w:rPr>
              <w:t>Year</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treatment group</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control group</w:t>
            </w:r>
          </w:p>
        </w:tc>
        <w:tc>
          <w:tcPr>
            <w:tcW w:w="2032"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000000"/>
                <w:spacing w:val="15"/>
              </w:rPr>
            </w:pPr>
            <w:r>
              <w:rPr>
                <w:b/>
                <w:bCs/>
                <w:color w:val="000000"/>
                <w:spacing w:val="15"/>
              </w:rPr>
              <w:t>2013</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rPr/>
      </w:pPr>
      <w:r>
        <w:rP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pPr>
        <w:pStyle w:val="Normal"/>
        <w:rPr/>
      </w:pPr>
      <w:r>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rPr>
          <w:b/>
          <w:b/>
          <w:bCs/>
          <w:color w:val="000000"/>
          <w:spacing w:val="15"/>
          <w:highlight w:val="white"/>
        </w:rPr>
      </w:pPr>
      <w:r>
        <w:rPr>
          <w:b/>
          <w:bCs/>
          <w:color w:val="000000"/>
          <w:spacing w:val="15"/>
          <w:highlight w:val="white"/>
        </w:rPr>
      </w:r>
    </w:p>
    <w:p>
      <w:pPr>
        <w:pStyle w:val="Normal"/>
        <w:rPr>
          <w:b/>
          <w:b/>
          <w:bCs/>
          <w:color w:val="000000"/>
          <w:spacing w:val="15"/>
          <w:highlight w:val="white"/>
        </w:rPr>
      </w:pPr>
      <w:r>
        <w:rPr>
          <w:b/>
          <w:bCs/>
          <w:color w:val="000000"/>
          <w:spacing w:val="15"/>
          <w:highlight w:val="white"/>
        </w:rPr>
      </w:r>
    </w:p>
    <w:p>
      <w:pPr>
        <w:pStyle w:val="Normal"/>
        <w:rPr>
          <w:sz w:val="28"/>
        </w:rPr>
      </w:pPr>
      <w:r>
        <w:rPr>
          <w:b/>
          <w:bCs/>
          <w:color w:val="000000"/>
          <w:spacing w:val="15"/>
          <w:sz w:val="28"/>
          <w:highlight w:val="white"/>
        </w:rPr>
        <w:t>Methods</w:t>
      </w:r>
    </w:p>
    <w:p>
      <w:pPr>
        <w:pStyle w:val="Normal"/>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rPr/>
      </w:pPr>
      <w:r>
        <w:rP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pPr>
        <w:pStyle w:val="Normal"/>
        <w:ind w:firstLine="720"/>
        <w:rPr/>
      </w:pPr>
      <w:r>
        <w:rPr/>
        <w:t xml:space="preserve"> </w:t>
      </w:r>
      <w:r>
        <w:rPr/>
        <w:t xml:space="preserve">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pPr>
        <w:pStyle w:val="Normal"/>
        <w:rPr/>
      </w:pPr>
      <w:r>
        <w:rP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pPr>
        <w:pStyle w:val="Normal"/>
        <w:rPr/>
      </w:pPr>
      <w:r>
        <w:rPr/>
        <w:tab/>
        <w:tab/>
      </w:r>
    </w:p>
    <w:p>
      <w:pPr>
        <w:pStyle w:val="Normal"/>
        <w:rPr/>
      </w:pPr>
      <w:r>
        <w:rPr/>
        <w:t>The following regression model will be used:</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8" w:type="dxa"/>
            <w:tcBorders>
              <w:top w:val="nil"/>
              <w:left w:val="nil"/>
              <w:bottom w:val="nil"/>
              <w:right w:val="nil"/>
              <w:insideH w:val="nil"/>
              <w:insideV w:val="nil"/>
            </w:tcBorders>
            <w:shd w:color="auto" w:fill="auto" w:val="clear"/>
          </w:tcPr>
          <w:p>
            <w:pPr>
              <w:pStyle w:val="Normal"/>
              <w:jc w:val="right"/>
              <w:rPr/>
            </w:pPr>
            <w:bookmarkStart w:id="5" w:name="_Ref534894565"/>
            <w:r>
              <w:rPr/>
              <w:t>(</w:t>
            </w:r>
            <w:r>
              <w:rPr/>
              <w:fldChar w:fldCharType="begin"/>
            </w:r>
            <w:r>
              <w:instrText> SEQ Equation \* ARABIC </w:instrText>
            </w:r>
            <w:r>
              <w:fldChar w:fldCharType="separate"/>
            </w:r>
            <w:r>
              <w:t>1</w:t>
            </w:r>
            <w:r>
              <w:fldChar w:fldCharType="end"/>
            </w:r>
            <w:bookmarkEnd w:id="5"/>
            <w:r>
              <w:rPr/>
              <w:t>)</w:t>
            </w:r>
          </w:p>
        </w:tc>
      </w:tr>
    </w:tbl>
    <w:p>
      <w:pPr>
        <w:pStyle w:val="Normal"/>
        <w:rPr/>
      </w:pPr>
      <w:r>
        <w:rPr/>
      </w:r>
    </w:p>
    <w:p>
      <w:pPr>
        <w:pStyle w:val="Normal"/>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rPr/>
      </w:pPr>
      <w:r>
        <w:rPr/>
        <w:tab/>
        <w:t>Therefore the hypotheses are:</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2</w:t>
            </w:r>
            <w:r>
              <w:fldChar w:fldCharType="end"/>
            </w:r>
            <w:r>
              <w:rPr/>
              <w:t>)</w:t>
            </w:r>
          </w:p>
        </w:tc>
      </w:tr>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3</w:t>
            </w:r>
            <w:r>
              <w:fldChar w:fldCharType="end"/>
            </w:r>
            <w:r>
              <w:rPr/>
              <w:t>)</w:t>
            </w:r>
          </w:p>
        </w:tc>
      </w:tr>
    </w:tbl>
    <w:p>
      <w:pPr>
        <w:pStyle w:val="Normal"/>
        <w:rPr/>
      </w:pPr>
      <w:r>
        <w:rPr/>
      </w:r>
    </w:p>
    <w:p>
      <w:pPr>
        <w:pStyle w:val="Normal"/>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rPr/>
      </w:pPr>
      <w:r>
        <w:rPr/>
        <w:tab/>
        <w:t>Assume that:</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eqArr>
                <m:e>
                  <m:r>
                    <w:rPr>
                      <w:rFonts w:ascii="Cambria Math" w:hAnsi="Cambria Math"/>
                    </w:rPr>
                    <m:t xml:space="preserve">0</m:t>
                  </m:r>
                  <m:r>
                    <w:rPr>
                      <w:rFonts w:ascii="Cambria Math" w:hAnsi="Cambria Math"/>
                    </w:rPr>
                    <m:t xml:space="preserve">i</m:t>
                  </m:r>
                  <m:r>
                    <w:rPr>
                      <w:rFonts w:ascii="Cambria Math" w:hAnsi="Cambria Math"/>
                    </w:rPr>
                    <m:t xml:space="preserve">&gt;</m:t>
                  </m:r>
                  <m:r>
                    <w:rPr>
                      <w:rFonts w:ascii="Cambria Math" w:hAnsi="Cambria Math"/>
                    </w:rPr>
                    <m:t xml:space="preserve">E</m:t>
                  </m:r>
                  <m:d>
                    <m:dPr>
                      <m:begChr m:val="["/>
                      <m:endChr m:val="]"/>
                    </m:dPr>
                    <m:e>
                      <m:sSub>
                        <m:e>
                          <m:r>
                            <w:rPr>
                              <w:rFonts w:ascii="Cambria Math" w:hAnsi="Cambria Math"/>
                            </w:rPr>
                            <m:t xml:space="preserve">Y</m:t>
                          </m:r>
                        </m:e>
                        <m:sub/>
                      </m:sSub>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e>
              </m:eqArr>
            </m:oMath>
            <w:r>
              <w:rPr/>
              <w:t>.</w:t>
            </w:r>
          </w:p>
          <w:p>
            <w:pPr>
              <w:pStyle w:val="Normal"/>
              <w:jc w:val="center"/>
              <w:rPr/>
            </w:pPr>
            <w:r>
              <w:rPr/>
            </w:r>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4</w:t>
            </w:r>
            <w:r>
              <w:fldChar w:fldCharType="end"/>
            </w:r>
            <w:r>
              <w:rPr/>
              <w:t>)</w:t>
            </w:r>
          </w:p>
        </w:tc>
      </w:tr>
    </w:tbl>
    <w:p>
      <w:pPr>
        <w:pStyle w:val="Normal"/>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jc w:val="center"/>
              <w:rPr/>
            </w:pPr>
            <w:r>
              <w:rPr/>
            </w:r>
          </w:p>
        </w:tc>
        <w:tc>
          <w:tcPr>
            <w:tcW w:w="678" w:type="dxa"/>
            <w:tcBorders>
              <w:top w:val="nil"/>
              <w:left w:val="nil"/>
              <w:bottom w:val="nil"/>
              <w:right w:val="nil"/>
              <w:insideH w:val="nil"/>
              <w:insideV w:val="nil"/>
            </w:tcBorders>
            <w:shd w:color="auto" w:fill="auto" w:val="clear"/>
          </w:tcPr>
          <w:p>
            <w:pPr>
              <w:pStyle w:val="Normal"/>
              <w:jc w:val="right"/>
              <w:rPr/>
            </w:pPr>
            <w:bookmarkStart w:id="6" w:name="_Ref534893964"/>
            <w:r>
              <w:rPr/>
              <w:t>(</w:t>
            </w:r>
            <w:r>
              <w:rPr/>
              <w:fldChar w:fldCharType="begin"/>
            </w:r>
            <w:r>
              <w:instrText> SEQ Equation \* ARABIC </w:instrText>
            </w:r>
            <w:r>
              <w:fldChar w:fldCharType="separate"/>
            </w:r>
            <w:r>
              <w:t>5</w:t>
            </w:r>
            <w:r>
              <w:fldChar w:fldCharType="end"/>
            </w:r>
            <w:bookmarkEnd w:id="6"/>
            <w:r>
              <w:rPr/>
              <w:t>)</w:t>
            </w:r>
          </w:p>
        </w:tc>
      </w:tr>
    </w:tbl>
    <w:p>
      <w:pPr>
        <w:pStyle w:val="Normal"/>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rPr/>
      </w:pPr>
      <w:r>
        <w:rPr/>
        <w:t>Therefore we can get</w:t>
      </w:r>
    </w:p>
    <w:tbl>
      <w:tblPr>
        <w:tblStyle w:val="TableGrid"/>
        <w:tblW w:w="4950" w:type="pct"/>
        <w:jc w:val="left"/>
        <w:tblInd w:w="0" w:type="dxa"/>
        <w:tblCellMar>
          <w:top w:w="0" w:type="dxa"/>
          <w:left w:w="133" w:type="dxa"/>
          <w:bottom w:w="0" w:type="dxa"/>
          <w:right w:w="108" w:type="dxa"/>
        </w:tblCellMar>
        <w:tblLook w:val="04a0" w:noVBand="1" w:noHBand="0" w:lastColumn="0" w:firstColumn="1" w:lastRow="0" w:firstRow="1"/>
      </w:tblPr>
      <w:tblGrid>
        <w:gridCol w:w="662"/>
        <w:gridCol w:w="8210"/>
        <w:gridCol w:w="669"/>
      </w:tblGrid>
      <w:tr>
        <w:trPr/>
        <w:tc>
          <w:tcPr>
            <w:tcW w:w="662" w:type="dxa"/>
            <w:tcBorders>
              <w:top w:val="nil"/>
              <w:left w:val="nil"/>
              <w:bottom w:val="nil"/>
              <w:right w:val="nil"/>
              <w:insideH w:val="nil"/>
              <w:insideV w:val="nil"/>
            </w:tcBorders>
            <w:shd w:color="auto" w:fill="auto" w:val="clear"/>
          </w:tcPr>
          <w:p>
            <w:pPr>
              <w:pStyle w:val="Normal"/>
              <w:rPr/>
            </w:pPr>
            <w:r>
              <w:rPr/>
            </w:r>
          </w:p>
        </w:tc>
        <w:tc>
          <w:tcPr>
            <w:tcW w:w="8210" w:type="dxa"/>
            <w:tcBorders>
              <w:top w:val="nil"/>
              <w:left w:val="nil"/>
              <w:bottom w:val="nil"/>
              <w:right w:val="nil"/>
              <w:insideH w:val="nil"/>
              <w:insideV w:val="nil"/>
            </w:tcBorders>
            <w:shd w:color="auto" w:fill="auto" w:val="clear"/>
          </w:tcPr>
          <w:p>
            <w:pPr>
              <w:pStyle w:val="Normal"/>
              <w:jc w:val="center"/>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9"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6</w:t>
            </w:r>
            <w:r>
              <w:fldChar w:fldCharType="end"/>
            </w:r>
            <w:r>
              <w:rPr/>
              <w:t>)</w:t>
            </w:r>
          </w:p>
        </w:tc>
      </w:tr>
    </w:tbl>
    <w:p>
      <w:pPr>
        <w:pStyle w:val="Normal"/>
        <w:rPr/>
      </w:pPr>
      <w:r>
        <w:rPr/>
        <w:t>and</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7</w:t>
            </w:r>
            <w:r>
              <w:fldChar w:fldCharType="end"/>
            </w:r>
            <w:r>
              <w:rPr/>
              <w:t>)</w:t>
            </w:r>
          </w:p>
        </w:tc>
      </w:tr>
    </w:tbl>
    <w:p>
      <w:pPr>
        <w:pStyle w:val="Normal"/>
        <w:rPr/>
      </w:pPr>
      <w:r>
        <w:rPr/>
        <w:t>Therefore, the population difference-in-differences is:</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8</w:t>
            </w:r>
            <w:r>
              <w:fldChar w:fldCharType="end"/>
            </w:r>
            <w:r>
              <w:rPr/>
              <w:t>)</w:t>
            </w:r>
          </w:p>
        </w:tc>
      </w:tr>
    </w:tbl>
    <w:p>
      <w:pPr>
        <w:pStyle w:val="Normal"/>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xml:space="preserve"> in the following way:</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9</w:t>
            </w:r>
            <w:r>
              <w:fldChar w:fldCharType="end"/>
            </w:r>
            <w:r>
              <w:rPr/>
              <w:t>)</w:t>
            </w:r>
          </w:p>
        </w:tc>
      </w:tr>
    </w:tbl>
    <w:p>
      <w:pPr>
        <w:pStyle w:val="Normal"/>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10</w:t>
            </w:r>
            <w:r>
              <w:fldChar w:fldCharType="end"/>
            </w:r>
            <w:r>
              <w:rPr/>
              <w:t>)</w:t>
            </w:r>
          </w:p>
          <w:p>
            <w:pPr>
              <w:pStyle w:val="Normal"/>
              <w:jc w:val="right"/>
              <w:rPr/>
            </w:pPr>
            <w:r>
              <w:rPr/>
            </w:r>
          </w:p>
        </w:tc>
      </w:tr>
    </w:tbl>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11</w:t>
            </w:r>
            <w:r>
              <w:fldChar w:fldCharType="end"/>
            </w:r>
            <w:r>
              <w:rPr/>
              <w:t>)</w:t>
            </w:r>
          </w:p>
        </w:tc>
      </w:tr>
    </w:tbl>
    <w:p>
      <w:pPr>
        <w:pStyle w:val="Normal"/>
        <w:rPr/>
      </w:pPr>
      <w:r>
        <w:rPr/>
      </w:r>
    </w:p>
    <w:p>
      <w:pPr>
        <w:pStyle w:val="Normal"/>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0"/>
        <w:gridCol w:w="678"/>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8"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12</w:t>
            </w:r>
            <w:r>
              <w:fldChar w:fldCharType="end"/>
            </w:r>
            <w:r>
              <w:rPr/>
              <w:t>)</w:t>
            </w:r>
          </w:p>
        </w:tc>
      </w:tr>
    </w:tbl>
    <w:p>
      <w:pPr>
        <w:pStyle w:val="Normal"/>
        <w:rPr/>
      </w:pPr>
      <w:r>
        <w:rPr/>
        <w:t>So this is the difference in differences between average health before and after the treatment of the home owners and the tenants.</w:t>
      </w:r>
    </w:p>
    <w:p>
      <w:pPr>
        <w:pStyle w:val="Normal"/>
        <w:rPr/>
      </w:pPr>
      <w:r>
        <w:rP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pPr>
        <w:pStyle w:val="Normal"/>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ε</m:t>
        </m:r>
      </m:oMath>
    </w:p>
    <w:p>
      <w:pPr>
        <w:pStyle w:val="Normal"/>
        <w:rPr/>
      </w:pPr>
      <w:r>
        <w:rPr/>
        <w:t xml:space="preserve">Where X represents the extra coefficients. Gender is a dummy variable where 1 represents male and 0 represent female. Education is also a dummy variable where 1 represents highly educated and 0 not highly educated. Highly educated are people who have finished an education at the HBO lever or university. </w:t>
      </w:r>
    </w:p>
    <w:p>
      <w:pPr>
        <w:pStyle w:val="Normal"/>
        <w:rPr>
          <w:b/>
          <w:b/>
          <w:sz w:val="28"/>
          <w:szCs w:val="28"/>
        </w:rPr>
      </w:pPr>
      <w:r>
        <w:rPr>
          <w:b/>
          <w:sz w:val="28"/>
          <w:szCs w:val="28"/>
        </w:rPr>
      </w:r>
    </w:p>
    <w:p>
      <w:pPr>
        <w:pStyle w:val="Normal"/>
        <w:rPr>
          <w:b/>
          <w:b/>
        </w:rPr>
      </w:pPr>
      <w:r>
        <w:rPr>
          <w:b/>
          <w:sz w:val="28"/>
          <w:szCs w:val="28"/>
        </w:rPr>
        <w:t>Results</w:t>
      </w:r>
      <w:r>
        <w:rPr>
          <w:b/>
        </w:rPr>
        <w:t>:</w:t>
      </w:r>
    </w:p>
    <w:p>
      <w:pPr>
        <w:pStyle w:val="Normal"/>
        <w:rPr>
          <w:b/>
          <w:b/>
        </w:rPr>
      </w:pPr>
      <w:r>
        <w:rPr>
          <w:b/>
        </w:rPr>
      </w:r>
    </w:p>
    <w:p>
      <w:pPr>
        <w:pStyle w:val="Normal"/>
        <w:rPr>
          <w:b/>
          <w:b/>
        </w:rPr>
      </w:pPr>
      <w:r>
        <w:rPr>
          <w:b/>
        </w:rPr>
        <w:t>Basic OLS results</w:t>
      </w:r>
    </w:p>
    <w:p>
      <w:pPr>
        <w:pStyle w:val="Normal"/>
        <w:rPr/>
      </w:pPr>
      <w:r>
        <w:rPr/>
        <w:t>A simple OLS regression was conducted first to check whether or not there exists a correlation between health  and health in this dataset. With the simple model:</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Networth</m:t>
        </m:r>
        <m:r>
          <w:rPr>
            <w:rFonts w:ascii="Cambria Math" w:hAnsi="Cambria Math"/>
          </w:rPr>
          <m:t xml:space="preserve">+</m:t>
        </m:r>
        <m:r>
          <w:rPr>
            <w:rFonts w:ascii="Cambria Math" w:hAnsi="Cambria Math"/>
          </w:rPr>
          <m:t xml:space="preserve">ε</m:t>
        </m:r>
      </m:oMath>
    </w:p>
    <w:p>
      <w:pPr>
        <w:pStyle w:val="Normal"/>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rPr/>
      </w:pPr>
      <w:r>
        <w:rPr/>
      </w:r>
    </w:p>
    <w:p>
      <w:pPr>
        <w:pStyle w:val="Caption1"/>
        <w:keepNext/>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color w:val="31849B" w:themeColor="accent5" w:themeShade="bf"/>
              </w:rPr>
            </w:pPr>
            <w:r>
              <w:rPr>
                <w:b/>
                <w:bCs/>
                <w:color w:val="31849B" w:themeColor="accent5" w:themeShade="bf"/>
              </w:rPr>
              <w:t>Intercept</w:t>
            </w:r>
          </w:p>
        </w:tc>
        <w:tc>
          <w:tcPr>
            <w:tcW w:w="2409"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31849B" w:themeColor="accent5" w:themeShade="bf"/>
              </w:rPr>
            </w:pPr>
            <w:r>
              <w:rPr>
                <w:b/>
                <w:bCs/>
                <w:color w:val="31849B" w:themeColor="accent5" w:themeShade="bf"/>
              </w:rPr>
              <w:t>Net worth</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31849B" w:themeColor="accent5" w:themeShade="bf"/>
              </w:rPr>
            </w:pPr>
            <w:r>
              <w:rPr>
                <w:b/>
                <w:bCs/>
                <w:color w:val="31849B" w:themeColor="accent5" w:themeShade="bf"/>
              </w:rPr>
              <w:t>F-statistic</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rPr>
          <w:b/>
          <w:b/>
        </w:rPr>
      </w:pPr>
      <w:r>
        <w:rPr>
          <w:b/>
        </w:rPr>
      </w:r>
    </w:p>
    <w:p>
      <w:pPr>
        <w:pStyle w:val="Normal"/>
        <w:rPr>
          <w:b/>
          <w:b/>
        </w:rPr>
      </w:pPr>
      <w:r>
        <w:rPr>
          <w:b/>
        </w:rPr>
      </w:r>
    </w:p>
    <w:p>
      <w:pPr>
        <w:pStyle w:val="Normal"/>
        <w:rPr>
          <w:b/>
          <w:b/>
        </w:rPr>
      </w:pPr>
      <w:r>
        <w:rPr>
          <w:b/>
        </w:rPr>
      </w:r>
    </w:p>
    <w:p>
      <w:pPr>
        <w:pStyle w:val="Caption1"/>
        <w:rPr/>
      </w:pPr>
      <w:r>
        <w:rPr/>
      </w:r>
    </w:p>
    <w:p>
      <w:pPr>
        <w:pStyle w:val="Caption1"/>
        <w:rPr>
          <w:b/>
          <w:b/>
          <w:i w:val="false"/>
          <w:i w:val="false"/>
        </w:rPr>
      </w:pPr>
      <w:r>
        <w:rPr>
          <w:b/>
          <w:i w:val="false"/>
        </w:rPr>
        <w:t>Difference in Difference Analysis</w:t>
      </w:r>
    </w:p>
    <w:p>
      <w:pPr>
        <w:pStyle w:val="Normal"/>
        <w:rPr/>
      </w:pPr>
      <w:r>
        <w:rPr/>
        <w:t xml:space="preserve">As pointed out before in this paper, endogeneity is a problem when considering the effects of wealth on health. A number of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 The third analysis also analyses the short-term effect by using the 2013 and 2017 waves. The variable of interest is DID. If this variable is significant there is a significant difference in differences and therefore imply a possible causal relationship from wealth to health. </w:t>
      </w:r>
    </w:p>
    <w:p>
      <w:pPr>
        <w:pStyle w:val="Normal"/>
        <w:ind w:firstLine="720"/>
        <w:rPr/>
      </w:pPr>
      <w:r>
        <w:rPr/>
        <w:t>The results from the analyses on the first group, i.e. all the observations, can be seen in table 7. The 2007 – 2013 regression does not have a significant DID. The DID is significant in the 2007 – 2017 (p&lt;10%) and the 2013 – 2017 (p&lt;5%) regressions. In the 2007 – 2013 the time coefficient is   -0.0265 which means that before and after the treatment, the average health of the control group decreased by 2.6 percentage points. The treated coefficient is 0.0190 which tells us that the average health of the home owners was 1.9 percentage points higher than the tenants before the treatment. The DID coefficient is 0.0235 which tells us that after the treatment, the difference between pre and post treatment average health of the home owners is 2.3 percentage points higher than the difference between pre and post treatment average health of the tenants.</w:t>
      </w:r>
    </w:p>
    <w:p>
      <w:pPr>
        <w:pStyle w:val="Normal"/>
        <w:ind w:firstLine="720"/>
        <w:rPr/>
      </w:pPr>
      <w:r>
        <w:rPr/>
        <w:t xml:space="preserve">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It could be that the measured effects in the 2013 – 2017 regression explains the significance of the 2007 – 2017 analysis while the 2007 – 2013 analysis was insignificant. Therefore indicating that there is mostly a short term effect (5 years) because the 2007 – 2013 effect was insignificant. This contradicts the findings of Meer, Miller and Rosen (2003) who did find an insignificant effect in the short term (also 5 years). </w:t>
      </w:r>
    </w:p>
    <w:p>
      <w:pPr>
        <w:pStyle w:val="Normal"/>
        <w:rPr/>
      </w:pPr>
      <w:r>
        <w:rPr/>
        <w:tab/>
        <w:t>When controlling for the other variables the significance of the DID variables disappear in both the regressions. This implies that in all three the regressions there is not a significant difference in the differences in health which is accountable to the difference in owning a house or renting a house. Therefore implying that there is not a significant causal effect of wealth on health. This also implies that characteristics that do affect health are not distributed equally between groups and/or that the groups have changed over time. This will have to checked robustness checks.</w:t>
      </w:r>
    </w:p>
    <w:p>
      <w:pPr>
        <w:pStyle w:val="Normal"/>
        <w:rPr>
          <w:i/>
          <w:i/>
        </w:rPr>
      </w:pPr>
      <w:r>
        <w:rPr>
          <w:i/>
        </w:rPr>
      </w:r>
    </w:p>
    <w:p>
      <w:pPr>
        <w:pStyle w:val="Caption1"/>
        <w:keepNext/>
        <w:rPr/>
      </w:pPr>
      <w:r>
        <w:rPr/>
        <w:t xml:space="preserve">Table </w:t>
      </w:r>
      <w:r>
        <w:rPr/>
        <w:fldChar w:fldCharType="begin"/>
      </w:r>
      <w:r>
        <w:instrText> SEQ Table \* ARABIC </w:instrText>
      </w:r>
      <w:r>
        <w:fldChar w:fldCharType="separate"/>
      </w:r>
      <w:r>
        <w:t>7</w:t>
      </w:r>
      <w:r>
        <w:fldChar w:fldCharType="end"/>
      </w:r>
      <w:r>
        <w:rPr/>
        <w:t>: DD results all observations</w:t>
      </w:r>
    </w:p>
    <w:tbl>
      <w:tblPr>
        <w:tblW w:w="9662" w:type="dxa"/>
        <w:jc w:val="center"/>
        <w:tblInd w:w="0"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438"/>
        <w:gridCol w:w="1163"/>
        <w:gridCol w:w="1160"/>
        <w:gridCol w:w="1"/>
        <w:gridCol w:w="1158"/>
        <w:gridCol w:w="1"/>
        <w:gridCol w:w="1162"/>
        <w:gridCol w:w="1"/>
        <w:gridCol w:w="1261"/>
        <w:gridCol w:w="1"/>
        <w:gridCol w:w="1158"/>
        <w:gridCol w:w="1"/>
        <w:gridCol w:w="1155"/>
      </w:tblGrid>
      <w:tr>
        <w:trPr>
          <w:trHeight w:val="255" w:hRule="atLeast"/>
        </w:trPr>
        <w:tc>
          <w:tcPr>
            <w:tcW w:w="1438"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tcBorders>
              <w:top w:val="single" w:sz="4" w:space="0" w:color="000001"/>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gridSpan w:val="2"/>
            <w:tcBorders>
              <w:top w:val="single" w:sz="4" w:space="0" w:color="000001"/>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163"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26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156"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tcBorders>
              <w:top w:val="single" w:sz="4" w:space="0" w:color="000001"/>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2"/>
            <w:tcBorders>
              <w:top w:val="single" w:sz="4" w:space="0" w:color="000001"/>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6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0.0026</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-0.0265***</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-0.0291***</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0.0054</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-0.0124</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-0.0173</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(0.0101)</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(0.0109)</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(0.0113)</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0.0190**</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0.0190*</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0.0078</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0.0173</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0.0164</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0.0028</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(0.0102)</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(0.0108)</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(0.0116)</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(0.0116)</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(0.0123)</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-0.0112</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0.0235*</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-0.0123</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0.0234</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(0.0138)</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(0.0143)</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(0.0149)</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-0.0124</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-0.0165**</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(0.0088)</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(0.0082)</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0.0044</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0.0070</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(0.0084)</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(0.0080)</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(0.0082)</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0.9487***</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0.9487***</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0.9513***</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0.9426***</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0.9413***</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0.9450***</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(0.0065)</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(0.0069)</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(0.0076)</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(0.0087)</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(0.0086)</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(0.0097)</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3" w:type="dxa"/>
            <w:tcBorders>
              <w:left w:val="single" w:sz="4" w:space="0" w:color="00000A"/>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3,458</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4,024</w:t>
            </w:r>
          </w:p>
        </w:tc>
        <w:tc>
          <w:tcPr>
            <w:tcW w:w="1159"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3,864</w:t>
            </w:r>
          </w:p>
        </w:tc>
        <w:tc>
          <w:tcPr>
            <w:tcW w:w="1163"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3" w:type="dxa"/>
            <w:tcBorders>
              <w:top w:val="single" w:sz="4" w:space="0" w:color="000001"/>
              <w:left w:val="single" w:sz="4" w:space="0" w:color="00000A"/>
              <w:bottom w:val="single" w:sz="4" w:space="0" w:color="000001"/>
              <w:insideH w:val="single" w:sz="4" w:space="0" w:color="000001"/>
            </w:tcBorders>
            <w:shd w:color="auto" w:fill="auto" w:val="clear"/>
            <w:tcMar>
              <w:left w:w="9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0.0013</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0.0070</w:t>
            </w:r>
          </w:p>
        </w:tc>
        <w:tc>
          <w:tcPr>
            <w:tcW w:w="1159" w:type="dxa"/>
            <w:gridSpan w:val="2"/>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0.0060</w:t>
            </w:r>
          </w:p>
        </w:tc>
        <w:tc>
          <w:tcPr>
            <w:tcW w:w="1163"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0.0046</w:t>
            </w:r>
          </w:p>
        </w:tc>
        <w:tc>
          <w:tcPr>
            <w:tcW w:w="1262"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0.0100</w:t>
            </w:r>
          </w:p>
        </w:tc>
        <w:tc>
          <w:tcPr>
            <w:tcW w:w="1159"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c>
          <w:tcPr>
            <w:tcW w:w="1156"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3762" w:type="dxa"/>
            <w:gridSpan w:val="4"/>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5"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1"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6"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6"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8"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6" w:type="dxa"/>
            <w:gridSpan w:val="2"/>
            <w:tcBorders/>
            <w:shd w:color="auto" w:fill="auto" w:val="clear"/>
            <w:vAlign w:val="bottom"/>
          </w:tcPr>
          <w:p>
            <w:pPr>
              <w:pStyle w:val="Normal"/>
              <w:keepNext/>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1"/>
        <w:rPr>
          <w:i w:val="false"/>
          <w:i w:val="false"/>
        </w:rPr>
      </w:pPr>
      <w:r>
        <w:rPr>
          <w:i w:val="false"/>
        </w:rPr>
        <w:tab/>
        <w:t xml:space="preserve">The results from the regressions in the second group, so only observations of the same persons pre and post treatment, can be seen in table 8. There are no significant results for the DID variable. Therefore, there is no evidence that there is a causal effect from wealth on health. </w:t>
      </w:r>
    </w:p>
    <w:p>
      <w:pPr>
        <w:pStyle w:val="Caption1"/>
        <w:keepNext/>
        <w:rPr/>
      </w:pPr>
      <w:r>
        <w:rPr/>
        <w:t xml:space="preserve">Table </w:t>
      </w:r>
      <w:r>
        <w:rPr/>
        <w:fldChar w:fldCharType="begin"/>
      </w:r>
      <w:r>
        <w:instrText> SEQ Table \* ARABIC </w:instrText>
      </w:r>
      <w:r>
        <w:fldChar w:fldCharType="separate"/>
      </w:r>
      <w:r>
        <w:t>8</w:t>
      </w:r>
      <w:r>
        <w:fldChar w:fldCharType="end"/>
      </w:r>
      <w:r>
        <w:rPr/>
        <w:t>: DD results same persons</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(0.0144)</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(0.0162)</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0.0205</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0.0270*</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0.0243*</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(0.0152)</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-0.0104</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0.0183</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(0.0197)</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(0.0216)</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0.9595***</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0.9581***</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0.9410***</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(0.0101)</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(0.0109)</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(0.0103)</w:t>
            </w:r>
          </w:p>
        </w:tc>
      </w:tr>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1,540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1,288</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1,886</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0.0040</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0.0122</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0.0061</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1"/>
        <w:ind w:firstLine="720"/>
        <w:rPr>
          <w:i w:val="false"/>
          <w:i w:val="false"/>
        </w:rPr>
      </w:pPr>
      <w:r>
        <w:rPr>
          <w:i w:val="false"/>
        </w:rPr>
      </w:r>
    </w:p>
    <w:p>
      <w:pPr>
        <w:pStyle w:val="Caption1"/>
        <w:ind w:firstLine="720"/>
        <w:rPr>
          <w:i w:val="false"/>
          <w:i w:val="false"/>
        </w:rPr>
      </w:pPr>
      <w:r>
        <w:rPr>
          <w:i w:val="false"/>
        </w:rPr>
      </w:r>
    </w:p>
    <w:p>
      <w:pPr>
        <w:pStyle w:val="Normal"/>
        <w:rPr/>
      </w:pPr>
      <w:r>
        <w:rPr/>
      </w:r>
    </w:p>
    <w:p>
      <w:pPr>
        <w:pStyle w:val="Normal"/>
        <w:rPr>
          <w:b/>
          <w:b/>
          <w:sz w:val="28"/>
          <w:szCs w:val="28"/>
        </w:rPr>
      </w:pPr>
      <w:r>
        <w:rPr>
          <w:b/>
          <w:sz w:val="28"/>
          <w:szCs w:val="28"/>
        </w:rPr>
        <w:t>Robustness checks</w:t>
      </w:r>
    </w:p>
    <w:p>
      <w:pPr>
        <w:pStyle w:val="Normal"/>
        <w:rPr/>
      </w:pPr>
      <w:r>
        <w:rPr/>
        <w:t>To test whether the results are valid, several robustness checks have been run. First there is a pretreatment check to test that the health of the control and treatment group behaved in the same way before the treatment. Secondly, a test has been run to check whether the treatment did the desired effect on the wealth as was assumed. Thirdly, three checks have been run to see whether or not the characteristics of the group with all observations have changed between before and after the treatment.</w:t>
      </w:r>
    </w:p>
    <w:p>
      <w:pPr>
        <w:pStyle w:val="Normal"/>
        <w:rPr/>
      </w:pPr>
      <w:r>
        <w:rPr/>
        <w:tab/>
        <w:t>The results of the pretreatment check can be seen in table 9. To test whether there was not already an effect before the treatment a DD analysis was used where the pretreatment year is 2001 and the posttreatment year is 2006. Because the pretreatment year and the posttreatment year is before the 2008 financial crisis, there is no treatment. Therefore this test tests whether or not the groups behaved differently before the treatment. The DID coefficient is insignificant which therefore implies that the average health of the home owners and the tenants does not behave significantly different.</w:t>
      </w:r>
    </w:p>
    <w:p>
      <w:pPr>
        <w:pStyle w:val="Caption1"/>
        <w:keepNext/>
        <w:rPr/>
      </w:pPr>
      <w:r>
        <w:rPr/>
        <w:t xml:space="preserve">Table </w:t>
      </w:r>
      <w:r>
        <w:rPr/>
        <w:fldChar w:fldCharType="begin"/>
      </w:r>
      <w:r>
        <w:instrText> SEQ Table \* ARABIC </w:instrText>
      </w:r>
      <w:r>
        <w:fldChar w:fldCharType="separate"/>
      </w:r>
      <w:r>
        <w:t>9</w:t>
      </w:r>
      <w:r>
        <w:fldChar w:fldCharType="end"/>
      </w:r>
      <w:r>
        <w:rPr/>
        <w:t>: pretreatment check</w:t>
      </w:r>
    </w:p>
    <w:tbl>
      <w:tblPr>
        <w:tblW w:w="3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439"/>
        <w:gridCol w:w="1772"/>
      </w:tblGrid>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77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2001 - 2006</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77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-0.0182**</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(0.0090)</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(0.0102)</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(0.0138)</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0.9586***</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(0.0064)</w:t>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3,610</w:t>
            </w:r>
          </w:p>
        </w:tc>
      </w:tr>
      <w:tr>
        <w:trPr>
          <w:trHeight w:val="255" w:hRule="atLeast"/>
        </w:trPr>
        <w:tc>
          <w:tcPr>
            <w:tcW w:w="1439" w:type="dxa"/>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772"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0.0030</w:t>
            </w:r>
          </w:p>
        </w:tc>
      </w:tr>
      <w:tr>
        <w:trPr>
          <w:trHeight w:val="255" w:hRule="atLeast"/>
        </w:trPr>
        <w:tc>
          <w:tcPr>
            <w:tcW w:w="321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r>
      <w:tr>
        <w:trPr>
          <w:trHeight w:val="255" w:hRule="atLeast"/>
        </w:trPr>
        <w:tc>
          <w:tcPr>
            <w:tcW w:w="321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r>
      <w:tr>
        <w:trPr>
          <w:trHeight w:val="255" w:hRule="atLeast"/>
        </w:trPr>
        <w:tc>
          <w:tcPr>
            <w:tcW w:w="321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t xml:space="preserve">The way the average health behaves can also be visually inspected. Figure 2 shows the fitted lines of average health throughout the years 1995 to 2006. The assumption is that the average health of the control and treatment group behave exactly the same and therefore the lines should be parallel. Otherwise there will be a difference in the differences by simply dividing the observations in different groups. In figure 2 it can be seen  that the lines are not parallel. The DD analysis of which the results can be seen in table 9 do tell us however that the difference is not significant but as we can see the lines are still not exactly parallel. Therefore the results can from the DD analyses can be used but they are not fully robust since the parallel lines assumption is not fully met.  </w:t>
      </w:r>
    </w:p>
    <w:p>
      <w:pPr>
        <w:pStyle w:val="Normal"/>
        <w:keepNext/>
        <w:jc w:val="center"/>
        <w:rPr/>
      </w:pPr>
      <w:r>
        <w:rPr/>
        <w:drawing>
          <wp:inline distT="0" distB="0" distL="0" distR="0">
            <wp:extent cx="4053205" cy="29451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053205" cy="294513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t>: fitted lines through the average healths of the control and treatment group</w:t>
      </w:r>
    </w:p>
    <w:p>
      <w:pPr>
        <w:pStyle w:val="Normal"/>
        <w:rPr/>
      </w:pPr>
      <w:r>
        <w:rPr/>
      </w:r>
    </w:p>
    <w:p>
      <w:pPr>
        <w:pStyle w:val="Normal"/>
        <w:rPr/>
      </w:pPr>
      <w:r>
        <w:rPr/>
        <w:t xml:space="preserve">The results of the mechanism check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 As can be seen in table 10 the only significant DID coefficient is in the “same persons” group between 2007 and 2013. This means that only in the same persons group between 2007 and 2013 the differences in net wealth of the control and treatment group before and after the treatment is significantly different and thus had the desired and expected effect. This implies that the measured effects in the regressions on health using the DD analysis </w:t>
      </w:r>
      <w:commentRangeStart w:id="3"/>
      <w:r>
        <w:rPr/>
        <w:t xml:space="preserve">measured something else than the effect of wealth on health except </w:t>
      </w:r>
      <w:r>
        <w:rPr/>
      </w:r>
      <w:commentRangeEnd w:id="3"/>
      <w:r>
        <w:commentReference w:id="3"/>
      </w:r>
      <w:r>
        <w:rPr/>
        <w:t>in the regression of the same persons group between 2007 and 2013.</w:t>
      </w:r>
    </w:p>
    <w:p>
      <w:pPr>
        <w:pStyle w:val="Caption1"/>
        <w:keepNext/>
        <w:rPr/>
      </w:pPr>
      <w:r>
        <w:rPr/>
        <w:t xml:space="preserve">Table </w:t>
      </w:r>
      <w:r>
        <w:rPr/>
        <w:fldChar w:fldCharType="begin"/>
      </w:r>
      <w:r>
        <w:instrText> SEQ Table \* ARABIC </w:instrText>
      </w:r>
      <w:r>
        <w:fldChar w:fldCharType="separate"/>
      </w:r>
      <w:r>
        <w:t>10</w:t>
      </w:r>
      <w:r>
        <w:fldChar w:fldCharType="end"/>
      </w:r>
      <w:r>
        <w:rPr/>
        <w:t>: mechanism check</w:t>
      </w:r>
    </w:p>
    <w:tbl>
      <w:tblPr>
        <w:tblW w:w="9761" w:type="dxa"/>
        <w:jc w:val="center"/>
        <w:tblInd w:w="0" w:type="dxa"/>
        <w:tblBorders/>
        <w:tblCellMar>
          <w:top w:w="0" w:type="dxa"/>
          <w:left w:w="108" w:type="dxa"/>
          <w:bottom w:w="0" w:type="dxa"/>
          <w:right w:w="108" w:type="dxa"/>
        </w:tblCellMar>
        <w:tblLook w:val="04a0" w:noVBand="1" w:noHBand="0" w:lastColumn="0" w:firstColumn="1" w:lastRow="0" w:firstRow="1"/>
      </w:tblPr>
      <w:tblGrid>
        <w:gridCol w:w="1289"/>
        <w:gridCol w:w="1299"/>
        <w:gridCol w:w="1304"/>
        <w:gridCol w:w="1299"/>
        <w:gridCol w:w="1301"/>
        <w:gridCol w:w="1299"/>
        <w:gridCol w:w="1299"/>
        <w:gridCol w:w="669"/>
      </w:tblGrid>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all observations</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same persons</w:t>
            </w:r>
          </w:p>
        </w:tc>
        <w:tc>
          <w:tcPr>
            <w:tcW w:w="129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299" w:type="dxa"/>
            <w:tcBorders>
              <w:top w:val="single" w:sz="4" w:space="0" w:color="000001"/>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301"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29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29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1"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3,533</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6,130</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2,597</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4,732</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-4,700</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-821</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(9,902)</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(10,051)</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(9,605)</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(15,015)</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(17,042)</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(15,110)</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249,872 ***</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249,872 ***</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227,587 ***</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263,253 ***</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258,237 ***</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243,262 ***</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(9,924)</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(10,665)</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(10,237)</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(14,577)</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(15,999)</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(13,963)</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-22,284</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-18,349</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3,935</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-48,246 **</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-713</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25,871</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(14,351)</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(14,363)</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(13,527)</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(20,639)</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(22,828)</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(19,905)</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25,399 ***</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25,399 ***</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28,933 ***</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25,004 **</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29,716 **</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37,327 ***</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bookmarkStart w:id="7" w:name="_GoBack"/>
            <w:bookmarkStart w:id="8" w:name="_GoBack"/>
            <w:bookmarkEnd w:id="8"/>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(6,742)</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(7,246)</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(7,162)</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(10,506)</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(11,522)</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(10,359)</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3,458</w:t>
            </w:r>
          </w:p>
        </w:tc>
        <w:tc>
          <w:tcPr>
            <w:tcW w:w="1304"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4,024</w:t>
            </w:r>
          </w:p>
        </w:tc>
        <w:tc>
          <w:tcPr>
            <w:tcW w:w="1299"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3,864</w:t>
            </w:r>
          </w:p>
        </w:tc>
        <w:tc>
          <w:tcPr>
            <w:tcW w:w="1301"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1,540</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1,288</w:t>
            </w:r>
          </w:p>
        </w:tc>
        <w:tc>
          <w:tcPr>
            <w:tcW w:w="129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1,886</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299"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0.2442</w:t>
            </w:r>
          </w:p>
        </w:tc>
        <w:tc>
          <w:tcPr>
            <w:tcW w:w="1304"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0.2195</w:t>
            </w:r>
          </w:p>
        </w:tc>
        <w:tc>
          <w:tcPr>
            <w:tcW w:w="1299"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0.2346</w:t>
            </w:r>
          </w:p>
        </w:tc>
        <w:tc>
          <w:tcPr>
            <w:tcW w:w="1301"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0.2619</w:t>
            </w:r>
          </w:p>
        </w:tc>
        <w:tc>
          <w:tcPr>
            <w:tcW w:w="1299"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0.2852</w:t>
            </w:r>
          </w:p>
        </w:tc>
        <w:tc>
          <w:tcPr>
            <w:tcW w:w="1299"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0.2628</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3892"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29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588"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304"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rPr>
          <w:b/>
          <w:b/>
          <w:sz w:val="28"/>
          <w:szCs w:val="28"/>
        </w:rPr>
      </w:pPr>
      <w:r>
        <w:rPr>
          <w:b/>
          <w:sz w:val="28"/>
          <w:szCs w:val="28"/>
        </w:rPr>
      </w:r>
    </w:p>
    <w:p>
      <w:pPr>
        <w:pStyle w:val="Normal"/>
        <w:rPr/>
      </w:pPr>
      <w:r>
        <w:rPr/>
        <w:t>The results of the tests testing whether the characteristics have changed in the “all observations group” can be seen in table 11, 12 and 13. The tables 11, 12 and 13 show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there is a difference  in the differences between the characteristics before and after the treatment and they will not cancel out automatically. Because characteristics can be assumed to have remained the same in the group with only observations of repeated repliers, this could only form a problem in the all observations group.</w:t>
      </w:r>
    </w:p>
    <w:p>
      <w:pPr>
        <w:pStyle w:val="Normal"/>
        <w:rPr/>
      </w:pPr>
      <w:r>
        <w:rPr/>
        <w:tab/>
        <w:t xml:space="preserve">Table 11 shows that there is a significant difference in differences in gender between the control and treatment group in 2007 – 2017 (p&lt;5%) and 2013-2017 (p&lt;10%). Between 2007 and 2017 the average level of females in the treatment group dropped by 7.0 percentage point more than in the control group. Between 2013 and 2017 the percentage of females in the treatment group dropped by 6.4 percentage points more than in the control group. This implies that the effects measured in the 2007 – 2017 and 2013 – 2017 regressions on health could be explained by gender instead of wealth as was the idea. Table 12 shows that the level of highly educated people is not significantly different between the differences in the control and treatment group as was expected. Table 13 the DID coefficient is not significant in any of the three regressions so there is no significant difference in the differences in net income as was expected. </w:t>
      </w:r>
    </w:p>
    <w:p>
      <w:pPr>
        <w:pStyle w:val="Normal"/>
        <w:rPr/>
      </w:pPr>
      <w:r>
        <w:rPr/>
      </w:r>
    </w:p>
    <w:p>
      <w:pPr>
        <w:pStyle w:val="Caption1"/>
        <w:keepNext/>
        <w:rPr/>
      </w:pPr>
      <w:r>
        <w:rPr/>
        <w:t xml:space="preserve">Table </w:t>
      </w:r>
      <w:r>
        <w:rPr/>
        <w:fldChar w:fldCharType="begin"/>
      </w:r>
      <w:r>
        <w:instrText> SEQ Table \* ARABIC </w:instrText>
      </w:r>
      <w:r>
        <w:fldChar w:fldCharType="separate"/>
      </w:r>
      <w:r>
        <w:t>11</w:t>
      </w:r>
      <w:r>
        <w:fldChar w:fldCharType="end"/>
      </w:r>
      <w:r>
        <w:rPr/>
        <w:t>: characteristics check gender</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0.0133</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0.0125</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(0.0254)</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(0.0252)</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0.3971***</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0.3971***</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(0.0244)</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(0.0248)</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-0.0052</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-0.0696**</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-0.0644*</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(0.0360)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(0.0362)</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0.3576***</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0.3576***</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0.3709***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(0.0171)</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(0.0174)</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(0.0192)</w:t>
            </w:r>
          </w:p>
        </w:tc>
      </w:tr>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0.1584</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0.1323</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0.1290</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rPr/>
      </w:pPr>
      <w:r>
        <w:rPr/>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12</w:t>
      </w:r>
      <w:r>
        <w:fldChar w:fldCharType="end"/>
      </w:r>
      <w:r>
        <w:rPr/>
        <w:t>: characteristics check education</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0.0807***</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0.0128</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-0.0678**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(0.0268)</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(0.0259)</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(0.0277)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0.2010***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0.2010***</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0.1619***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(0.0257)</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(0.0255)</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(0.0281)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-0.0392</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-0.0280</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(0.0380)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(0.0357)</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(0.0379)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0.2749***</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0.2749***</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0.3556***</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(0.0180)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(0.0178)</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(0.0200)</w:t>
            </w:r>
          </w:p>
        </w:tc>
      </w:tr>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0.0395</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0.0370</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0.0317</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13</w:t>
      </w:r>
      <w:r>
        <w:fldChar w:fldCharType="end"/>
      </w:r>
      <w:r>
        <w:rPr/>
        <w:t>: characteristics check net income</w:t>
      </w:r>
    </w:p>
    <w:tbl>
      <w:tblPr>
        <w:tblW w:w="5466"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1"/>
        <w:gridCol w:w="1342"/>
        <w:gridCol w:w="1342"/>
        <w:gridCol w:w="1340"/>
      </w:tblGrid>
      <w:tr>
        <w:trPr>
          <w:trHeight w:val="23" w:hRule="exac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1"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34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r>
      <w:tr>
        <w:trPr>
          <w:trHeight w:val="255" w:hRule="atLeast"/>
        </w:trPr>
        <w:tc>
          <w:tcPr>
            <w:tcW w:w="1441"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2,964 ***</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2,933 ***</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-31.3424</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(752)</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(802)</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(872)</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14,764 ***</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14,764 ***</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13,736 ***</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(721)</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(789)</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(885)</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-1,028</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403</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1,431</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(1,065)</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(1,105)</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(1,193)</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13,641 ***</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13,641 ***</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16,605 ***</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(505)</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(552)</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(631)</w:t>
            </w:r>
          </w:p>
        </w:tc>
      </w:tr>
      <w:tr>
        <w:trPr>
          <w:trHeight w:val="23" w:hRule="exac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1" w:type="dxa"/>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342"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0.2255</w:t>
            </w:r>
          </w:p>
        </w:tc>
        <w:tc>
          <w:tcPr>
            <w:tcW w:w="1342"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0.2166</w:t>
            </w:r>
          </w:p>
        </w:tc>
        <w:tc>
          <w:tcPr>
            <w:tcW w:w="1340" w:type="dxa"/>
            <w:tcBorders>
              <w:top w:val="single" w:sz="4" w:space="0" w:color="000001"/>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0.1855</w:t>
            </w:r>
          </w:p>
        </w:tc>
      </w:tr>
      <w:tr>
        <w:trPr>
          <w:trHeight w:val="255" w:hRule="atLeast"/>
        </w:trPr>
        <w:tc>
          <w:tcPr>
            <w:tcW w:w="4125"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3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783"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342"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rPr/>
      </w:pPr>
      <w:r>
        <w:rPr/>
      </w:r>
    </w:p>
    <w:p>
      <w:pPr>
        <w:pStyle w:val="Normal"/>
        <w:rPr/>
      </w:pPr>
      <w:r>
        <w:rPr/>
      </w:r>
    </w:p>
    <w:p>
      <w:pPr>
        <w:pStyle w:val="Normal"/>
        <w:rPr>
          <w:b/>
          <w:b/>
          <w:bCs/>
          <w:lang w:val="nl-NL"/>
        </w:rPr>
      </w:pPr>
      <w:r>
        <w:rPr>
          <w:b/>
          <w:bCs/>
          <w:lang w:val="nl-NL"/>
        </w:rPr>
        <w:t>Literatuur</w:t>
      </w:r>
    </w:p>
    <w:p>
      <w:pPr>
        <w:pStyle w:val="Normal"/>
        <w:rPr>
          <w:b/>
          <w:b/>
          <w:bCs/>
          <w:lang w:val="nl-NL"/>
        </w:rPr>
      </w:pPr>
      <w:r>
        <w:rPr>
          <w:b/>
          <w:bCs/>
          <w:lang w:val="nl-NL"/>
        </w:rPr>
      </w:r>
    </w:p>
    <w:p>
      <w:pPr>
        <w:pStyle w:val="Normal"/>
        <w:rPr/>
      </w:pPr>
      <w:r>
        <w:rPr>
          <w:lang w:val="nl-NL"/>
        </w:rPr>
        <w:t xml:space="preserve">Aittomäki, Martikainen, Laaksonen, Lahelma, &amp; Rahkonen. </w:t>
      </w:r>
      <w:r>
        <w:rPr/>
        <w:t>(2010). The associations of household wealth and income with self-rated health – A study on economic advantage in middle-aged Finnish men and women. Social Science &amp; Medicine, 71(5), 1018-1026.</w:t>
      </w:r>
    </w:p>
    <w:p>
      <w:pPr>
        <w:pStyle w:val="Normal"/>
        <w:rPr/>
      </w:pPr>
      <w:r>
        <w:rPr/>
      </w:r>
    </w:p>
    <w:p>
      <w:pPr>
        <w:pStyle w:val="Normal"/>
        <w:rPr/>
      </w:pPr>
      <w:r>
        <w:rPr/>
        <w:t>Apouey, B., &amp; Clark, A. (2015). Winning Big but Feeling no Better? The Effect of Lottery Prizes on Physical and Mental Health. Health Economics, 24(5), 516-538.</w:t>
      </w:r>
    </w:p>
    <w:p>
      <w:pPr>
        <w:pStyle w:val="Normal"/>
        <w:rPr/>
      </w:pPr>
      <w:r>
        <w:rPr/>
      </w:r>
    </w:p>
    <w:p>
      <w:pPr>
        <w:pStyle w:val="Normal"/>
        <w:rPr/>
      </w:pPr>
      <w:r>
        <w:rPr/>
        <w:t>Au, N., &amp; Johnston, D. (2015). Too Much of a Good Thing? Exploring the Impact of Wealth on Weight. Health Economics, 24(11), 1403-1421.</w:t>
      </w:r>
    </w:p>
    <w:p>
      <w:pPr>
        <w:pStyle w:val="Normal"/>
        <w:rPr/>
      </w:pPr>
      <w:r>
        <w:rPr/>
      </w:r>
    </w:p>
    <w:p>
      <w:pPr>
        <w:pStyle w:val="Normal"/>
        <w:rPr/>
      </w:pPr>
      <w:r>
        <w:rPr/>
        <w:t>Cai, L. (2009). Be wealthy to stay healthy: An analysis of older Australians using the HILDA survey. Journal of Sociology, 45(1), 55-70.</w:t>
      </w:r>
    </w:p>
    <w:p>
      <w:pPr>
        <w:pStyle w:val="Normal"/>
        <w:rPr/>
      </w:pPr>
      <w:r>
        <w:rPr/>
      </w:r>
    </w:p>
    <w:p>
      <w:pPr>
        <w:pStyle w:val="Normal"/>
        <w:rPr/>
      </w:pPr>
      <w:r>
        <w:rPr/>
        <w:t xml:space="preserve">CentERdata. (2019). DHS data access. Retrieved January 2, 2019, from </w:t>
      </w:r>
      <w:hyperlink r:id="rId4">
        <w:r>
          <w:rPr>
            <w:rStyle w:val="InternetLink"/>
          </w:rPr>
          <w:t>https://www.dhsdata.nl/site/users/login</w:t>
        </w:r>
      </w:hyperlink>
    </w:p>
    <w:p>
      <w:pPr>
        <w:pStyle w:val="Normal"/>
        <w:rPr/>
      </w:pPr>
      <w:r>
        <w:rPr/>
      </w:r>
    </w:p>
    <w:p>
      <w:pPr>
        <w:pStyle w:val="Normal"/>
        <w:rPr/>
      </w:pPr>
      <w:r>
        <w:rPr/>
        <w:t xml:space="preserve">CentERdata. (n.d.). DHS data access | CentERdata.nl. Retrieved January 2, 2019, from </w:t>
      </w:r>
      <w:hyperlink r:id="rId5">
        <w:r>
          <w:rPr>
            <w:rStyle w:val="InternetLink"/>
          </w:rPr>
          <w:t>https://www.centerdata.nl/en/databank/dhs-data-access</w:t>
        </w:r>
      </w:hyperlink>
    </w:p>
    <w:p>
      <w:pPr>
        <w:pStyle w:val="Normal"/>
        <w:rPr>
          <w:rStyle w:val="InternetLink"/>
        </w:rPr>
      </w:pPr>
      <w:r>
        <w:rPr/>
      </w:r>
    </w:p>
    <w:p>
      <w:pPr>
        <w:pStyle w:val="Normal"/>
        <w:rPr/>
      </w:pPr>
      <w:bookmarkStart w:id="9" w:name="__DdeLink__3171_1315779075"/>
      <w:r>
        <w:rPr>
          <w:lang w:val="nl-NL"/>
        </w:rPr>
        <w:t>Het Juridisch Loket. (n.d.).</w:t>
      </w:r>
      <w:bookmarkEnd w:id="9"/>
      <w:r>
        <w:rPr>
          <w:lang w:val="nl-NL"/>
        </w:rPr>
        <w:t xml:space="preserve"> Krijg ik loon doorbetaald bij ziekte? </w:t>
      </w:r>
      <w:r>
        <w:rPr/>
        <w:t>| Het Juridisch Loket. Retrieved January 15, 2019, from https://www.juridischloket.nl/werk-en-inkomen/ziekte-en-zwangerschap/loondoorbetaling-bij-ziekte/#Ik-heb-een-tijdelijk-contract</w:t>
      </w:r>
    </w:p>
    <w:p>
      <w:pPr>
        <w:pStyle w:val="Normal"/>
        <w:rPr/>
      </w:pPr>
      <w:r>
        <w:rPr/>
      </w:r>
    </w:p>
    <w:p>
      <w:pPr>
        <w:pStyle w:val="Normal"/>
        <w:rPr/>
      </w:pPr>
      <w:r>
        <w:rPr/>
        <w:t>Idler, E., &amp; Benyamini, Y. (1997). Self-Rated Health and Mortality: A Review of Twenty-Seven Community Studies. Journal of Health and Social Behavior, 38(1), 21-37.</w:t>
      </w:r>
    </w:p>
    <w:p>
      <w:pPr>
        <w:pStyle w:val="Normal"/>
        <w:rPr/>
      </w:pPr>
      <w:r>
        <w:rPr/>
      </w:r>
    </w:p>
    <w:p>
      <w:pPr>
        <w:pStyle w:val="Normal"/>
        <w:rPr/>
      </w:pPr>
      <w:r>
        <w:rPr/>
        <w:t>Keese, M., &amp; Schmitz, H. (2014). Broke, Ill, and Obese: Is There an Effect of Household Debt on Health? Review of Income and Wealth, 60(3), 525-541.</w:t>
      </w:r>
    </w:p>
    <w:p>
      <w:pPr>
        <w:pStyle w:val="Normal"/>
        <w:rPr/>
      </w:pPr>
      <w:r>
        <w:rPr/>
      </w:r>
    </w:p>
    <w:p>
      <w:pPr>
        <w:pStyle w:val="Normal"/>
        <w:rPr/>
      </w:pPr>
      <w:r>
        <w:rPr/>
        <w:t>Kim, B., &amp; Ruhm, C. (2012). Inheritances, health and death. Health Economics, 21(2), 127-144.</w:t>
      </w:r>
    </w:p>
    <w:p>
      <w:pPr>
        <w:pStyle w:val="Normal"/>
        <w:rPr/>
      </w:pPr>
      <w:r>
        <w:rPr/>
      </w:r>
    </w:p>
    <w:p>
      <w:pPr>
        <w:pStyle w:val="Normal"/>
        <w:rPr/>
      </w:pPr>
      <w:r>
        <w:rPr/>
        <w:t>Meer, Miller, &amp; Rosen. (2003). Exploring the health–wealth nexus. Journal of Health Economics, 22(5), 713-730.</w:t>
      </w:r>
    </w:p>
    <w:p>
      <w:pPr>
        <w:pStyle w:val="Normal"/>
        <w:rPr/>
      </w:pPr>
      <w:r>
        <w:rPr/>
      </w:r>
    </w:p>
    <w:p>
      <w:pPr>
        <w:pStyle w:val="Normal"/>
        <w:rPr/>
      </w:pPr>
      <w:r>
        <w:rPr/>
        <w:t>Michaud, &amp; Van Soest. (2008). Health and wealth of elderly couples: Causality tests using dynamic panel data models. Journal of Health Economics, 27(5), 1312-1325.</w:t>
      </w:r>
    </w:p>
    <w:p>
      <w:pPr>
        <w:pStyle w:val="Normal"/>
        <w:rPr/>
      </w:pPr>
      <w:r>
        <w:rPr/>
      </w:r>
    </w:p>
    <w:p>
      <w:pPr>
        <w:pStyle w:val="Normal"/>
        <w:rPr>
          <w:lang w:val="nl-NL"/>
        </w:rPr>
      </w:pPr>
      <w:r>
        <w:rPr/>
        <w:t xml:space="preserve">Pollack, Chideya, Cubbin, Williams, Dekker, &amp; Braveman. (2007). Should Health Studies Measure Wealth?: A Systematic Review. </w:t>
      </w:r>
      <w:r>
        <w:rPr>
          <w:lang w:val="nl-NL"/>
        </w:rPr>
        <w:t>American Journal of Preventive Medicine, 33(3), 250-264.</w:t>
      </w:r>
    </w:p>
    <w:p>
      <w:pPr>
        <w:pStyle w:val="Normal"/>
        <w:rPr>
          <w:lang w:val="nl-NL"/>
        </w:rPr>
      </w:pPr>
      <w:r>
        <w:rPr>
          <w:lang w:val="nl-NL"/>
        </w:rPr>
      </w:r>
    </w:p>
    <w:p>
      <w:pPr>
        <w:pStyle w:val="Normal"/>
        <w:rPr/>
      </w:pPr>
      <w:r>
        <w:rPr>
          <w:lang w:val="nl-NL"/>
        </w:rPr>
        <w:t xml:space="preserve">UWV. (n.d.). Mijn werknemer is ziek: loon doorbetalen | UWV | Werkgevers. </w:t>
      </w:r>
      <w:r>
        <w:rPr/>
        <w:t>Retrieved January 15, 2019, from https://www.uwv.nl/werkgevers/werknemer-is-ziek/loondoorbetaling/werknemer-is-ziek-loon-doorbetalen/detail/loon-doorbetalen-tijdens-ziekte</w:t>
      </w:r>
    </w:p>
    <w:p>
      <w:pPr>
        <w:pStyle w:val="Normal"/>
        <w:rPr/>
      </w:pPr>
      <w:r>
        <w:rPr/>
      </w:r>
    </w:p>
    <w:p>
      <w:pPr>
        <w:pStyle w:val="Normal"/>
        <w:rPr/>
      </w:pPr>
      <w:r>
        <w:rPr>
          <w:lang w:val="nl-NL"/>
        </w:rPr>
        <w:t xml:space="preserve">Zilveren Kruis. (2019). Eigen risico. Wat is het en waarom betaalt u het? - Zilveren Kruis. </w:t>
      </w:r>
      <w:r>
        <w:rPr/>
        <w:t>Retrieved January 15, 2019, from https://www.zilverenkruis.nl/Consumenten/zorgverzekering/basisverzekering/Paginas/eigen-risico.aspx</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00000A"/>
          <w:lang w:val="nl-NL" w:eastAsia="en-US" w:bidi="en-US"/>
        </w:rPr>
        <w:t>Kan dit niet gewoon naar beneden naar de data of methoden sectie?</w:t>
      </w:r>
    </w:p>
    <w:p>
      <w:r>
        <w:rPr>
          <w:rFonts w:eastAsia="DejaVu Sans" w:cs="DejaVu Sans"/>
          <w:color w:val="auto"/>
          <w:lang w:val="en-US" w:eastAsia="en-US" w:bidi="en-US"/>
        </w:rPr>
      </w:r>
    </w:p>
  </w:comment>
  <w:comment w:id="1" w:author="UvA" w:date="2019-01-15T15:26:00Z" w:initials="UvA">
    <w:p>
      <w:r>
        <w:rPr>
          <w:rFonts w:eastAsia="DejaVu Sans" w:cs="DejaVu Sans"/>
          <w:color w:val="00000A"/>
          <w:lang w:val="nl-NL" w:eastAsia="en-US" w:bidi="en-US"/>
        </w:rPr>
        <w:t>Veranderen</w:t>
      </w:r>
    </w:p>
    <w:p>
      <w:r>
        <w:rPr>
          <w:rFonts w:eastAsia="DejaVu Sans" w:cs="DejaVu Sans"/>
          <w:color w:val="auto"/>
          <w:lang w:val="en-US" w:eastAsia="en-US" w:bidi="en-US"/>
        </w:rPr>
      </w:r>
    </w:p>
  </w:comment>
  <w:comment w:id="2" w:author="UvA" w:date="2019-01-09T15:21:00Z" w:initials="UvA">
    <w:p>
      <w:r>
        <w:rPr>
          <w:rFonts w:eastAsia="DejaVu Sans" w:cs="DejaVu Sans"/>
          <w:color w:val="00000A"/>
          <w:lang w:val="nl-NL" w:eastAsia="en-US" w:bidi="en-US"/>
        </w:rPr>
        <w:t>Gevolg?</w:t>
      </w:r>
    </w:p>
  </w:comment>
  <w:comment w:id="3" w:author="UvA" w:date="2019-01-16T11:13:00Z" w:initials="UvA">
    <w:p>
      <w:r>
        <w:rPr>
          <w:rFonts w:eastAsia="DejaVu Sans" w:cs="DejaVu Sans"/>
          <w:color w:val="00000A"/>
          <w:lang w:val="nl-NL" w:eastAsia="en-US" w:bidi="en-US"/>
        </w:rPr>
        <w:t>Nog even over an denken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customStyle="1">
    <w:name w:val="ListLabel 37"/>
    <w:qFormat/>
    <w:rPr>
      <w:rFonts w:cs="OpenSymbol"/>
      <w:sz w:val="24"/>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4"/>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i/>
    </w:rPr>
  </w:style>
  <w:style w:type="character" w:styleId="NumberingSymbols" w:customStyle="1">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paragraph" w:styleId="NormalWeb">
    <w:name w:val="Normal (Web)"/>
    <w:basedOn w:val="Normal"/>
    <w:uiPriority w:val="99"/>
    <w:semiHidden/>
    <w:unhideWhenUsed/>
    <w:qFormat/>
    <w:rsid w:val="008619c6"/>
    <w:pPr>
      <w:spacing w:beforeAutospacing="1" w:afterAutospacing="1"/>
    </w:pPr>
    <w:rPr>
      <w:rFonts w:ascii="Times New Roman" w:hAnsi="Times New Roman" w:eastAsia="Times New Roman" w:cs="Times New Roman"/>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hsdata.nl/site/users/login" TargetMode="External"/><Relationship Id="rId5" Type="http://schemas.openxmlformats.org/officeDocument/2006/relationships/hyperlink" Target="https://www.centerdata.nl/en/databank/dhs-data-access"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307BC-9A57-46F3-BEDD-F25BFABF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16</Pages>
  <Words>6720</Words>
  <Characters>34582</Characters>
  <CharactersWithSpaces>40818</CharactersWithSpaces>
  <Paragraphs>694</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2019-01-16T10:52:00Z</dcterms:created>
  <dc:creator>Emma Hissink Muller</dc:creator>
  <dc:description/>
  <dc:language>en-US</dc:language>
  <cp:lastModifiedBy/>
  <dcterms:modified xsi:type="dcterms:W3CDTF">2019-01-16T14:11:07Z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