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E07" w:rsidRDefault="00493F26">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9E5E07" w:rsidRDefault="009E5E07">
      <w:pPr>
        <w:rPr>
          <w:b/>
          <w:bCs/>
          <w:color w:val="000000"/>
          <w:highlight w:val="white"/>
        </w:rPr>
      </w:pPr>
    </w:p>
    <w:p w:rsidR="009E5E07" w:rsidRDefault="009E5E07">
      <w:pPr>
        <w:rPr>
          <w:b/>
          <w:bCs/>
          <w:color w:val="000000"/>
          <w:highlight w:val="white"/>
        </w:rPr>
      </w:pPr>
    </w:p>
    <w:p w:rsidR="009E5E07" w:rsidRDefault="00493F26">
      <w:r>
        <w:rPr>
          <w:b/>
          <w:bCs/>
          <w:color w:val="000000"/>
          <w:sz w:val="28"/>
          <w:highlight w:val="white"/>
        </w:rPr>
        <w:t>Introduction</w:t>
      </w:r>
      <w:r>
        <w:rPr>
          <w:b/>
          <w:bCs/>
          <w:color w:val="000000"/>
          <w:highlight w:val="white"/>
        </w:rPr>
        <w:t>:</w:t>
      </w:r>
    </w:p>
    <w:p w:rsidR="009E5E07" w:rsidRDefault="00493F26">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9E5E07" w:rsidRDefault="00493F26">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xml:space="preserve">. They find that wealth is highly relevant in explaining health. </w:t>
      </w:r>
    </w:p>
    <w:p w:rsidR="009E5E07" w:rsidRDefault="00493F26">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p>
    <w:p w:rsidR="009E5E07" w:rsidRDefault="00493F26">
      <w:r>
        <w:tab/>
      </w:r>
      <w:commentRangeStart w:id="1"/>
      <w:r>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xml:space="preserve">). </w:t>
      </w:r>
      <w:commentRangeEnd w:id="1"/>
      <w:r>
        <w:commentReference w:id="1"/>
      </w:r>
      <w:r>
        <w:rPr>
          <w:color w:val="000000"/>
          <w:highlight w:val="white"/>
        </w:rPr>
        <w:t>Using different waves of this dataset will allow this paper to try and find a causal relationship using the difference in difference analysis.</w:t>
      </w:r>
    </w:p>
    <w:p w:rsidR="009E5E07" w:rsidRDefault="00493F26">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rsidR="009E5E07" w:rsidRDefault="009E5E07">
      <w:pPr>
        <w:rPr>
          <w:b/>
          <w:bCs/>
          <w:color w:val="000000"/>
          <w:highlight w:val="white"/>
        </w:rPr>
      </w:pPr>
    </w:p>
    <w:p w:rsidR="009E5E07" w:rsidRDefault="009E5E07">
      <w:pPr>
        <w:rPr>
          <w:color w:val="000000"/>
          <w:highlight w:val="white"/>
        </w:rPr>
      </w:pPr>
    </w:p>
    <w:p w:rsidR="009E5E07" w:rsidRDefault="009E5E07">
      <w:pPr>
        <w:rPr>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493F26">
      <w:r>
        <w:rPr>
          <w:b/>
          <w:bCs/>
          <w:color w:val="000000"/>
          <w:sz w:val="28"/>
          <w:highlight w:val="white"/>
        </w:rPr>
        <w:t>Related literature:</w:t>
      </w:r>
    </w:p>
    <w:p w:rsidR="009E5E07" w:rsidRDefault="00493F26">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2" w:name="_GoBack1"/>
      <w:bookmarkEnd w:id="2"/>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9E5E07" w:rsidRDefault="00493F26">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9E5E07" w:rsidRDefault="00493F26">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9E5E07" w:rsidRDefault="00493F26">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9E5E07" w:rsidRDefault="00493F26">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w:t>
      </w:r>
      <w:r>
        <w:rPr>
          <w:color w:val="000000"/>
          <w:highlight w:val="white"/>
        </w:rPr>
        <w:lastRenderedPageBreak/>
        <w:t>leads to poor health. So there are several ways in which wealth could exert an effect on health. Testing via which effect wealth does affect health was out of the scope of her paper.</w:t>
      </w:r>
    </w:p>
    <w:p w:rsidR="009E5E07" w:rsidRDefault="00493F26">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9E5E07" w:rsidRDefault="00493F26">
      <w:r>
        <w:rPr>
          <w:color w:val="000000"/>
          <w:highlight w:val="white"/>
        </w:rPr>
        <w:tab/>
      </w:r>
      <w:bookmarkStart w:id="3" w:name="__UnoMark__2185_363168767"/>
      <w:bookmarkStart w:id="4" w:name="__UnoMark__2196_363168767"/>
      <w:bookmarkStart w:id="5" w:name="__UnoMark__2189_363168767"/>
      <w:bookmarkStart w:id="6" w:name="__UnoMark__2194_363168767"/>
      <w:proofErr w:type="spellStart"/>
      <w:r>
        <w:rPr>
          <w:color w:val="000000"/>
          <w:highlight w:val="white"/>
        </w:rPr>
        <w:t>Keese</w:t>
      </w:r>
      <w:proofErr w:type="spellEnd"/>
      <w:r>
        <w:rPr>
          <w:color w:val="000000"/>
          <w:highlight w:val="white"/>
        </w:rPr>
        <w:t xml:space="preserve"> and Schmitz (2014)</w:t>
      </w:r>
      <w:bookmarkEnd w:id="3"/>
      <w:bookmarkEnd w:id="4"/>
      <w:bookmarkEnd w:id="5"/>
      <w:bookmarkEnd w:id="6"/>
      <w:r>
        <w:rPr>
          <w:color w:val="000000"/>
          <w:highlight w:val="white"/>
        </w:rPr>
        <w:t xml:space="preserve">⁠ find a significant causal effect between indebtedness and worse physical and mental health. They control for the </w:t>
      </w:r>
      <w:proofErr w:type="spellStart"/>
      <w:r>
        <w:rPr>
          <w:color w:val="000000"/>
          <w:highlight w:val="white"/>
        </w:rPr>
        <w:t>unobserver</w:t>
      </w:r>
      <w:proofErr w:type="spellEnd"/>
      <w:r>
        <w:rPr>
          <w:color w:val="000000"/>
          <w:highlight w:val="white"/>
        </w:rPr>
        <w:t xml:space="preserve"> </w:t>
      </w:r>
      <w:proofErr w:type="spellStart"/>
      <w:r>
        <w:rPr>
          <w:color w:val="000000"/>
          <w:highlight w:val="white"/>
        </w:rPr>
        <w:t>hetrogeneity</w:t>
      </w:r>
      <w:proofErr w:type="spellEnd"/>
      <w:r>
        <w:rPr>
          <w:color w:val="000000"/>
          <w:highlight w:val="white"/>
        </w:rPr>
        <w:t xml:space="preserve"> between health and </w:t>
      </w:r>
      <w:proofErr w:type="spellStart"/>
      <w:r>
        <w:rPr>
          <w:color w:val="000000"/>
          <w:highlight w:val="white"/>
        </w:rPr>
        <w:t>indebtness</w:t>
      </w:r>
      <w:proofErr w:type="spellEnd"/>
      <w:r>
        <w:rPr>
          <w:color w:val="000000"/>
          <w:highlight w:val="white"/>
        </w:rPr>
        <w:t xml:space="preserve">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9E5E07" w:rsidRDefault="009E5E07">
      <w:pPr>
        <w:rPr>
          <w:b/>
          <w:bCs/>
          <w:color w:val="000000"/>
          <w:sz w:val="28"/>
          <w:highlight w:val="white"/>
        </w:rPr>
      </w:pPr>
    </w:p>
    <w:p w:rsidR="009E5E07" w:rsidRDefault="009E5E07">
      <w:pPr>
        <w:rPr>
          <w:color w:val="000000"/>
          <w:highlight w:val="white"/>
        </w:rPr>
      </w:pPr>
    </w:p>
    <w:p w:rsidR="009E5E07" w:rsidRDefault="009E5E07">
      <w:pPr>
        <w:rPr>
          <w:b/>
          <w:bCs/>
          <w:color w:val="000000"/>
          <w:highlight w:val="white"/>
        </w:rPr>
      </w:pPr>
    </w:p>
    <w:p w:rsidR="009E5E07" w:rsidRDefault="00493F26">
      <w:r>
        <w:rPr>
          <w:b/>
          <w:bCs/>
          <w:color w:val="000000"/>
          <w:sz w:val="28"/>
          <w:highlight w:val="white"/>
        </w:rPr>
        <w:t>Institutional section:</w:t>
      </w:r>
    </w:p>
    <w:p w:rsidR="009E5E07" w:rsidRDefault="00493F26">
      <w:pPr>
        <w:rPr>
          <w:bCs/>
          <w:color w:val="000000"/>
          <w:highlight w:val="white"/>
        </w:rPr>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causal relationship between wealth and health. Since the data consists of respondents from the Netherlands it is important to look at what impact Dutch institutions might have on the relationship between health and wealth. There are three subjects of interest here: the obligated health insurance, the paying of salary for a sick person with a permanent contract and the paying of salary for  a sick person with a non-permanent contract.</w:t>
      </w:r>
    </w:p>
    <w:p w:rsidR="009E5E07" w:rsidRDefault="00493F26">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xml:space="preserve">”, a benefit to pay your insurance if you are eligible. Therefore, everyone has, and can pay for insurance. </w:t>
      </w:r>
    </w:p>
    <w:p w:rsidR="009E5E07" w:rsidRDefault="00493F26">
      <w: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w:t>
      </w:r>
      <w:r w:rsidRPr="00493F26">
        <w:t xml:space="preserve">UWV, </w:t>
      </w:r>
      <w:proofErr w:type="spellStart"/>
      <w:r w:rsidRPr="00493F26">
        <w:t>n.d.</w:t>
      </w:r>
      <w:proofErr w:type="spellEnd"/>
      <w:r w:rsidRPr="00493F26">
        <w:t xml:space="preserve">) </w:t>
      </w:r>
      <w:r>
        <w:t xml:space="preserve">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w:t>
      </w:r>
    </w:p>
    <w:p w:rsidR="00493F26" w:rsidRDefault="00493F26">
      <w:r>
        <w:tab/>
        <w:t xml:space="preserve">Since negative wealth shocks due to for example hospital care or treatment are at most €885, </w:t>
      </w:r>
      <w:commentRangeStart w:id="7"/>
      <w:r>
        <w:t>the causal effect from health to wealth is likely to be non-existent in the Netherlands. Also, a person who knows he or she is in bad health, will choose the lowest deductible possible, which is €385 in 2018 but was €150 in 2008, therefore further lowering the effect of treatments or hospital care on the net wealth of a person. Another way wealth is affected is through the long run income. But as was pointed out before, being sick still means you keep an income in most of the cases. Therefore the effect of health through income on wealth is also not as big as in countries where there is no social security.</w:t>
      </w:r>
      <w:commentRangeEnd w:id="7"/>
      <w:r>
        <w:rPr>
          <w:rStyle w:val="CommentReference"/>
          <w:rFonts w:cs="Mangal"/>
        </w:rPr>
        <w:commentReference w:id="7"/>
      </w:r>
    </w:p>
    <w:p w:rsidR="009E5E07" w:rsidRDefault="00493F26">
      <w:r>
        <w:tab/>
      </w:r>
    </w:p>
    <w:p w:rsidR="009E5E07" w:rsidRDefault="009E5E07"/>
    <w:p w:rsidR="009E5E07" w:rsidRDefault="009E5E07"/>
    <w:p w:rsidR="009E5E07" w:rsidRDefault="00493F26">
      <w:pPr>
        <w:rPr>
          <w:b/>
          <w:bCs/>
          <w:color w:val="000000"/>
          <w:sz w:val="28"/>
          <w:highlight w:val="white"/>
        </w:rPr>
      </w:pPr>
      <w:r>
        <w:rPr>
          <w:b/>
          <w:bCs/>
          <w:color w:val="000000"/>
          <w:sz w:val="28"/>
          <w:highlight w:val="white"/>
        </w:rPr>
        <w:t>Data</w:t>
      </w:r>
    </w:p>
    <w:p w:rsidR="009E5E07" w:rsidRDefault="00493F26">
      <w:pPr>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w:t>
      </w:r>
      <w:r>
        <w:rPr>
          <w:highlight w:val="white"/>
        </w:rPr>
        <w:lastRenderedPageBreak/>
        <w:t xml:space="preserve">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9E5E07" w:rsidRDefault="00493F26">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9E5E07" w:rsidRDefault="00493F26">
      <w:r>
        <w:rPr>
          <w:rStyle w:val="Bullets"/>
          <w:highlight w:val="white"/>
        </w:rPr>
        <w:tab/>
      </w:r>
      <w:r>
        <w:rPr>
          <w:highlight w:val="white"/>
        </w:rPr>
        <w:t xml:space="preserve">The health variable is a categorical variable with two options, either healthy or not healthy. The data received from the DHS has five categories for health: poor, not so good, fair, good and excellent. People were placed in one of these categories by </w:t>
      </w:r>
      <w:proofErr w:type="spellStart"/>
      <w:r>
        <w:rPr>
          <w:highlight w:val="white"/>
        </w:rPr>
        <w:t>self assessment</w:t>
      </w:r>
      <w:proofErr w:type="spellEnd"/>
      <w:r>
        <w:rPr>
          <w:highlight w:val="white"/>
        </w:rPr>
        <w:t xml:space="preserve">. </w:t>
      </w:r>
      <w:proofErr w:type="spellStart"/>
      <w:r>
        <w:rPr>
          <w:highlight w:val="white"/>
        </w:rPr>
        <w:t>Self assessed</w:t>
      </w:r>
      <w:proofErr w:type="spellEnd"/>
      <w:r>
        <w:rPr>
          <w:highlight w:val="white"/>
        </w:rPr>
        <w:t xml:space="preserve">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9E5E07" w:rsidRDefault="00493F26">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9E5E07" w:rsidRDefault="00493F26">
      <w:pPr>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9E5E07" w:rsidRDefault="009E5E07">
      <w:pPr>
        <w:rPr>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1</w:t>
      </w:r>
      <w:r>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9E5E07" w:rsidTr="009E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9E5E07" w:rsidRDefault="00493F26">
            <w:pPr>
              <w:ind w:left="360"/>
              <w:rPr>
                <w:color w:val="000000"/>
                <w:spacing w:val="15"/>
              </w:rPr>
            </w:pPr>
            <w:r>
              <w:rPr>
                <w:color w:val="000000"/>
                <w:spacing w:val="15"/>
              </w:rPr>
              <w:t>Assets</w:t>
            </w:r>
          </w:p>
        </w:tc>
        <w:tc>
          <w:tcPr>
            <w:tcW w:w="4926" w:type="dxa"/>
            <w:shd w:val="clear" w:color="auto" w:fill="auto"/>
          </w:tcPr>
          <w:p w:rsidR="009E5E07" w:rsidRDefault="00493F26">
            <w:pPr>
              <w:ind w:left="360"/>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checking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deposit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deposit books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certificates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endowment insurance policies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growth funds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mutual funds and/or mutual fund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stocks and shares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put options written</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call options written</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value of life insurance mortgage real estate</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cars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motorbikes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boats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(site-)caravans/trailers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lastRenderedPageBreak/>
              <w:t>money lent out to family or friends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investments not mentioned before</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business equity (professions)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rPr>
            </w:pPr>
            <w:r>
              <w:rPr>
                <w:b w:val="0"/>
                <w:color w:val="000000"/>
                <w:spacing w:val="15"/>
              </w:rPr>
              <w:t>business equity self-employed</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9E5E07" w:rsidRDefault="009E5E07">
            <w:pPr>
              <w:rPr>
                <w:color w:val="31849B" w:themeColor="accent5" w:themeShade="BF"/>
                <w:spacing w:val="15"/>
              </w:rPr>
            </w:pPr>
          </w:p>
        </w:tc>
        <w:tc>
          <w:tcPr>
            <w:tcW w:w="4926" w:type="dxa"/>
            <w:tcBorders>
              <w:top w:val="nil"/>
            </w:tcBorders>
          </w:tcPr>
          <w:p w:rsidR="009E5E07" w:rsidRDefault="009E5E07">
            <w:pPr>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9E5E07" w:rsidRDefault="009E5E07">
      <w:pPr>
        <w:rPr>
          <w:color w:val="000000"/>
          <w:spacing w:val="15"/>
          <w:highlight w:val="white"/>
        </w:rPr>
      </w:pPr>
    </w:p>
    <w:p w:rsidR="009E5E07" w:rsidRDefault="009E5E07">
      <w:pPr>
        <w:rPr>
          <w:color w:val="000000"/>
          <w:spacing w:val="15"/>
          <w:highlight w:val="white"/>
        </w:rPr>
      </w:pPr>
    </w:p>
    <w:p w:rsidR="009E5E07" w:rsidRDefault="00493F26">
      <w:pPr>
        <w:keepNext/>
        <w:jc w:val="right"/>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9E5E07" w:rsidRDefault="00493F26">
      <w:pPr>
        <w:pStyle w:val="Caption"/>
        <w:jc w:val="right"/>
      </w:pPr>
      <w:r>
        <w:t xml:space="preserve">Figure </w:t>
      </w:r>
      <w:r>
        <w:fldChar w:fldCharType="begin"/>
      </w:r>
      <w:r>
        <w:instrText>SEQ Figure \* ARABIC</w:instrText>
      </w:r>
      <w:r>
        <w:fldChar w:fldCharType="separate"/>
      </w:r>
      <w:r w:rsidR="009875B3">
        <w:rPr>
          <w:noProof/>
        </w:rPr>
        <w:t>1</w:t>
      </w:r>
      <w:r>
        <w:fldChar w:fldCharType="end"/>
      </w:r>
      <w:r>
        <w:t xml:space="preserve"> Housing Prices in the Netherlands</w:t>
      </w:r>
    </w:p>
    <w:p w:rsidR="009E5E07" w:rsidRDefault="00493F26">
      <w:pPr>
        <w:pStyle w:val="Caption"/>
        <w:jc w:val="right"/>
      </w:pPr>
      <w:r>
        <w:t>Source: CBS</w:t>
      </w:r>
    </w:p>
    <w:p w:rsidR="009E5E07" w:rsidRDefault="00493F26">
      <w:pPr>
        <w:jc w:val="right"/>
        <w:rPr>
          <w:color w:val="000000"/>
          <w:spacing w:val="15"/>
          <w:highlight w:val="white"/>
        </w:rPr>
      </w:pPr>
      <w:r>
        <w:rPr>
          <w:color w:val="000000"/>
          <w:spacing w:val="15"/>
          <w:highlight w:val="white"/>
        </w:rPr>
        <w:tab/>
      </w: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493F26">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9E5E07" w:rsidRDefault="00493F26">
      <w: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8"/>
      <w:r>
        <w:t>the years</w:t>
      </w:r>
      <w:commentRangeEnd w:id="8"/>
      <w:r>
        <w:commentReference w:id="8"/>
      </w:r>
      <w:r>
        <w:t>.</w:t>
      </w:r>
    </w:p>
    <w:p w:rsidR="009E5E07" w:rsidRDefault="009E5E07">
      <w:pPr>
        <w:rPr>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2</w:t>
      </w:r>
      <w:r>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9E5E07" w:rsidTr="009E5E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9E5E07" w:rsidRDefault="00493F26">
            <w:pPr>
              <w:rPr>
                <w:color w:val="000000"/>
                <w:spacing w:val="15"/>
                <w:highlight w:val="white"/>
              </w:rPr>
            </w:pPr>
            <w:r>
              <w:rPr>
                <w:color w:val="000000"/>
                <w:spacing w:val="15"/>
                <w:highlight w:val="white"/>
              </w:rPr>
              <w:t>Year</w:t>
            </w:r>
          </w:p>
        </w:tc>
        <w:tc>
          <w:tcPr>
            <w:tcW w:w="2033"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9E5E07" w:rsidTr="009E5E07">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9E5E07" w:rsidRDefault="00493F26">
            <w:pPr>
              <w:rPr>
                <w:color w:val="000000"/>
                <w:spacing w:val="15"/>
              </w:rPr>
            </w:pPr>
            <w:r>
              <w:rPr>
                <w:color w:val="000000"/>
                <w:spacing w:val="15"/>
              </w:rPr>
              <w:t>2007</w:t>
            </w:r>
          </w:p>
        </w:tc>
        <w:tc>
          <w:tcPr>
            <w:tcW w:w="2033"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9E5E07" w:rsidTr="009E5E07">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9E5E07" w:rsidRDefault="00493F26">
            <w:pPr>
              <w:rPr>
                <w:color w:val="000000"/>
                <w:spacing w:val="15"/>
              </w:rPr>
            </w:pPr>
            <w:r>
              <w:rPr>
                <w:color w:val="000000"/>
                <w:spacing w:val="15"/>
              </w:rPr>
              <w:t>2013</w:t>
            </w:r>
          </w:p>
        </w:tc>
        <w:tc>
          <w:tcPr>
            <w:tcW w:w="2033"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9E5E07" w:rsidTr="009E5E0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9E5E07" w:rsidRDefault="00493F26">
            <w:pPr>
              <w:rPr>
                <w:color w:val="000000"/>
                <w:spacing w:val="15"/>
              </w:rPr>
            </w:pPr>
            <w:r>
              <w:rPr>
                <w:color w:val="000000"/>
                <w:spacing w:val="15"/>
              </w:rPr>
              <w:t>2017</w:t>
            </w:r>
          </w:p>
        </w:tc>
        <w:tc>
          <w:tcPr>
            <w:tcW w:w="2033"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9E5E07" w:rsidRDefault="00493F26">
      <w: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w:t>
      </w:r>
      <w:r>
        <w:lastRenderedPageBreak/>
        <w:t>there is no significant difference between health in the treatment and control group in any of the years. This is important as it indicates that the characteristics across the different treatment groups are successfully balanced.</w:t>
      </w:r>
    </w:p>
    <w:p w:rsidR="009E5E07" w:rsidRDefault="00493F26">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9E5E07" w:rsidRDefault="00493F26">
      <w:pPr>
        <w:pStyle w:val="Caption"/>
        <w:keepNext/>
      </w:pPr>
      <w:r>
        <w:t xml:space="preserve">Table </w:t>
      </w:r>
      <w:r>
        <w:fldChar w:fldCharType="begin"/>
      </w:r>
      <w:r>
        <w:instrText>SEQ Table \* ARABIC</w:instrText>
      </w:r>
      <w:r>
        <w:fldChar w:fldCharType="separate"/>
      </w:r>
      <w:r w:rsidR="00B240B1">
        <w:rPr>
          <w:noProof/>
        </w:rPr>
        <w:t>3</w:t>
      </w:r>
      <w:r>
        <w:fldChar w:fldCharType="end"/>
      </w:r>
      <w:r>
        <w:t xml:space="preserve"> summary statistics 2007</w:t>
      </w:r>
    </w:p>
    <w:tbl>
      <w:tblPr>
        <w:tblStyle w:val="LightShading-Accent5"/>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1849B" w:themeColor="accent5"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1849B" w:themeColor="accent5"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9E5E07" w:rsidRDefault="009E5E07">
      <w:pPr>
        <w:rPr>
          <w:b/>
          <w:bCs/>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4</w:t>
      </w:r>
      <w:r>
        <w:fldChar w:fldCharType="end"/>
      </w:r>
      <w:r>
        <w:t xml:space="preserve"> summary statistics 2013</w:t>
      </w:r>
    </w:p>
    <w:tbl>
      <w:tblPr>
        <w:tblStyle w:val="LightShading-Accent5"/>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1849B" w:themeColor="accent5"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1849B" w:themeColor="accent5"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9E5E07" w:rsidRDefault="009E5E07">
      <w:pPr>
        <w:rPr>
          <w:b/>
          <w:bCs/>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5</w:t>
      </w:r>
      <w:r>
        <w:fldChar w:fldCharType="end"/>
      </w:r>
      <w:r>
        <w:t xml:space="preserve"> summary statistics 2017</w:t>
      </w:r>
    </w:p>
    <w:tbl>
      <w:tblPr>
        <w:tblStyle w:val="LightShading-Accent1"/>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65F91" w:themeColor="accent1"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65F91" w:themeColor="accent1"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9E5E07" w:rsidRDefault="009E5E07">
      <w:pPr>
        <w:rPr>
          <w:b/>
          <w:bCs/>
          <w:color w:val="000000"/>
          <w:spacing w:val="15"/>
          <w:highlight w:val="white"/>
        </w:rPr>
      </w:pPr>
    </w:p>
    <w:p w:rsidR="009E5E07" w:rsidRDefault="009E5E07">
      <w:pPr>
        <w:rPr>
          <w:b/>
          <w:bCs/>
          <w:color w:val="000000"/>
          <w:spacing w:val="15"/>
          <w:highlight w:val="white"/>
        </w:rPr>
      </w:pPr>
    </w:p>
    <w:p w:rsidR="009E5E07" w:rsidRDefault="00493F26">
      <w:pPr>
        <w:rPr>
          <w:sz w:val="28"/>
        </w:rPr>
      </w:pPr>
      <w:r>
        <w:rPr>
          <w:b/>
          <w:bCs/>
          <w:color w:val="000000"/>
          <w:spacing w:val="15"/>
          <w:sz w:val="28"/>
          <w:highlight w:val="white"/>
        </w:rPr>
        <w:t>Methods</w:t>
      </w:r>
    </w:p>
    <w:p w:rsidR="009E5E07" w:rsidRDefault="00493F26">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9E5E07" w:rsidRDefault="00493F26">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9E5E07" w:rsidRDefault="00493F26">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w:t>
      </w:r>
      <w:r>
        <w:lastRenderedPageBreak/>
        <w:t>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9E5E07" w:rsidRDefault="00493F26">
      <w:pPr>
        <w:ind w:firstLine="720"/>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9E5E07" w:rsidRDefault="00493F26">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9E5E07" w:rsidRDefault="00493F26">
      <w:r>
        <w:tab/>
      </w:r>
      <w:r>
        <w:tab/>
      </w:r>
    </w:p>
    <w:p w:rsidR="009E5E07" w:rsidRDefault="00493F26">
      <w:r>
        <w:t>The following regression model will be used:</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6" w:type="dxa"/>
            <w:tcBorders>
              <w:top w:val="nil"/>
              <w:left w:val="nil"/>
              <w:bottom w:val="nil"/>
              <w:right w:val="nil"/>
            </w:tcBorders>
            <w:shd w:val="clear" w:color="auto" w:fill="auto"/>
          </w:tcPr>
          <w:p w:rsidR="009E5E07" w:rsidRDefault="00493F26">
            <w:pPr>
              <w:jc w:val="right"/>
            </w:pPr>
            <w:bookmarkStart w:id="9" w:name="_Ref534894565"/>
            <w:r>
              <w:t>(</w:t>
            </w:r>
            <w:r>
              <w:fldChar w:fldCharType="begin"/>
            </w:r>
            <w:r>
              <w:instrText>SEQ Equation \* ARABIC</w:instrText>
            </w:r>
            <w:r>
              <w:fldChar w:fldCharType="separate"/>
            </w:r>
            <w:r>
              <w:t>1</w:t>
            </w:r>
            <w:r>
              <w:fldChar w:fldCharType="end"/>
            </w:r>
            <w:bookmarkEnd w:id="9"/>
            <w:r>
              <w:t>)</w:t>
            </w:r>
          </w:p>
        </w:tc>
      </w:tr>
    </w:tbl>
    <w:p w:rsidR="009E5E07" w:rsidRDefault="009E5E07"/>
    <w:p w:rsidR="009E5E07" w:rsidRDefault="00493F26">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9E5E07" w:rsidRDefault="00493F26">
      <w:r>
        <w:tab/>
        <w:t>Therefore the hypotheses are:</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2</w:t>
            </w:r>
            <w:r>
              <w:fldChar w:fldCharType="end"/>
            </w:r>
            <w:r>
              <w:t>)</w:t>
            </w:r>
          </w:p>
        </w:tc>
      </w:tr>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3</w:t>
            </w:r>
            <w:r>
              <w:fldChar w:fldCharType="end"/>
            </w:r>
            <w:r>
              <w:t>)</w:t>
            </w:r>
          </w:p>
        </w:tc>
      </w:tr>
    </w:tbl>
    <w:p w:rsidR="009E5E07" w:rsidRDefault="009E5E07"/>
    <w:p w:rsidR="009E5E07" w:rsidRDefault="00493F26">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9E5E07" w:rsidRDefault="00493F26">
      <w:r>
        <w:tab/>
        <w:t>Assume that:</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0i</m:t>
                      </m:r>
                      <m:r>
                        <w:rPr>
                          <w:rFonts w:ascii="Cambria Math" w:hAnsi="Cambria Math"/>
                        </w:rPr>
                        <m:t>gt</m:t>
                      </m:r>
                    </m:sub>
                  </m:sSub>
                </m:e>
                <m:e>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r>
              <w:t>.</w:t>
            </w:r>
          </w:p>
          <w:p w:rsidR="009E5E07" w:rsidRDefault="009E5E07">
            <w:pPr>
              <w:jc w:val="center"/>
            </w:pP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4</w:t>
            </w:r>
            <w:r>
              <w:fldChar w:fldCharType="end"/>
            </w:r>
            <w:r>
              <w:t>)</w:t>
            </w:r>
          </w:p>
        </w:tc>
      </w:tr>
    </w:tbl>
    <w:p w:rsidR="009E5E07" w:rsidRDefault="00493F26">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9E5E07" w:rsidRDefault="00493F26">
      <w:r>
        <w:tab/>
        <w:t xml:space="preserve">Let </w:t>
      </w:r>
      <m:oMath>
        <m:sSub>
          <m:sSubPr>
            <m:ctrlPr>
              <w:rPr>
                <w:rFonts w:ascii="Cambria Math" w:hAnsi="Cambria Math"/>
              </w:rPr>
            </m:ctrlPr>
          </m:sSubPr>
          <m:e>
            <m:r>
              <w:rPr>
                <w:rFonts w:ascii="Cambria Math" w:hAnsi="Cambria Math"/>
              </w:rPr>
              <m:t>D</m:t>
            </m:r>
          </m:e>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493F26">
              <w:t>,</w:t>
            </w:r>
          </w:p>
          <w:p w:rsidR="009E5E07" w:rsidRDefault="009E5E07">
            <w:pPr>
              <w:jc w:val="center"/>
            </w:pPr>
          </w:p>
        </w:tc>
        <w:tc>
          <w:tcPr>
            <w:tcW w:w="676" w:type="dxa"/>
            <w:tcBorders>
              <w:top w:val="nil"/>
              <w:left w:val="nil"/>
              <w:bottom w:val="nil"/>
              <w:right w:val="nil"/>
            </w:tcBorders>
            <w:shd w:val="clear" w:color="auto" w:fill="auto"/>
          </w:tcPr>
          <w:p w:rsidR="009E5E07" w:rsidRDefault="00493F26">
            <w:pPr>
              <w:jc w:val="right"/>
            </w:pPr>
            <w:bookmarkStart w:id="10" w:name="_Ref534893964"/>
            <w:r>
              <w:t>(</w:t>
            </w:r>
            <w:r>
              <w:fldChar w:fldCharType="begin"/>
            </w:r>
            <w:r>
              <w:instrText>SEQ Equation \* ARABIC</w:instrText>
            </w:r>
            <w:r>
              <w:fldChar w:fldCharType="separate"/>
            </w:r>
            <w:r>
              <w:t>5</w:t>
            </w:r>
            <w:r>
              <w:fldChar w:fldCharType="end"/>
            </w:r>
            <w:bookmarkEnd w:id="10"/>
            <w:r>
              <w:t>)</w:t>
            </w:r>
          </w:p>
        </w:tc>
      </w:tr>
    </w:tbl>
    <w:p w:rsidR="009E5E07" w:rsidRDefault="00493F26">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fldChar w:fldCharType="begin"/>
      </w:r>
      <w:r>
        <w:instrText>REF _Ref534893964 \h</w:instrText>
      </w:r>
      <w:r>
        <w:fldChar w:fldCharType="separate"/>
      </w:r>
      <w:r>
        <w:t>(5</w:t>
      </w:r>
      <w:r>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9E5E07" w:rsidRDefault="00493F26">
      <w:r>
        <w:lastRenderedPageBreak/>
        <w:t>Therefore we can get</w:t>
      </w:r>
    </w:p>
    <w:tbl>
      <w:tblPr>
        <w:tblStyle w:val="TableGrid"/>
        <w:tblW w:w="4950" w:type="pct"/>
        <w:tblCellMar>
          <w:left w:w="123" w:type="dxa"/>
        </w:tblCellMar>
        <w:tblLook w:val="04A0" w:firstRow="1" w:lastRow="0" w:firstColumn="1" w:lastColumn="0" w:noHBand="0" w:noVBand="1"/>
      </w:tblPr>
      <w:tblGrid>
        <w:gridCol w:w="678"/>
        <w:gridCol w:w="8407"/>
        <w:gridCol w:w="685"/>
      </w:tblGrid>
      <w:tr w:rsidR="009E5E07">
        <w:tc>
          <w:tcPr>
            <w:tcW w:w="662" w:type="dxa"/>
            <w:tcBorders>
              <w:top w:val="nil"/>
              <w:left w:val="nil"/>
              <w:bottom w:val="nil"/>
              <w:right w:val="nil"/>
            </w:tcBorders>
            <w:shd w:val="clear" w:color="auto" w:fill="auto"/>
          </w:tcPr>
          <w:p w:rsidR="009E5E07" w:rsidRDefault="009E5E07"/>
        </w:tc>
        <w:tc>
          <w:tcPr>
            <w:tcW w:w="8210" w:type="dxa"/>
            <w:tcBorders>
              <w:top w:val="nil"/>
              <w:left w:val="nil"/>
              <w:bottom w:val="nil"/>
              <w:right w:val="nil"/>
            </w:tcBorders>
            <w:shd w:val="clear" w:color="auto" w:fill="auto"/>
          </w:tcPr>
          <w:p w:rsidR="009E5E07" w:rsidRDefault="00493F26">
            <w:pPr>
              <w:jc w:val="center"/>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6</w:t>
            </w:r>
            <w:r>
              <w:fldChar w:fldCharType="end"/>
            </w:r>
            <w:r>
              <w:t>)</w:t>
            </w:r>
          </w:p>
        </w:tc>
      </w:tr>
    </w:tbl>
    <w:p w:rsidR="009E5E07" w:rsidRDefault="00493F26">
      <w:r>
        <w:t>and</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7</w:t>
            </w:r>
            <w:r>
              <w:fldChar w:fldCharType="end"/>
            </w:r>
            <w:r>
              <w:t>)</w:t>
            </w:r>
          </w:p>
        </w:tc>
      </w:tr>
    </w:tbl>
    <w:p w:rsidR="009E5E07" w:rsidRDefault="00493F26">
      <w:r>
        <w:t>Therefore, the population difference-in-differences is:</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493F26">
              <w:t>.</w:t>
            </w: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8</w:t>
            </w:r>
            <w:r>
              <w:fldChar w:fldCharType="end"/>
            </w:r>
            <w:r>
              <w:t>)</w:t>
            </w:r>
          </w:p>
        </w:tc>
      </w:tr>
    </w:tbl>
    <w:p w:rsidR="009E5E07" w:rsidRDefault="00493F26">
      <w:r>
        <w:t xml:space="preserve">Here </w:t>
      </w:r>
      <w:r>
        <w:rPr>
          <w:rFonts w:ascii="Times New Roman" w:hAnsi="Times New Roman" w:cs="Times New Roman"/>
        </w:rPr>
        <w:t>δ</w:t>
      </w:r>
      <w:r>
        <w:t xml:space="preserve"> is the causal effect of interest which is estimated through the model described in equation </w:t>
      </w:r>
      <w:r>
        <w:fldChar w:fldCharType="begin"/>
      </w:r>
      <w:r>
        <w:instrText>REF _Ref534894565 \h</w:instrText>
      </w:r>
      <w:r>
        <w:fldChar w:fldCharType="separate"/>
      </w:r>
      <w:r>
        <w:t>(1</w:t>
      </w:r>
      <w:r>
        <w:fldChar w:fldCharType="end"/>
      </w:r>
      <w:r>
        <w:t xml:space="preserve">. The parameters in the model of equation </w:t>
      </w:r>
      <w:r>
        <w:fldChar w:fldCharType="begin"/>
      </w:r>
      <w:r>
        <w:instrText>REF _Ref534894565 \h</w:instrText>
      </w:r>
      <w:r>
        <w:fldChar w:fldCharType="separate"/>
      </w:r>
      <w:r>
        <w:t>(1</w:t>
      </w:r>
      <w:r>
        <w:fldChar w:fldCharType="end"/>
      </w:r>
      <w:r>
        <w:t xml:space="preserve"> can be seen in the light of the model described in equation </w:t>
      </w:r>
      <w:r>
        <w:fldChar w:fldCharType="begin"/>
      </w:r>
      <w:r>
        <w:instrText>REF _Ref534893964 \h</w:instrText>
      </w:r>
      <w:r>
        <w:fldChar w:fldCharType="separate"/>
      </w:r>
      <w:r>
        <w:t>(5</w:t>
      </w:r>
      <w:r>
        <w:fldChar w:fldCharType="end"/>
      </w:r>
      <w:r>
        <w:t xml:space="preserve"> in the following way:</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9</w:t>
            </w:r>
            <w:r>
              <w:fldChar w:fldCharType="end"/>
            </w:r>
            <w:r>
              <w:t>)</w:t>
            </w:r>
          </w:p>
        </w:tc>
      </w:tr>
    </w:tbl>
    <w:p w:rsidR="009E5E07" w:rsidRDefault="00493F26">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10</w:t>
            </w:r>
            <w:r>
              <w:fldChar w:fldCharType="end"/>
            </w:r>
            <w:r>
              <w:t>)</w:t>
            </w:r>
          </w:p>
          <w:p w:rsidR="009E5E07" w:rsidRDefault="009E5E07">
            <w:pPr>
              <w:jc w:val="right"/>
            </w:pPr>
          </w:p>
        </w:tc>
      </w:tr>
    </w:tbl>
    <w:p w:rsidR="009E5E07" w:rsidRDefault="009875B3">
      <m:oMath>
        <m:sSub>
          <m:sSubPr>
            <m:ctrlPr>
              <w:rPr>
                <w:rFonts w:ascii="Cambria Math" w:hAnsi="Cambria Math"/>
              </w:rPr>
            </m:ctrlPr>
          </m:sSubPr>
          <m:e>
            <m:r>
              <w:rPr>
                <w:rFonts w:ascii="Cambria Math" w:hAnsi="Cambria Math"/>
              </w:rPr>
              <m:t>β</m:t>
            </m:r>
          </m:e>
          <m:sub>
            <m:r>
              <w:rPr>
                <w:rFonts w:ascii="Cambria Math" w:hAnsi="Cambria Math"/>
              </w:rPr>
              <m:t>1</m:t>
            </m:r>
          </m:sub>
        </m:sSub>
      </m:oMath>
      <w:r w:rsidR="00493F26">
        <w:t xml:space="preserve"> is the time effect of tenants group post treatment minus the time effect of the tenants post treatment. That is equal to the difference in the average health before and after the treatment.</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11</w:t>
            </w:r>
            <w:r>
              <w:fldChar w:fldCharType="end"/>
            </w:r>
            <w:r>
              <w:t>)</w:t>
            </w:r>
          </w:p>
        </w:tc>
      </w:tr>
    </w:tbl>
    <w:p w:rsidR="009E5E07" w:rsidRDefault="009E5E07"/>
    <w:p w:rsidR="009E5E07" w:rsidRDefault="00493F26">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9875B3">
            <w:pPr>
              <w:jc w:val="center"/>
            </w:pP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w:r w:rsidR="00493F26">
              <w:t xml:space="preserve"> </w:t>
            </w: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12</w:t>
            </w:r>
            <w:r>
              <w:fldChar w:fldCharType="end"/>
            </w:r>
            <w:r>
              <w:t>)</w:t>
            </w:r>
          </w:p>
        </w:tc>
      </w:tr>
    </w:tbl>
    <w:p w:rsidR="009E5E07" w:rsidRDefault="00493F26">
      <w:r>
        <w:t>So this is the difference in differences between average health before and after the treatment of the home owners and the tenants.</w:t>
      </w:r>
    </w:p>
    <w:p w:rsidR="009E5E07" w:rsidRDefault="00493F26">
      <w:r>
        <w:tab/>
        <w:t xml:space="preserve">Because characteristics might differ and therefore explain some of the variation in health in the first group (i.e. all the observations) an extra regression on that group will be run which includes some extra </w:t>
      </w:r>
      <w:r w:rsidR="00DB5381">
        <w:t>variables</w:t>
      </w:r>
      <w:r>
        <w:t xml:space="preserve">. The extra </w:t>
      </w:r>
      <w:r w:rsidR="00DB5381">
        <w:t>variables</w:t>
      </w:r>
      <w:r>
        <w:t xml:space="preserve"> are net income, education and gender because they can all be assumed to have an effect on health. This is not necessary in the second group because these differences should cancel out between the pre-treatment and post-treatment periods.</w:t>
      </w:r>
      <w:r w:rsidR="00DB5381">
        <w:t xml:space="preserve"> Because the extra variables are received from other surveys which are linked to the existing observations there are less observations when running this regression. This is because not everyone answers all the questions or surveys.</w:t>
      </w:r>
      <w:r>
        <w:t xml:space="preserve"> The regression model will then look like this:</w:t>
      </w:r>
    </w:p>
    <w:p w:rsidR="009E5E07" w:rsidRDefault="00493F26">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*Time*Treated+X+ε</m:t>
          </m:r>
        </m:oMath>
      </m:oMathPara>
    </w:p>
    <w:p w:rsidR="009E5E07" w:rsidRDefault="00493F26">
      <w:r>
        <w:t xml:space="preserve">Where X represents the extra coefficients. </w:t>
      </w:r>
      <w:r w:rsidR="009875B3">
        <w:t xml:space="preserve">Gender is a dummy variable where 1 represents male and 0 represent female. Education is also a dummy variable where 1 represents highly educated and 0 not highly educated. Highly educated are people who have finished an education at the HBO lever or university. </w:t>
      </w:r>
    </w:p>
    <w:p w:rsidR="009E5E07" w:rsidRDefault="009E5E07">
      <w:pPr>
        <w:rPr>
          <w:b/>
          <w:sz w:val="28"/>
          <w:szCs w:val="28"/>
        </w:rPr>
      </w:pPr>
    </w:p>
    <w:p w:rsidR="009E5E07" w:rsidRDefault="00493F26">
      <w:pPr>
        <w:rPr>
          <w:b/>
        </w:rPr>
      </w:pPr>
      <w:r>
        <w:rPr>
          <w:b/>
          <w:sz w:val="28"/>
          <w:szCs w:val="28"/>
        </w:rPr>
        <w:t>Results</w:t>
      </w:r>
      <w:r>
        <w:rPr>
          <w:b/>
        </w:rPr>
        <w:t>:</w:t>
      </w:r>
    </w:p>
    <w:p w:rsidR="009E5E07" w:rsidRDefault="009E5E07">
      <w:pPr>
        <w:rPr>
          <w:b/>
        </w:rPr>
      </w:pPr>
    </w:p>
    <w:p w:rsidR="009E5E07" w:rsidRDefault="00493F26">
      <w:pPr>
        <w:rPr>
          <w:b/>
        </w:rPr>
      </w:pPr>
      <w:r>
        <w:rPr>
          <w:b/>
        </w:rPr>
        <w:t>Basic OLS results</w:t>
      </w:r>
    </w:p>
    <w:p w:rsidR="009E5E07" w:rsidRDefault="00493F26">
      <w:r>
        <w:t>A simple OLS regression was conducted first to check whether or not there exists a correlation between health  and health in this dataset. With the simple model:</w:t>
      </w:r>
    </w:p>
    <w:p w:rsidR="009E5E07" w:rsidRDefault="00493F26">
      <w:pPr>
        <w:jc w:val="center"/>
      </w:pPr>
      <m:oMathPara>
        <m:oMath>
          <m:r>
            <w:rPr>
              <w:rFonts w:ascii="Cambria Math" w:hAnsi="Cambria Math"/>
            </w:rPr>
            <w:lastRenderedPageBreak/>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9E5E07" w:rsidRDefault="00493F26">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6</w:t>
      </w:r>
      <w:r>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9E5E07" w:rsidTr="009E5E0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9E5E07" w:rsidRDefault="00493F26">
            <w:pPr>
              <w:rPr>
                <w:color w:val="31849B" w:themeColor="accent5" w:themeShade="BF"/>
              </w:rPr>
            </w:pPr>
            <w:r>
              <w:rPr>
                <w:color w:val="31849B" w:themeColor="accent5" w:themeShade="BF"/>
              </w:rPr>
              <w:t>Intercept</w:t>
            </w:r>
          </w:p>
        </w:tc>
        <w:tc>
          <w:tcPr>
            <w:tcW w:w="2409"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9E5E07" w:rsidRDefault="00493F26">
            <w:pPr>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9E5E07" w:rsidRDefault="00493F26">
            <w:pPr>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9E5E07" w:rsidRDefault="009875B3">
            <w:pPr>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9E5E07" w:rsidRDefault="009E5E07">
      <w:pPr>
        <w:rPr>
          <w:b/>
        </w:rPr>
      </w:pPr>
    </w:p>
    <w:p w:rsidR="009E5E07" w:rsidRDefault="009E5E07">
      <w:pPr>
        <w:rPr>
          <w:b/>
        </w:rPr>
      </w:pPr>
    </w:p>
    <w:p w:rsidR="009E5E07" w:rsidRDefault="009E5E07">
      <w:pPr>
        <w:rPr>
          <w:b/>
        </w:rPr>
      </w:pPr>
    </w:p>
    <w:p w:rsidR="009E5E07" w:rsidRDefault="009E5E07">
      <w:pPr>
        <w:pStyle w:val="Caption"/>
      </w:pPr>
    </w:p>
    <w:p w:rsidR="009E5E07" w:rsidRDefault="00493F26">
      <w:pPr>
        <w:pStyle w:val="Caption"/>
        <w:rPr>
          <w:b/>
          <w:i w:val="0"/>
        </w:rPr>
      </w:pPr>
      <w:r>
        <w:rPr>
          <w:b/>
          <w:i w:val="0"/>
        </w:rPr>
        <w:t>Difference in Difference Analysis</w:t>
      </w:r>
    </w:p>
    <w:p w:rsidR="009E5E07" w:rsidRDefault="00493F26">
      <w:r>
        <w:t xml:space="preserve">As pointed out before in this paper, endogeneity is a problem when considering the effects of wealth on health. </w:t>
      </w:r>
      <w:r w:rsidR="00DB5381">
        <w:t>A number of</w:t>
      </w:r>
      <w:r>
        <w:t xml:space="preserve">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r w:rsidR="001427D5">
        <w:t xml:space="preserve"> The third analysis also analyses the short-term effect by using the 2013 and 2017 waves. The variable of interest is DID. If this variable is significant there is a significant difference in differences and therefore imply a possible causal relationship from wealth to health. </w:t>
      </w:r>
    </w:p>
    <w:p w:rsidR="001427D5" w:rsidRDefault="001427D5" w:rsidP="001427D5">
      <w:pPr>
        <w:ind w:firstLine="720"/>
      </w:pPr>
      <w:r>
        <w:t xml:space="preserve">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w:t>
      </w:r>
      <w:r w:rsidR="00F768B6">
        <w:t>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post treatment average health of the tenants.</w:t>
      </w:r>
    </w:p>
    <w:p w:rsidR="00F768B6" w:rsidRDefault="00F768B6" w:rsidP="001427D5">
      <w:pPr>
        <w:ind w:firstLine="720"/>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w:t>
      </w:r>
      <w:r w:rsidR="00DB5381">
        <w:t xml:space="preserve">. </w:t>
      </w:r>
    </w:p>
    <w:p w:rsidR="009E5E07" w:rsidRDefault="00DB5381">
      <w:r>
        <w:tab/>
      </w:r>
      <w:r w:rsidR="00DA6FBC">
        <w:t xml:space="preserve">When controlling for the other variables the significance of the DID variables disappear in both the regressions. This implies that in all three the regressions there is not a significant difference </w:t>
      </w:r>
      <w:r w:rsidR="00DA6FBC">
        <w:lastRenderedPageBreak/>
        <w:t xml:space="preserve">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w:t>
      </w:r>
      <w:r w:rsidR="00B240B1">
        <w:t>and/</w:t>
      </w:r>
      <w:r w:rsidR="00DA6FBC">
        <w:t>or that the</w:t>
      </w:r>
      <w:r w:rsidR="00B240B1">
        <w:t xml:space="preserve"> groups have changed over time. This will have to checked robustness checks.</w:t>
      </w:r>
    </w:p>
    <w:p w:rsidR="009E5E07" w:rsidRDefault="009E5E07">
      <w:pPr>
        <w:rPr>
          <w:i/>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7</w:t>
      </w:r>
      <w:r>
        <w:fldChar w:fldCharType="end"/>
      </w:r>
      <w:r>
        <w:t>: DD results all observations</w:t>
      </w:r>
    </w:p>
    <w:tbl>
      <w:tblPr>
        <w:tblW w:w="9662" w:type="dxa"/>
        <w:jc w:val="center"/>
        <w:tblInd w:w="93" w:type="dxa"/>
        <w:tblBorders>
          <w:top w:val="single" w:sz="4" w:space="0" w:color="000001"/>
        </w:tblBorders>
        <w:tblLook w:val="04A0" w:firstRow="1" w:lastRow="0" w:firstColumn="1" w:lastColumn="0" w:noHBand="0" w:noVBand="1"/>
      </w:tblPr>
      <w:tblGrid>
        <w:gridCol w:w="1440"/>
        <w:gridCol w:w="1162"/>
        <w:gridCol w:w="1160"/>
        <w:gridCol w:w="1160"/>
        <w:gridCol w:w="1161"/>
        <w:gridCol w:w="1262"/>
        <w:gridCol w:w="1160"/>
        <w:gridCol w:w="1157"/>
      </w:tblGrid>
      <w:tr w:rsidR="009E5E07" w:rsidTr="00493F26">
        <w:trPr>
          <w:trHeight w:val="255"/>
          <w:jc w:val="center"/>
        </w:trPr>
        <w:tc>
          <w:tcPr>
            <w:tcW w:w="143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60"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6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6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6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0.0235*</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0.9413***</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(0.0069)</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1" w:type="dxa"/>
            <w:tcBorders>
              <w:left w:val="single" w:sz="4" w:space="0" w:color="00000A"/>
              <w:bottom w:val="single" w:sz="4" w:space="0" w:color="000001"/>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60" w:type="dxa"/>
            <w:tcBorders>
              <w:bottom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1"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26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0.0100</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3760"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keepNext/>
              <w:rPr>
                <w:rFonts w:ascii="Calibri" w:eastAsia="Times New Roman" w:hAnsi="Calibri" w:cs="Times New Roman"/>
                <w:sz w:val="20"/>
                <w:szCs w:val="20"/>
                <w:lang w:eastAsia="en-US" w:bidi="ar-SA"/>
              </w:rPr>
            </w:pPr>
          </w:p>
        </w:tc>
      </w:tr>
    </w:tbl>
    <w:p w:rsidR="00DB5381" w:rsidRDefault="00DB5381" w:rsidP="00DB5381">
      <w:pPr>
        <w:pStyle w:val="Caption"/>
        <w:rPr>
          <w:i w:val="0"/>
        </w:rPr>
      </w:pPr>
      <w:r>
        <w:rPr>
          <w:i w:val="0"/>
        </w:rPr>
        <w:tab/>
        <w:t>The results from the regressions in the second group, so only observations of the same persons pre and post tre</w:t>
      </w:r>
      <w:r w:rsidR="00B240B1">
        <w:rPr>
          <w:i w:val="0"/>
        </w:rPr>
        <w:t>atment, can be seen in table 8. There are no significant results for the DID variable. Therefore, there is no evidence that there is a causal effect from wealth on health.</w:t>
      </w:r>
      <w:r>
        <w:rPr>
          <w:i w:val="0"/>
        </w:rPr>
        <w:t xml:space="preserve"> </w:t>
      </w:r>
    </w:p>
    <w:p w:rsidR="009E5E07" w:rsidRDefault="00493F26">
      <w:pPr>
        <w:pStyle w:val="Caption"/>
        <w:keepNext/>
      </w:pPr>
      <w:r>
        <w:t xml:space="preserve">Table </w:t>
      </w:r>
      <w:r>
        <w:fldChar w:fldCharType="begin"/>
      </w:r>
      <w:r>
        <w:instrText>SEQ Table \* ARABIC</w:instrText>
      </w:r>
      <w:r>
        <w:fldChar w:fldCharType="separate"/>
      </w:r>
      <w:r w:rsidR="00B240B1">
        <w:rPr>
          <w:noProof/>
        </w:rPr>
        <w:t>8</w:t>
      </w:r>
      <w:r>
        <w:fldChar w:fldCharType="end"/>
      </w:r>
      <w:r>
        <w:t>: DD results same persons</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(0.0151)</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0.0243*</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0.0183</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0.0167</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(0.0216)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0.9595***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0.9410***</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(0.0103)</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0.0040</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0.0122</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Pr>
        <w:pStyle w:val="Caption"/>
        <w:ind w:firstLine="720"/>
        <w:rPr>
          <w:i w:val="0"/>
        </w:rPr>
      </w:pPr>
    </w:p>
    <w:p w:rsidR="009E5E07" w:rsidRDefault="009E5E07">
      <w:pPr>
        <w:pStyle w:val="Caption"/>
        <w:ind w:firstLine="720"/>
        <w:rPr>
          <w:i w:val="0"/>
        </w:rPr>
      </w:pPr>
    </w:p>
    <w:p w:rsidR="009E5E07" w:rsidRDefault="009E5E07"/>
    <w:p w:rsidR="00B240B1" w:rsidRDefault="00493F26">
      <w:pPr>
        <w:rPr>
          <w:b/>
          <w:sz w:val="28"/>
          <w:szCs w:val="28"/>
        </w:rPr>
      </w:pPr>
      <w:r>
        <w:rPr>
          <w:b/>
          <w:sz w:val="28"/>
          <w:szCs w:val="28"/>
        </w:rPr>
        <w:t>Robustness checks</w:t>
      </w:r>
    </w:p>
    <w:p w:rsidR="00B240B1" w:rsidRDefault="00B240B1">
      <w:r>
        <w:t xml:space="preserve">To test whether </w:t>
      </w:r>
      <w:r w:rsidR="00875604">
        <w:t>the results are valid, several robustness checks have been run. First there is a pretreatment check to test that the</w:t>
      </w:r>
      <w:r w:rsidR="009875B3">
        <w:t xml:space="preserve"> health of the</w:t>
      </w:r>
      <w:r w:rsidR="00875604">
        <w:t xml:space="preserv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rsidR="00B240B1" w:rsidRDefault="00875604">
      <w: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rsidR="00B240B1" w:rsidRDefault="00B240B1" w:rsidP="00B240B1">
      <w:pPr>
        <w:pStyle w:val="Caption"/>
        <w:keepNext/>
      </w:pPr>
      <w:r>
        <w:t xml:space="preserve">Table </w:t>
      </w:r>
      <w:fldSimple w:instr=" SEQ Table \* ARABIC ">
        <w:r>
          <w:rPr>
            <w:noProof/>
          </w:rPr>
          <w:t>9</w:t>
        </w:r>
      </w:fldSimple>
      <w:r>
        <w:t>: pretreatment check</w:t>
      </w:r>
    </w:p>
    <w:tbl>
      <w:tblPr>
        <w:tblW w:w="3212" w:type="dxa"/>
        <w:jc w:val="center"/>
        <w:tblInd w:w="93" w:type="dxa"/>
        <w:tblLook w:val="04A0" w:firstRow="1" w:lastRow="0" w:firstColumn="1" w:lastColumn="0" w:noHBand="0" w:noVBand="1"/>
      </w:tblPr>
      <w:tblGrid>
        <w:gridCol w:w="1440"/>
        <w:gridCol w:w="1772"/>
      </w:tblGrid>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r>
      <w:tr w:rsidR="00B240B1" w:rsidRPr="00B240B1" w:rsidTr="009875B3">
        <w:trPr>
          <w:trHeight w:val="255"/>
          <w:jc w:val="center"/>
        </w:trPr>
        <w:tc>
          <w:tcPr>
            <w:tcW w:w="1440" w:type="dxa"/>
            <w:tcBorders>
              <w:top w:val="single" w:sz="4" w:space="0" w:color="000000"/>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c>
          <w:tcPr>
            <w:tcW w:w="1772" w:type="dxa"/>
            <w:tcBorders>
              <w:top w:val="single" w:sz="4" w:space="0" w:color="000000"/>
              <w:left w:val="nil"/>
              <w:bottom w:val="nil"/>
              <w:right w:val="nil"/>
            </w:tcBorders>
            <w:shd w:val="clear" w:color="auto" w:fill="auto"/>
            <w:noWrap/>
            <w:vAlign w:val="bottom"/>
            <w:hideMark/>
          </w:tcPr>
          <w:p w:rsidR="00B240B1" w:rsidRPr="00B240B1" w:rsidRDefault="00875604" w:rsidP="00B240B1">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2001 - 2006</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VARIABLES</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Health</w:t>
            </w:r>
          </w:p>
        </w:tc>
      </w:tr>
      <w:tr w:rsidR="00B240B1" w:rsidRPr="00B240B1" w:rsidTr="009875B3">
        <w:trPr>
          <w:trHeight w:val="255"/>
          <w:jc w:val="center"/>
        </w:trPr>
        <w:tc>
          <w:tcPr>
            <w:tcW w:w="1440" w:type="dxa"/>
            <w:tcBorders>
              <w:top w:val="single" w:sz="4" w:space="0" w:color="000000"/>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c>
          <w:tcPr>
            <w:tcW w:w="1772" w:type="dxa"/>
            <w:tcBorders>
              <w:top w:val="single" w:sz="4" w:space="0" w:color="000000"/>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time</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-0.0182**</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(0.0090)</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treated</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0.0139</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(0.0102)</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DID</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0.0061</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(0.0138)</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Constant</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0.9586***</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(0.0064)</w:t>
            </w: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p>
        </w:tc>
      </w:tr>
      <w:tr w:rsidR="00B240B1" w:rsidRPr="00B240B1" w:rsidTr="009875B3">
        <w:trPr>
          <w:trHeight w:val="255"/>
          <w:jc w:val="center"/>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Observations</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3,610</w:t>
            </w:r>
          </w:p>
        </w:tc>
      </w:tr>
      <w:tr w:rsidR="00B240B1" w:rsidRPr="00B240B1" w:rsidTr="009875B3">
        <w:trPr>
          <w:trHeight w:val="255"/>
          <w:jc w:val="center"/>
        </w:trPr>
        <w:tc>
          <w:tcPr>
            <w:tcW w:w="1440" w:type="dxa"/>
            <w:tcBorders>
              <w:top w:val="nil"/>
              <w:left w:val="nil"/>
              <w:bottom w:val="single" w:sz="4" w:space="0" w:color="000000"/>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R-squared</w:t>
            </w:r>
          </w:p>
        </w:tc>
        <w:tc>
          <w:tcPr>
            <w:tcW w:w="1772" w:type="dxa"/>
            <w:tcBorders>
              <w:top w:val="nil"/>
              <w:left w:val="nil"/>
              <w:bottom w:val="single" w:sz="4" w:space="0" w:color="000000"/>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0.0030</w:t>
            </w:r>
          </w:p>
        </w:tc>
      </w:tr>
      <w:tr w:rsidR="00B240B1" w:rsidRPr="00B240B1" w:rsidTr="009875B3">
        <w:trPr>
          <w:trHeight w:val="255"/>
          <w:jc w:val="center"/>
        </w:trPr>
        <w:tc>
          <w:tcPr>
            <w:tcW w:w="3212" w:type="dxa"/>
            <w:gridSpan w:val="2"/>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Standard errors in parentheses</w:t>
            </w:r>
          </w:p>
        </w:tc>
      </w:tr>
      <w:tr w:rsidR="00B240B1" w:rsidRPr="00B240B1" w:rsidTr="009875B3">
        <w:trPr>
          <w:trHeight w:val="255"/>
          <w:jc w:val="center"/>
        </w:trPr>
        <w:tc>
          <w:tcPr>
            <w:tcW w:w="3212" w:type="dxa"/>
            <w:gridSpan w:val="2"/>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p&lt;0.01, ** p&lt;0.05, * p&lt;0.1</w:t>
            </w:r>
          </w:p>
        </w:tc>
      </w:tr>
      <w:tr w:rsidR="009875B3" w:rsidRPr="00B240B1" w:rsidTr="009875B3">
        <w:trPr>
          <w:trHeight w:val="255"/>
          <w:jc w:val="center"/>
        </w:trPr>
        <w:tc>
          <w:tcPr>
            <w:tcW w:w="3212" w:type="dxa"/>
            <w:gridSpan w:val="2"/>
            <w:tcBorders>
              <w:top w:val="nil"/>
              <w:left w:val="nil"/>
              <w:bottom w:val="nil"/>
              <w:right w:val="nil"/>
            </w:tcBorders>
            <w:shd w:val="clear" w:color="auto" w:fill="auto"/>
            <w:noWrap/>
            <w:vAlign w:val="bottom"/>
          </w:tcPr>
          <w:p w:rsidR="009875B3" w:rsidRPr="00B240B1" w:rsidRDefault="009875B3" w:rsidP="00B240B1">
            <w:pPr>
              <w:rPr>
                <w:rFonts w:ascii="Calibri" w:eastAsia="Times New Roman" w:hAnsi="Calibri" w:cs="Times New Roman"/>
                <w:color w:val="auto"/>
                <w:sz w:val="20"/>
                <w:szCs w:val="20"/>
                <w:lang w:eastAsia="en-US" w:bidi="ar-SA"/>
              </w:rPr>
            </w:pPr>
          </w:p>
        </w:tc>
      </w:tr>
    </w:tbl>
    <w:p w:rsidR="009875B3" w:rsidRDefault="009875B3" w:rsidP="009875B3">
      <w:r>
        <w:t>The way the average health behaves can also be visually inspected. Figure 2 shows the fitted lines of average health throughout the years 1995 to 2006. The assumption is that</w:t>
      </w:r>
      <w:r w:rsidR="00E4364F">
        <w:t xml:space="preserve"> the average health of the control and treatment group behave exactly the same and therefore the lines should be parallel. Otherwise there will be a difference in the differences by simply dividing the observations in different groups. In figure 2 it can be seen </w:t>
      </w:r>
      <w:r>
        <w:t xml:space="preserve"> </w:t>
      </w:r>
      <w:r w:rsidR="00E4364F">
        <w:t xml:space="preserve">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rsidR="009875B3" w:rsidRDefault="009875B3" w:rsidP="009875B3">
      <w:pPr>
        <w:keepNext/>
        <w:jc w:val="center"/>
      </w:pPr>
      <w:r>
        <w:rPr>
          <w:noProof/>
          <w:lang w:eastAsia="en-US" w:bidi="ar-SA"/>
        </w:rPr>
        <w:lastRenderedPageBreak/>
        <w:drawing>
          <wp:inline distT="0" distB="0" distL="0" distR="0" wp14:anchorId="62005BAE" wp14:editId="42CA0544">
            <wp:extent cx="4053409" cy="2945219"/>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fitted.png"/>
                    <pic:cNvPicPr/>
                  </pic:nvPicPr>
                  <pic:blipFill>
                    <a:blip r:embed="rId8">
                      <a:extLst>
                        <a:ext uri="{28A0092B-C50C-407E-A947-70E740481C1C}">
                          <a14:useLocalDpi xmlns:a14="http://schemas.microsoft.com/office/drawing/2010/main" val="0"/>
                        </a:ext>
                      </a:extLst>
                    </a:blip>
                    <a:stretch>
                      <a:fillRect/>
                    </a:stretch>
                  </pic:blipFill>
                  <pic:spPr>
                    <a:xfrm>
                      <a:off x="0" y="0"/>
                      <a:ext cx="4055685" cy="2946873"/>
                    </a:xfrm>
                    <a:prstGeom prst="rect">
                      <a:avLst/>
                    </a:prstGeom>
                  </pic:spPr>
                </pic:pic>
              </a:graphicData>
            </a:graphic>
          </wp:inline>
        </w:drawing>
      </w:r>
    </w:p>
    <w:p w:rsidR="00B240B1" w:rsidRDefault="009875B3" w:rsidP="009875B3">
      <w:pPr>
        <w:pStyle w:val="Caption"/>
        <w:jc w:val="center"/>
      </w:pPr>
      <w:r>
        <w:t xml:space="preserve">Figure </w:t>
      </w:r>
      <w:fldSimple w:instr=" SEQ Figure \* ARABIC ">
        <w:r>
          <w:rPr>
            <w:noProof/>
          </w:rPr>
          <w:t>2</w:t>
        </w:r>
      </w:fldSimple>
      <w:r>
        <w:t xml:space="preserve">: fitted lines through the average </w:t>
      </w:r>
      <w:proofErr w:type="spellStart"/>
      <w:r>
        <w:t>healths</w:t>
      </w:r>
      <w:proofErr w:type="spellEnd"/>
      <w:r>
        <w:t xml:space="preserve"> of the control and treatment group</w:t>
      </w:r>
    </w:p>
    <w:p w:rsidR="009875B3" w:rsidRDefault="009875B3" w:rsidP="009875B3"/>
    <w:p w:rsidR="00AE0A59" w:rsidRPr="00B240B1" w:rsidRDefault="00875604">
      <w:r>
        <w:t>The results of the mechanism check can be seen in table 10. This test</w:t>
      </w:r>
      <w:r w:rsidR="005E7D7D">
        <w:t xml:space="preserve">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w:t>
      </w:r>
      <w:r w:rsidR="00AE0A59">
        <w:t xml:space="preserve">xpected effect. This implies that the measured effects in the regressions on health using the DD analysis </w:t>
      </w:r>
      <w:commentRangeStart w:id="11"/>
      <w:r w:rsidR="00AE0A59">
        <w:t xml:space="preserve">measured something else than the effect of wealth on health except </w:t>
      </w:r>
      <w:commentRangeEnd w:id="11"/>
      <w:r w:rsidR="009875B3">
        <w:rPr>
          <w:rStyle w:val="CommentReference"/>
          <w:rFonts w:cs="Mangal"/>
        </w:rPr>
        <w:commentReference w:id="11"/>
      </w:r>
      <w:r w:rsidR="00AE0A59">
        <w:t>in the regression of the same persons group between 2007 and 2013.</w:t>
      </w:r>
    </w:p>
    <w:p w:rsidR="009E5E07" w:rsidRDefault="00493F26" w:rsidP="00493F26">
      <w:pPr>
        <w:pStyle w:val="Caption"/>
        <w:keepNext/>
      </w:pPr>
      <w:r>
        <w:t xml:space="preserve">Table </w:t>
      </w:r>
      <w:r>
        <w:fldChar w:fldCharType="begin"/>
      </w:r>
      <w:r>
        <w:instrText>SEQ Table \* ARABIC</w:instrText>
      </w:r>
      <w:r>
        <w:fldChar w:fldCharType="separate"/>
      </w:r>
      <w:r w:rsidR="00B240B1">
        <w:rPr>
          <w:noProof/>
        </w:rPr>
        <w:t>10</w:t>
      </w:r>
      <w:r>
        <w:fldChar w:fldCharType="end"/>
      </w:r>
      <w:r>
        <w:t>: mechanism check</w:t>
      </w:r>
    </w:p>
    <w:tbl>
      <w:tblPr>
        <w:tblW w:w="9761" w:type="dxa"/>
        <w:jc w:val="center"/>
        <w:tblInd w:w="93" w:type="dxa"/>
        <w:tblLook w:val="04A0" w:firstRow="1" w:lastRow="0" w:firstColumn="1" w:lastColumn="0" w:noHBand="0" w:noVBand="1"/>
      </w:tblPr>
      <w:tblGrid>
        <w:gridCol w:w="1290"/>
        <w:gridCol w:w="1299"/>
        <w:gridCol w:w="1304"/>
        <w:gridCol w:w="1299"/>
        <w:gridCol w:w="1299"/>
        <w:gridCol w:w="1299"/>
        <w:gridCol w:w="1299"/>
        <w:gridCol w:w="672"/>
      </w:tblGrid>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all observations</w:t>
            </w:r>
          </w:p>
        </w:tc>
        <w:tc>
          <w:tcPr>
            <w:tcW w:w="1304" w:type="dxa"/>
            <w:tcBorders>
              <w:right w:val="single" w:sz="4" w:space="0" w:color="00000A"/>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same persons</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3"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04"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3"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3,533</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6,130</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2,597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4,732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-4,700</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-821</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(9,902)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(10,051)</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(9,605)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(15,015)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(17,042)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(15,110)</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227,587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263,253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258,237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243,262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(9,924)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(10,665)</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(10,237)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(14,577)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(15,999)</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(13,963)</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-22,284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-18,349</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3,935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-48,246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-713</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25,871</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(14,351)</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(14,363)</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(13,527)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(20,639)</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(22,828)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(19,905)</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bookmarkStart w:id="12" w:name="_GoBack"/>
            <w:r>
              <w:rPr>
                <w:rFonts w:ascii="Calibri" w:eastAsia="Times New Roman" w:hAnsi="Calibri" w:cs="Times New Roman"/>
                <w:sz w:val="20"/>
                <w:szCs w:val="20"/>
                <w:lang w:eastAsia="en-US" w:bidi="ar-SA"/>
              </w:rPr>
              <w:t>Constant</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28,933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25,004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29,716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37,327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bookmarkEnd w:id="12"/>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(6,742)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(7,246)</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(7,162)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(10,506)</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(11,522)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(10,359)</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03"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0.2442</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0.2195</w:t>
            </w:r>
          </w:p>
        </w:tc>
        <w:tc>
          <w:tcPr>
            <w:tcW w:w="1304" w:type="dxa"/>
            <w:tcBorders>
              <w:bottom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0.2346</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0.2619</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0.2852</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0.2628</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3866"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562"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Pr>
        <w:rPr>
          <w:b/>
          <w:sz w:val="28"/>
          <w:szCs w:val="28"/>
        </w:rPr>
      </w:pPr>
    </w:p>
    <w:p w:rsidR="009E5E07" w:rsidRDefault="00AE0A59">
      <w:r>
        <w:lastRenderedPageBreak/>
        <w:t xml:space="preserve">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w:t>
      </w:r>
      <w:r w:rsidR="008465C1">
        <w:t>repliers, this could only form a problem in the all observations group.</w:t>
      </w:r>
    </w:p>
    <w:p w:rsidR="008465C1" w:rsidRDefault="008465C1">
      <w:r>
        <w:tab/>
        <w:t>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w:t>
      </w:r>
      <w:r w:rsidR="002608C4">
        <w:t xml:space="preserve"> the idea.</w:t>
      </w:r>
      <w:r>
        <w:t xml:space="preserve">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11</w:t>
      </w:r>
      <w:r>
        <w:fldChar w:fldCharType="end"/>
      </w:r>
      <w:r>
        <w:t>: characteristics check gender</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w:t>
            </w:r>
            <w:r w:rsidR="00AE0A59">
              <w:rPr>
                <w:rFonts w:ascii="Calibri" w:eastAsia="Times New Roman" w:hAnsi="Calibri" w:cs="Times New Roman"/>
                <w:sz w:val="20"/>
                <w:szCs w:val="20"/>
                <w:lang w:eastAsia="en-US" w:bidi="ar-SA"/>
              </w:rPr>
              <w:t xml:space="preserve">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0.0133</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0.0125</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-0.0008</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0.3919***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-0.0696**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-0.0644*</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(0.0362)</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0.3709***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(0.0174)</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(0.0192)</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0.1584</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0.1323</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0.1290</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12</w:t>
      </w:r>
      <w:r>
        <w:fldChar w:fldCharType="end"/>
      </w:r>
      <w:r>
        <w:t>: characteristics check education</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0.0807***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-0.0678**</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(0.0268)</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0.1619***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(0.0255)</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(0.0281)</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0.0111</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(0.0357)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0.3556***</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(0.0200)</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0.0395</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0.0370</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0.0317</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13</w:t>
      </w:r>
      <w:r>
        <w:fldChar w:fldCharType="end"/>
      </w:r>
      <w:r>
        <w:t>: characteristics check net income</w:t>
      </w:r>
    </w:p>
    <w:tbl>
      <w:tblPr>
        <w:tblW w:w="5466" w:type="dxa"/>
        <w:jc w:val="center"/>
        <w:tblInd w:w="93" w:type="dxa"/>
        <w:tblLook w:val="04A0" w:firstRow="1" w:lastRow="0" w:firstColumn="1" w:lastColumn="0" w:noHBand="0" w:noVBand="1"/>
      </w:tblPr>
      <w:tblGrid>
        <w:gridCol w:w="1441"/>
        <w:gridCol w:w="1342"/>
        <w:gridCol w:w="1342"/>
        <w:gridCol w:w="1341"/>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4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42"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c>
          <w:tcPr>
            <w:tcW w:w="1342"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c>
          <w:tcPr>
            <w:tcW w:w="1341"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2,964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2,933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-31.3424</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(752)</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(802)</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(872)</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13,736 ***</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(721)</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(789)</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(885)</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-1,028</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403</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1,431</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(1,065)</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(1,105)</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(1,193)</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16,605 ***</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(505)</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(552)</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(631)</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4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0.2255</w:t>
            </w:r>
          </w:p>
        </w:tc>
        <w:tc>
          <w:tcPr>
            <w:tcW w:w="134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0.2166</w:t>
            </w:r>
          </w:p>
        </w:tc>
        <w:tc>
          <w:tcPr>
            <w:tcW w:w="1341"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0.1855</w:t>
            </w:r>
          </w:p>
        </w:tc>
      </w:tr>
      <w:tr w:rsidR="009E5E07" w:rsidTr="00493F26">
        <w:trPr>
          <w:trHeight w:val="255"/>
          <w:jc w:val="center"/>
        </w:trPr>
        <w:tc>
          <w:tcPr>
            <w:tcW w:w="4124"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782"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493F26">
      <w:pPr>
        <w:rPr>
          <w:b/>
          <w:bCs/>
          <w:lang w:val="nl-NL"/>
        </w:rPr>
      </w:pPr>
      <w:r>
        <w:rPr>
          <w:b/>
          <w:bCs/>
          <w:lang w:val="nl-NL"/>
        </w:rPr>
        <w:t>Literatuur</w:t>
      </w:r>
    </w:p>
    <w:p w:rsidR="009E5E07" w:rsidRDefault="009E5E07">
      <w:pPr>
        <w:rPr>
          <w:b/>
          <w:bCs/>
          <w:lang w:val="nl-NL"/>
        </w:rPr>
      </w:pPr>
    </w:p>
    <w:p w:rsidR="009E5E07" w:rsidRDefault="00493F26">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9E5E07" w:rsidRDefault="009E5E07"/>
    <w:p w:rsidR="009E5E07" w:rsidRDefault="00493F26">
      <w:proofErr w:type="spellStart"/>
      <w:r>
        <w:t>Apouey</w:t>
      </w:r>
      <w:proofErr w:type="spellEnd"/>
      <w:r>
        <w:t>, B., &amp; Clark, A. (2015). Winning Big but Feeling no Better? The Effect of Lottery Prizes on Physical and Mental Health. Health Economics, 24(5), 516-538.</w:t>
      </w:r>
    </w:p>
    <w:p w:rsidR="009E5E07" w:rsidRDefault="009E5E07"/>
    <w:p w:rsidR="009E5E07" w:rsidRDefault="00493F26">
      <w:r>
        <w:t>Au, N., &amp; Johnston, D. (2015). Too Much of a Good Thing? Exploring the Impact of Wealth on Weight. Health Economics, 24(11), 1403-1421.</w:t>
      </w:r>
    </w:p>
    <w:p w:rsidR="009E5E07" w:rsidRDefault="009E5E07"/>
    <w:p w:rsidR="009E5E07" w:rsidRDefault="00493F26">
      <w:proofErr w:type="spellStart"/>
      <w:r>
        <w:t>Cai</w:t>
      </w:r>
      <w:proofErr w:type="spellEnd"/>
      <w:r>
        <w:t>, L. (2009). Be wealthy to stay healthy: An analysis of older Australians using the HILDA survey. Journal of Sociology, 45(1), 55-70.</w:t>
      </w:r>
    </w:p>
    <w:p w:rsidR="009E5E07" w:rsidRDefault="009E5E07"/>
    <w:p w:rsidR="009E5E07" w:rsidRDefault="00493F26">
      <w:proofErr w:type="spellStart"/>
      <w:r>
        <w:t>CentERdata</w:t>
      </w:r>
      <w:proofErr w:type="spellEnd"/>
      <w:r>
        <w:t xml:space="preserve">. (2019). DHS data access. Retrieved January 2, 2019, from </w:t>
      </w:r>
      <w:hyperlink r:id="rId9">
        <w:r>
          <w:rPr>
            <w:rStyle w:val="InternetLink"/>
          </w:rPr>
          <w:t>https://www.dhsdata.nl/site/users/login</w:t>
        </w:r>
      </w:hyperlink>
    </w:p>
    <w:p w:rsidR="009E5E07" w:rsidRDefault="009E5E07"/>
    <w:p w:rsidR="009E5E07" w:rsidRDefault="00493F26">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rsidR="009E5E07" w:rsidRDefault="009E5E07">
      <w:pPr>
        <w:rPr>
          <w:rStyle w:val="InternetLink"/>
        </w:rPr>
      </w:pPr>
    </w:p>
    <w:p w:rsidR="00493F26" w:rsidRDefault="00493F26" w:rsidP="00493F26">
      <w:bookmarkStart w:id="13" w:name="__DdeLink__3171_1315779075"/>
      <w:r w:rsidRPr="00493F26">
        <w:rPr>
          <w:lang w:val="nl-NL"/>
        </w:rPr>
        <w:t>Het Juridisch Loket. (</w:t>
      </w:r>
      <w:proofErr w:type="spellStart"/>
      <w:r w:rsidRPr="00493F26">
        <w:rPr>
          <w:lang w:val="nl-NL"/>
        </w:rPr>
        <w:t>n.d</w:t>
      </w:r>
      <w:proofErr w:type="spellEnd"/>
      <w:r w:rsidRPr="00493F26">
        <w:rPr>
          <w:lang w:val="nl-NL"/>
        </w:rPr>
        <w:t>.).</w:t>
      </w:r>
      <w:bookmarkEnd w:id="13"/>
      <w:r w:rsidRPr="00493F26">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9E5E07" w:rsidRDefault="009E5E07"/>
    <w:p w:rsidR="009E5E07" w:rsidRDefault="00493F26">
      <w:r>
        <w:lastRenderedPageBreak/>
        <w:t xml:space="preserve">Idler, E., &amp; </w:t>
      </w:r>
      <w:proofErr w:type="spellStart"/>
      <w:r>
        <w:t>Benyamini</w:t>
      </w:r>
      <w:proofErr w:type="spellEnd"/>
      <w:r>
        <w:t>, Y. (1997). Self-Rated Health and Mortality: A Review of Twenty-Seven Community Studies. Journal of Health and Social Behavior, 38(1), 21-37.</w:t>
      </w:r>
    </w:p>
    <w:p w:rsidR="009E5E07" w:rsidRDefault="009E5E07"/>
    <w:p w:rsidR="009E5E07" w:rsidRDefault="00493F26">
      <w:proofErr w:type="spellStart"/>
      <w:r>
        <w:t>Keese</w:t>
      </w:r>
      <w:proofErr w:type="spellEnd"/>
      <w:r>
        <w:t>, M., &amp; Schmitz, H. (2014). Broke, Ill, and Obese: Is There an Effect of Household Debt on Health? Review of Income and Wealth, 60(3), 525-541.</w:t>
      </w:r>
    </w:p>
    <w:p w:rsidR="009E5E07" w:rsidRDefault="009E5E07"/>
    <w:p w:rsidR="009E5E07" w:rsidRDefault="00493F26">
      <w:r>
        <w:t xml:space="preserve">Kim, B., &amp; </w:t>
      </w:r>
      <w:proofErr w:type="spellStart"/>
      <w:r>
        <w:t>Ruhm</w:t>
      </w:r>
      <w:proofErr w:type="spellEnd"/>
      <w:r>
        <w:t>, C. (2012). Inheritances, health and death. Health Economics, 21(2), 127-144.</w:t>
      </w:r>
    </w:p>
    <w:p w:rsidR="009E5E07" w:rsidRDefault="009E5E07"/>
    <w:p w:rsidR="009E5E07" w:rsidRDefault="00493F26">
      <w:r>
        <w:t>Meer, Miller, &amp; Rosen. (2003). Exploring the health–wealth nexus. Journal of Health Economics, 22(5), 713-730.</w:t>
      </w:r>
    </w:p>
    <w:p w:rsidR="009E5E07" w:rsidRDefault="009E5E07"/>
    <w:p w:rsidR="009E5E07" w:rsidRDefault="00493F26">
      <w:r>
        <w:t xml:space="preserve">Michaud, &amp; Van </w:t>
      </w:r>
      <w:proofErr w:type="spellStart"/>
      <w:r>
        <w:t>Soest</w:t>
      </w:r>
      <w:proofErr w:type="spellEnd"/>
      <w:r>
        <w:t>. (2008). Health and wealth of elderly couples: Causality tests using dynamic panel data models. Journal of Health Economics, 27(5), 1312-1325.</w:t>
      </w:r>
    </w:p>
    <w:p w:rsidR="009E5E07" w:rsidRDefault="009E5E07"/>
    <w:p w:rsidR="009E5E07" w:rsidRDefault="00493F26">
      <w:pPr>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9E5E07" w:rsidRDefault="009E5E07">
      <w:pPr>
        <w:rPr>
          <w:lang w:val="nl-NL"/>
        </w:rPr>
      </w:pPr>
    </w:p>
    <w:p w:rsidR="009E5E07" w:rsidRDefault="00493F26">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9E5E07" w:rsidRDefault="009E5E07"/>
    <w:p w:rsidR="00493F26" w:rsidRDefault="00493F26" w:rsidP="00493F26">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493F26" w:rsidRDefault="00493F26"/>
    <w:sectPr w:rsidR="00493F26">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6:21:00Z" w:initials="UvA">
    <w:p w:rsidR="009875B3" w:rsidRPr="00493F26" w:rsidRDefault="009875B3">
      <w:pPr>
        <w:rPr>
          <w:lang w:val="nl-NL"/>
        </w:rPr>
      </w:pPr>
      <w:r>
        <w:rPr>
          <w:rFonts w:eastAsia="DejaVu Sans" w:cs="DejaVu Sans"/>
          <w:color w:val="auto"/>
          <w:lang w:val="nl-NL" w:eastAsia="en-US" w:bidi="en-US"/>
        </w:rPr>
        <w:t>Kan dit niet gewoon naar beneden naar de data of methoden sectie?</w:t>
      </w:r>
    </w:p>
    <w:p w:rsidR="009875B3" w:rsidRPr="00493F26" w:rsidRDefault="009875B3">
      <w:pPr>
        <w:rPr>
          <w:lang w:val="nl-NL"/>
        </w:rPr>
      </w:pPr>
    </w:p>
  </w:comment>
  <w:comment w:id="1" w:author="UvA" w:date="2019-01-15T15:26:00Z" w:initials="UvA">
    <w:p w:rsidR="009875B3" w:rsidRPr="009875B3" w:rsidRDefault="009875B3">
      <w:pPr>
        <w:rPr>
          <w:lang w:val="nl-NL"/>
        </w:rPr>
      </w:pPr>
      <w:r w:rsidRPr="009875B3">
        <w:rPr>
          <w:rFonts w:eastAsia="DejaVu Sans" w:cs="DejaVu Sans"/>
          <w:color w:val="auto"/>
          <w:lang w:val="nl-NL" w:eastAsia="en-US" w:bidi="en-US"/>
        </w:rPr>
        <w:t>Veranderen</w:t>
      </w:r>
    </w:p>
    <w:p w:rsidR="009875B3" w:rsidRPr="009875B3" w:rsidRDefault="009875B3">
      <w:pPr>
        <w:rPr>
          <w:lang w:val="nl-NL"/>
        </w:rPr>
      </w:pPr>
    </w:p>
  </w:comment>
  <w:comment w:id="7" w:author="UvA" w:date="2019-01-15T19:39:00Z" w:initials="UvA">
    <w:p w:rsidR="009875B3" w:rsidRPr="009875B3" w:rsidRDefault="009875B3">
      <w:pPr>
        <w:pStyle w:val="CommentText"/>
        <w:rPr>
          <w:lang w:val="nl-NL"/>
        </w:rPr>
      </w:pPr>
      <w:r>
        <w:rPr>
          <w:rStyle w:val="CommentReference"/>
        </w:rPr>
        <w:annotationRef/>
      </w:r>
      <w:r w:rsidRPr="009875B3">
        <w:rPr>
          <w:lang w:val="nl-NL"/>
        </w:rPr>
        <w:t>Mehh</w:t>
      </w:r>
    </w:p>
    <w:p w:rsidR="009875B3" w:rsidRPr="009875B3" w:rsidRDefault="009875B3">
      <w:pPr>
        <w:pStyle w:val="CommentText"/>
        <w:rPr>
          <w:lang w:val="nl-NL"/>
        </w:rPr>
      </w:pPr>
    </w:p>
  </w:comment>
  <w:comment w:id="8" w:author="UvA" w:date="2019-01-09T15:21:00Z" w:initials="UvA">
    <w:p w:rsidR="009875B3" w:rsidRPr="009875B3" w:rsidRDefault="009875B3">
      <w:pPr>
        <w:rPr>
          <w:lang w:val="nl-NL"/>
        </w:rPr>
      </w:pPr>
      <w:r w:rsidRPr="009875B3">
        <w:rPr>
          <w:rFonts w:eastAsia="DejaVu Sans" w:cs="DejaVu Sans"/>
          <w:color w:val="auto"/>
          <w:lang w:val="nl-NL" w:eastAsia="en-US" w:bidi="en-US"/>
        </w:rPr>
        <w:t>Gevolg?</w:t>
      </w:r>
    </w:p>
  </w:comment>
  <w:comment w:id="11" w:author="UvA" w:date="2019-01-16T11:13:00Z" w:initials="UvA">
    <w:p w:rsidR="009875B3" w:rsidRPr="009875B3" w:rsidRDefault="009875B3">
      <w:pPr>
        <w:pStyle w:val="CommentText"/>
        <w:rPr>
          <w:lang w:val="nl-NL"/>
        </w:rPr>
      </w:pPr>
      <w:r>
        <w:rPr>
          <w:rStyle w:val="CommentReference"/>
        </w:rPr>
        <w:annotationRef/>
      </w:r>
      <w:r w:rsidRPr="009875B3">
        <w:rPr>
          <w:lang w:val="nl-NL"/>
        </w:rPr>
        <w:t>Nog even over an denken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07"/>
    <w:rsid w:val="001427D5"/>
    <w:rsid w:val="002608C4"/>
    <w:rsid w:val="00493F26"/>
    <w:rsid w:val="005E7D7D"/>
    <w:rsid w:val="005F151D"/>
    <w:rsid w:val="0080757A"/>
    <w:rsid w:val="008465C1"/>
    <w:rsid w:val="00875604"/>
    <w:rsid w:val="009875B3"/>
    <w:rsid w:val="009E5E07"/>
    <w:rsid w:val="00AE0A59"/>
    <w:rsid w:val="00B240B1"/>
    <w:rsid w:val="00DA6FBC"/>
    <w:rsid w:val="00DB5381"/>
    <w:rsid w:val="00E4364F"/>
    <w:rsid w:val="00F768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85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07BC-9A57-46F3-BEDD-F25BFABF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6542</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43745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dcterms:created xsi:type="dcterms:W3CDTF">2019-01-16T10:52:00Z</dcterms:created>
  <dcterms:modified xsi:type="dcterms:W3CDTF">2019-01-16T10:52:00Z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