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37B" w:rsidRDefault="00CB0C55" w:rsidP="00CB0C55">
      <w:pPr>
        <w:spacing w:line="360" w:lineRule="auto"/>
        <w:jc w:val="both"/>
      </w:pPr>
      <w:proofErr w:type="spellStart"/>
      <w:r>
        <w:rPr>
          <w:b/>
          <w:bCs/>
          <w:color w:val="000000"/>
          <w:highlight w:val="white"/>
        </w:rPr>
        <w:t>Niels</w:t>
      </w:r>
      <w:proofErr w:type="spellEnd"/>
      <w:r>
        <w:rPr>
          <w:b/>
          <w:bCs/>
          <w:color w:val="000000"/>
          <w:highlight w:val="white"/>
        </w:rPr>
        <w:t xml:space="preserve"> van </w:t>
      </w:r>
      <w:proofErr w:type="spellStart"/>
      <w:r>
        <w:rPr>
          <w:b/>
          <w:bCs/>
          <w:color w:val="000000"/>
          <w:highlight w:val="white"/>
        </w:rPr>
        <w:t>Opstal</w:t>
      </w:r>
      <w:proofErr w:type="spellEnd"/>
      <w:r>
        <w:rPr>
          <w:b/>
          <w:bCs/>
          <w:color w:val="000000"/>
          <w:highlight w:val="white"/>
        </w:rPr>
        <w:t xml:space="preserve"> 4-1</w:t>
      </w:r>
    </w:p>
    <w:p w:rsidR="0021637B" w:rsidRDefault="0021637B" w:rsidP="00CB0C55">
      <w:pPr>
        <w:spacing w:line="360" w:lineRule="auto"/>
        <w:jc w:val="both"/>
        <w:rPr>
          <w:b/>
          <w:bCs/>
          <w:color w:val="000000"/>
          <w:highlight w:val="white"/>
        </w:rPr>
      </w:pP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 xml:space="preserve">The goal of this paper is to examine the causality between health and wealth in the Netherlands. This paper will try to deal with the </w:t>
      </w:r>
      <w:proofErr w:type="spellStart"/>
      <w:r>
        <w:t>endogeneity</w:t>
      </w:r>
      <w:proofErr w:type="spellEnd"/>
      <w:r>
        <w:t xml:space="preserve">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lastRenderedPageBreak/>
        <w:tab/>
        <w:t xml:space="preserve">To try to find the 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The sixth chapter will present the results </w:t>
      </w:r>
      <w:proofErr w:type="spellStart"/>
      <w:r>
        <w:rPr>
          <w:color w:val="000000"/>
          <w:highlight w:val="white"/>
        </w:rPr>
        <w:t>form</w:t>
      </w:r>
      <w:proofErr w:type="spellEnd"/>
      <w:r>
        <w:rPr>
          <w:color w:val="000000"/>
          <w:highlight w:val="white"/>
        </w:rPr>
        <w:t xml:space="preserve"> several robustness tests and the final chapter will discuss the results and improvements for this study. </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B0C55">
      <w:pPr>
        <w:spacing w:line="360" w:lineRule="auto"/>
        <w:jc w:val="both"/>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B0C55">
      <w:pPr>
        <w:spacing w:line="360" w:lineRule="auto"/>
        <w:jc w:val="both"/>
      </w:pPr>
      <w:r>
        <w:rPr>
          <w:color w:val="000000"/>
          <w:highlight w:val="white"/>
        </w:rPr>
        <w:tab/>
        <w:t xml:space="preserve">There are however some studies that do address causality in the health wealth connection and they mostly find insignificant causal effects. Meer et al. (2003) use a straightforward instrumental variable strategy to deal with the </w:t>
      </w:r>
      <w:proofErr w:type="spellStart"/>
      <w:r>
        <w:rPr>
          <w:color w:val="000000"/>
          <w:highlight w:val="white"/>
        </w:rPr>
        <w:t>endogeneity</w:t>
      </w:r>
      <w:proofErr w:type="spellEnd"/>
      <w:r>
        <w:rPr>
          <w:color w:val="000000"/>
          <w:highlight w:val="white"/>
        </w:rPr>
        <w:t xml:space="preserve">.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r>
        <w:rPr>
          <w:color w:val="000000"/>
          <w:highlight w:val="white"/>
        </w:rPr>
        <w:lastRenderedPageBreak/>
        <w:t>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B0C55">
      <w:pPr>
        <w:spacing w:line="360" w:lineRule="auto"/>
        <w:jc w:val="both"/>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21637B" w:rsidRDefault="00CB0C55" w:rsidP="00CB0C55">
      <w:pPr>
        <w:spacing w:line="360" w:lineRule="auto"/>
        <w:jc w:val="both"/>
      </w:pPr>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B0C55">
      <w:pPr>
        <w:spacing w:line="360" w:lineRule="auto"/>
        <w:jc w:val="both"/>
      </w:pPr>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w:t>
      </w:r>
      <w:proofErr w:type="spellStart"/>
      <w:r>
        <w:rPr>
          <w:color w:val="000000"/>
          <w:highlight w:val="white"/>
        </w:rPr>
        <w:t>endogeneity</w:t>
      </w:r>
      <w:proofErr w:type="spellEnd"/>
      <w:r>
        <w:rPr>
          <w:color w:val="000000"/>
          <w:highlight w:val="white"/>
        </w:rPr>
        <w:t xml:space="preserve">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Default="00CB0C55" w:rsidP="00CB0C55">
      <w:pPr>
        <w:spacing w:line="360" w:lineRule="auto"/>
        <w:jc w:val="both"/>
      </w:pPr>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21637B" w:rsidRPr="00CB0C55" w:rsidRDefault="00CB0C55" w:rsidP="00CB0C55">
      <w:pPr>
        <w:spacing w:line="360" w:lineRule="auto"/>
        <w:jc w:val="both"/>
      </w:pPr>
      <w:r>
        <w:rPr>
          <w:color w:val="000000"/>
          <w:highlight w:val="white"/>
        </w:rPr>
        <w:tab/>
      </w:r>
      <w:bookmarkStart w:id="1" w:name="__UnoMark__2185_363168767"/>
      <w:bookmarkStart w:id="2" w:name="__UnoMark__2196_363168767"/>
      <w:bookmarkStart w:id="3" w:name="__UnoMark__2189_363168767"/>
      <w:bookmarkStart w:id="4" w:name="__UnoMark__2194_363168767"/>
      <w:proofErr w:type="spellStart"/>
      <w:r>
        <w:rPr>
          <w:color w:val="000000"/>
          <w:highlight w:val="white"/>
        </w:rPr>
        <w:t>Keese</w:t>
      </w:r>
      <w:proofErr w:type="spellEnd"/>
      <w:r>
        <w:rPr>
          <w:color w:val="000000"/>
          <w:highlight w:val="white"/>
        </w:rPr>
        <w:t xml:space="preserve"> and Schmitz (2014)</w:t>
      </w:r>
      <w:bookmarkEnd w:id="1"/>
      <w:bookmarkEnd w:id="2"/>
      <w:bookmarkEnd w:id="3"/>
      <w:bookmarkEnd w:id="4"/>
      <w:r>
        <w:rPr>
          <w:color w:val="000000"/>
          <w:highlight w:val="white"/>
        </w:rPr>
        <w:t xml:space="preserve">⁠ find a significant causal effect between indebtedness and worse physical and mental health. They control for the unobserved heterogeneity between health and </w:t>
      </w:r>
      <w:r>
        <w:rPr>
          <w:color w:val="000000"/>
          <w:highlight w:val="white"/>
        </w:rPr>
        <w:lastRenderedPageBreak/>
        <w:t xml:space="preserve">indebtedness by using fixed-effects methods and also a subsample of constantly employed individuals plus lagged debt variables. By using those methods they reduce the problem of the </w:t>
      </w:r>
      <w:proofErr w:type="spellStart"/>
      <w:r>
        <w:rPr>
          <w:color w:val="000000"/>
          <w:highlight w:val="white"/>
        </w:rPr>
        <w:t>endogeneity</w:t>
      </w:r>
      <w:proofErr w:type="spellEnd"/>
      <w:r>
        <w:rPr>
          <w:color w:val="000000"/>
          <w:highlight w:val="white"/>
        </w:rPr>
        <w:t>. Although they do not search for a causal relationship between wealth and health, debt is part of net wealth which will be used in this paper.</w:t>
      </w: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xml:space="preserve">”, a benefit to pay your insurance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w:t>
      </w:r>
      <w:proofErr w:type="spellStart"/>
      <w:r>
        <w:t>payed</w:t>
      </w:r>
      <w:proofErr w:type="spellEnd"/>
      <w:r>
        <w:t xml:space="preserve"> at least 70% of their salary in the first year. If 70% of the salary is below the minimum loan, they get </w:t>
      </w:r>
      <w:proofErr w:type="spellStart"/>
      <w:r>
        <w:t>payed</w:t>
      </w:r>
      <w:proofErr w:type="spellEnd"/>
      <w:r>
        <w:t xml:space="preserve">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be </w:t>
      </w:r>
      <w:proofErr w:type="spellStart"/>
      <w:r>
        <w:t>payed</w:t>
      </w:r>
      <w:proofErr w:type="spellEnd"/>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w:t>
      </w:r>
      <w:r>
        <w:lastRenderedPageBreak/>
        <w:t>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Bijschrift"/>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chtearcering-accent5"/>
        <w:tblW w:w="9854" w:type="dxa"/>
        <w:tblLook w:val="04A0"/>
      </w:tblPr>
      <w:tblGrid>
        <w:gridCol w:w="4928"/>
        <w:gridCol w:w="4926"/>
      </w:tblGrid>
      <w:tr w:rsidR="0021637B" w:rsidTr="0021637B">
        <w:trPr>
          <w:cnfStyle w:val="100000000000"/>
        </w:trPr>
        <w:tc>
          <w:tcPr>
            <w:cnfStyle w:val="00100000000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rPr>
                <w:color w:val="000000"/>
                <w:spacing w:val="15"/>
              </w:rPr>
            </w:pPr>
            <w:r>
              <w:rPr>
                <w:color w:val="000000"/>
                <w:spacing w:val="15"/>
              </w:rPr>
              <w:t>Liabilities</w:t>
            </w: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rPr>
                <w:color w:val="000000"/>
                <w:spacing w:val="15"/>
              </w:rPr>
            </w:pPr>
            <w:r>
              <w:rPr>
                <w:color w:val="000000"/>
                <w:spacing w:val="15"/>
              </w:rPr>
              <w:t>private loans</w:t>
            </w: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rPr>
                <w:color w:val="000000"/>
                <w:spacing w:val="15"/>
              </w:rPr>
            </w:pPr>
            <w:r>
              <w:rPr>
                <w:color w:val="000000"/>
                <w:spacing w:val="15"/>
              </w:rPr>
              <w:t>extended lines of credit</w:t>
            </w: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rPr>
                <w:color w:val="000000"/>
                <w:spacing w:val="15"/>
              </w:rPr>
            </w:pPr>
            <w:r>
              <w:rPr>
                <w:color w:val="000000"/>
                <w:spacing w:val="15"/>
              </w:rPr>
              <w:t>outstanding debts not mentioned earlier</w:t>
            </w: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rPr>
                <w:color w:val="000000"/>
                <w:spacing w:val="15"/>
              </w:rPr>
            </w:pPr>
            <w:r>
              <w:rPr>
                <w:color w:val="000000"/>
                <w:spacing w:val="15"/>
              </w:rPr>
              <w:t>finance debts</w:t>
            </w: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rPr>
                <w:color w:val="000000"/>
                <w:spacing w:val="15"/>
              </w:rPr>
            </w:pPr>
            <w:r>
              <w:rPr>
                <w:color w:val="000000"/>
                <w:spacing w:val="15"/>
              </w:rPr>
              <w:t>loans from family or friends</w:t>
            </w: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rPr>
                <w:color w:val="000000"/>
                <w:spacing w:val="15"/>
              </w:rPr>
            </w:pPr>
            <w:r>
              <w:rPr>
                <w:color w:val="000000"/>
                <w:spacing w:val="15"/>
              </w:rPr>
              <w:t>study loans</w:t>
            </w: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rPr>
                <w:color w:val="000000"/>
                <w:spacing w:val="15"/>
              </w:rPr>
            </w:pPr>
            <w:r>
              <w:rPr>
                <w:color w:val="000000"/>
                <w:spacing w:val="15"/>
              </w:rPr>
              <w:t>credit card debts</w:t>
            </w: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rPr>
                <w:color w:val="000000"/>
                <w:spacing w:val="15"/>
              </w:rPr>
            </w:pPr>
            <w:r>
              <w:rPr>
                <w:color w:val="000000"/>
                <w:spacing w:val="15"/>
              </w:rPr>
              <w:t>loans not mentioned before</w:t>
            </w: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rPr>
                <w:color w:val="000000"/>
                <w:spacing w:val="15"/>
              </w:rPr>
            </w:pPr>
            <w:r>
              <w:rPr>
                <w:color w:val="000000"/>
                <w:spacing w:val="15"/>
              </w:rPr>
              <w:t>checking accounts with negative balance</w:t>
            </w: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rPr>
                <w:color w:val="31849B" w:themeColor="accent5" w:themeShade="BF"/>
                <w:spacing w:val="15"/>
              </w:rPr>
            </w:pPr>
          </w:p>
        </w:tc>
      </w:tr>
      <w:tr w:rsidR="0021637B" w:rsidTr="0021637B">
        <w:tc>
          <w:tcPr>
            <w:cnfStyle w:val="00100000000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lastRenderedPageBreak/>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rPr>
                <w:color w:val="31849B" w:themeColor="accent5" w:themeShade="BF"/>
                <w:spacing w:val="15"/>
              </w:rPr>
            </w:pPr>
          </w:p>
        </w:tc>
      </w:tr>
      <w:tr w:rsidR="0021637B" w:rsidTr="0021637B">
        <w:trPr>
          <w:cnfStyle w:val="000000100000"/>
        </w:trPr>
        <w:tc>
          <w:tcPr>
            <w:cnfStyle w:val="00100000000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val="nl-NL" w:eastAsia="nl-NL" w:bidi="ar-SA"/>
        </w:rPr>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tretch>
                      <a:fillRect/>
                    </a:stretch>
                  </pic:blipFill>
                  <pic:spPr bwMode="auto">
                    <a:xfrm>
                      <a:off x="0" y="0"/>
                      <a:ext cx="4972050" cy="4886325"/>
                    </a:xfrm>
                    <a:prstGeom prst="rect">
                      <a:avLst/>
                    </a:prstGeom>
                  </pic:spPr>
                </pic:pic>
              </a:graphicData>
            </a:graphic>
          </wp:inline>
        </w:drawing>
      </w:r>
    </w:p>
    <w:p w:rsidR="0021637B" w:rsidRDefault="00CB0C55" w:rsidP="00CB0C55">
      <w:pPr>
        <w:pStyle w:val="Bijschrift"/>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Netherlands. Source: CBS</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w:t>
      </w:r>
      <w:r>
        <w:rPr>
          <w:highlight w:val="white"/>
        </w:rPr>
        <w:lastRenderedPageBreak/>
        <w:t xml:space="preserve">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 the control and treatment groups</w:t>
      </w:r>
    </w:p>
    <w:tbl>
      <w:tblPr>
        <w:tblStyle w:val="Lichtearcering-accent5"/>
        <w:tblW w:w="8132" w:type="dxa"/>
        <w:jc w:val="center"/>
        <w:tblLook w:val="04A0"/>
      </w:tblPr>
      <w:tblGrid>
        <w:gridCol w:w="2034"/>
        <w:gridCol w:w="2033"/>
        <w:gridCol w:w="2033"/>
        <w:gridCol w:w="2032"/>
      </w:tblGrid>
      <w:tr w:rsidR="0021637B" w:rsidTr="0021637B">
        <w:trPr>
          <w:cnfStyle w:val="100000000000"/>
          <w:trHeight w:val="552"/>
          <w:jc w:val="center"/>
        </w:trPr>
        <w:tc>
          <w:tcPr>
            <w:cnfStyle w:val="00100000000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rPr>
                <w:color w:val="000000"/>
                <w:spacing w:val="15"/>
                <w:highlight w:val="white"/>
              </w:rPr>
            </w:pPr>
            <w:r>
              <w:rPr>
                <w:color w:val="000000"/>
                <w:spacing w:val="15"/>
                <w:highlight w:val="white"/>
              </w:rPr>
              <w:t>Total observations</w:t>
            </w:r>
          </w:p>
        </w:tc>
      </w:tr>
      <w:tr w:rsidR="0021637B" w:rsidTr="0021637B">
        <w:trPr>
          <w:cnfStyle w:val="000000100000"/>
          <w:trHeight w:val="375"/>
          <w:jc w:val="center"/>
        </w:trPr>
        <w:tc>
          <w:tcPr>
            <w:cnfStyle w:val="00100000000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rPr>
                <w:color w:val="000000"/>
                <w:spacing w:val="15"/>
              </w:rPr>
            </w:pPr>
            <w:r>
              <w:rPr>
                <w:color w:val="000000"/>
                <w:spacing w:val="15"/>
              </w:rPr>
              <w:t>1809</w:t>
            </w:r>
          </w:p>
        </w:tc>
      </w:tr>
      <w:tr w:rsidR="0021637B" w:rsidTr="0021637B">
        <w:trPr>
          <w:trHeight w:val="429"/>
          <w:jc w:val="center"/>
        </w:trPr>
        <w:tc>
          <w:tcPr>
            <w:cnfStyle w:val="00100000000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rPr>
                <w:color w:val="000000"/>
                <w:spacing w:val="15"/>
              </w:rPr>
            </w:pPr>
            <w:r>
              <w:rPr>
                <w:color w:val="000000"/>
                <w:spacing w:val="15"/>
              </w:rPr>
              <w:t>1649</w:t>
            </w:r>
          </w:p>
        </w:tc>
      </w:tr>
      <w:tr w:rsidR="0021637B" w:rsidTr="0021637B">
        <w:trPr>
          <w:cnfStyle w:val="000000100000"/>
          <w:trHeight w:val="269"/>
          <w:jc w:val="center"/>
        </w:trPr>
        <w:tc>
          <w:tcPr>
            <w:cnfStyle w:val="00100000000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rPr>
                <w:color w:val="000000"/>
                <w:spacing w:val="15"/>
              </w:rPr>
            </w:pPr>
            <w:r>
              <w:rPr>
                <w:color w:val="000000"/>
                <w:spacing w:val="15"/>
              </w:rPr>
              <w:t>2215</w:t>
            </w:r>
          </w:p>
        </w:tc>
      </w:tr>
    </w:tbl>
    <w:p w:rsidR="0021637B" w:rsidRDefault="00CB0C55" w:rsidP="00CB0C55">
      <w:pPr>
        <w:spacing w:line="360" w:lineRule="auto"/>
        <w:jc w:val="both"/>
      </w:pPr>
      <w: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Default="00CB0C55" w:rsidP="00CB0C55">
      <w:pPr>
        <w:pStyle w:val="Bijschrift"/>
        <w:keepNext/>
        <w:spacing w:line="360" w:lineRule="auto"/>
        <w:jc w:val="both"/>
      </w:pPr>
      <w:r>
        <w:lastRenderedPageBreak/>
        <w:br/>
      </w:r>
      <w:r>
        <w:br/>
        <w:t xml:space="preserve">Table </w:t>
      </w:r>
      <w:r w:rsidR="0021637B">
        <w:fldChar w:fldCharType="begin"/>
      </w:r>
      <w:r>
        <w:instrText>SEQ Table \* ARABIC</w:instrText>
      </w:r>
      <w:r w:rsidR="0021637B">
        <w:fldChar w:fldCharType="separate"/>
      </w:r>
      <w:r w:rsidR="00B4560D">
        <w:rPr>
          <w:noProof/>
        </w:rPr>
        <w:t>3</w:t>
      </w:r>
      <w:r w:rsidR="0021637B">
        <w:fldChar w:fldCharType="end"/>
      </w:r>
      <w:r w:rsidR="00B4560D">
        <w:t>:</w:t>
      </w:r>
      <w:r>
        <w:t xml:space="preserve"> summary statistics 2007</w:t>
      </w:r>
    </w:p>
    <w:tbl>
      <w:tblPr>
        <w:tblStyle w:val="Lichtearcering-accent5"/>
        <w:tblW w:w="7148" w:type="dxa"/>
        <w:jc w:val="center"/>
        <w:tblLook w:val="04A0"/>
      </w:tblPr>
      <w:tblGrid>
        <w:gridCol w:w="1790"/>
        <w:gridCol w:w="1787"/>
        <w:gridCol w:w="1787"/>
        <w:gridCol w:w="1784"/>
      </w:tblGrid>
      <w:tr w:rsidR="0021637B" w:rsidTr="0021637B">
        <w:trPr>
          <w:cnfStyle w:val="100000000000"/>
          <w:jc w:val="center"/>
        </w:trPr>
        <w:tc>
          <w:tcPr>
            <w:cnfStyle w:val="00100000000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Standard deviation</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0.18</w:t>
            </w:r>
          </w:p>
        </w:tc>
      </w:tr>
      <w:tr w:rsidR="0021637B" w:rsidTr="0021637B">
        <w:trPr>
          <w:jc w:val="center"/>
        </w:trPr>
        <w:tc>
          <w:tcPr>
            <w:cnfStyle w:val="00100000000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0.22</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329,037</w:t>
            </w:r>
          </w:p>
        </w:tc>
      </w:tr>
      <w:tr w:rsidR="0021637B" w:rsidTr="0021637B">
        <w:trPr>
          <w:jc w:val="center"/>
        </w:trPr>
        <w:tc>
          <w:tcPr>
            <w:cnfStyle w:val="00100000000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chtearcering-accent5"/>
        <w:tblW w:w="7148" w:type="dxa"/>
        <w:jc w:val="center"/>
        <w:tblLook w:val="04A0"/>
      </w:tblPr>
      <w:tblGrid>
        <w:gridCol w:w="1790"/>
        <w:gridCol w:w="1787"/>
        <w:gridCol w:w="1787"/>
        <w:gridCol w:w="1784"/>
      </w:tblGrid>
      <w:tr w:rsidR="0021637B" w:rsidTr="0021637B">
        <w:trPr>
          <w:cnfStyle w:val="100000000000"/>
          <w:jc w:val="center"/>
        </w:trPr>
        <w:tc>
          <w:tcPr>
            <w:cnfStyle w:val="00100000000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Standard deviation</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0.20</w:t>
            </w:r>
          </w:p>
        </w:tc>
      </w:tr>
      <w:tr w:rsidR="0021637B" w:rsidTr="0021637B">
        <w:trPr>
          <w:jc w:val="center"/>
        </w:trPr>
        <w:tc>
          <w:tcPr>
            <w:cnfStyle w:val="00100000000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0.22</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249,175</w:t>
            </w:r>
          </w:p>
        </w:tc>
      </w:tr>
      <w:tr w:rsidR="0021637B" w:rsidTr="0021637B">
        <w:trPr>
          <w:jc w:val="center"/>
        </w:trPr>
        <w:tc>
          <w:tcPr>
            <w:cnfStyle w:val="00100000000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chtearcering-accent1"/>
        <w:tblW w:w="7148" w:type="dxa"/>
        <w:jc w:val="center"/>
        <w:tblLook w:val="04A0"/>
      </w:tblPr>
      <w:tblGrid>
        <w:gridCol w:w="1790"/>
        <w:gridCol w:w="1787"/>
        <w:gridCol w:w="1787"/>
        <w:gridCol w:w="1784"/>
      </w:tblGrid>
      <w:tr w:rsidR="0021637B" w:rsidTr="0021637B">
        <w:trPr>
          <w:cnfStyle w:val="100000000000"/>
          <w:jc w:val="center"/>
        </w:trPr>
        <w:tc>
          <w:tcPr>
            <w:cnfStyle w:val="00100000000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rPr>
                <w:bCs w:val="0"/>
                <w:color w:val="000000"/>
                <w:spacing w:val="15"/>
              </w:rPr>
            </w:pPr>
            <w:r>
              <w:rPr>
                <w:bCs w:val="0"/>
                <w:color w:val="000000"/>
                <w:spacing w:val="15"/>
              </w:rPr>
              <w:t>Standard deviation</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0.18</w:t>
            </w:r>
          </w:p>
        </w:tc>
      </w:tr>
      <w:tr w:rsidR="0021637B" w:rsidTr="0021637B">
        <w:trPr>
          <w:jc w:val="center"/>
        </w:trPr>
        <w:tc>
          <w:tcPr>
            <w:cnfStyle w:val="00100000000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0.27</w:t>
            </w:r>
          </w:p>
        </w:tc>
      </w:tr>
      <w:tr w:rsidR="0021637B" w:rsidTr="0021637B">
        <w:trPr>
          <w:cnfStyle w:val="000000100000"/>
          <w:jc w:val="center"/>
        </w:trPr>
        <w:tc>
          <w:tcPr>
            <w:cnfStyle w:val="00100000000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rPr>
                <w:bCs/>
                <w:color w:val="000000"/>
                <w:spacing w:val="15"/>
              </w:rPr>
            </w:pPr>
            <w:r>
              <w:rPr>
                <w:bCs/>
                <w:color w:val="000000"/>
                <w:spacing w:val="15"/>
              </w:rPr>
              <w:t>291,670</w:t>
            </w:r>
          </w:p>
        </w:tc>
      </w:tr>
      <w:tr w:rsidR="0021637B" w:rsidTr="0021637B">
        <w:trPr>
          <w:jc w:val="center"/>
        </w:trPr>
        <w:tc>
          <w:tcPr>
            <w:cnfStyle w:val="00100000000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lastRenderedPageBreak/>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p>
    <w:p w:rsidR="0021637B" w:rsidRDefault="0021637B" w:rsidP="00CB0C55">
      <w:pPr>
        <w:spacing w:line="360" w:lineRule="auto"/>
        <w:jc w:val="both"/>
      </w:pP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5"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5"/>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21637B" w:rsidRDefault="00CB0C55" w:rsidP="00CB0C55">
      <w:pPr>
        <w:spacing w:line="360" w:lineRule="auto"/>
        <w:jc w:val="both"/>
      </w:pPr>
      <w:r>
        <w:tab/>
        <w:t>Therefore the hypotheses are:</w:t>
      </w: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6"/>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fldSimple w:instr="REF _Ref534893964 \h \* MERGEFORMAT ">
        <w:r w:rsidR="00B4560D">
          <w:t>(</w:t>
        </w:r>
        <w:r w:rsidR="00B4560D">
          <w:rPr>
            <w:noProof/>
          </w:rPr>
          <w:t>5</w:t>
        </w:r>
      </w:fldSimple>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elraster"/>
        <w:tblW w:w="4950" w:type="pct"/>
        <w:tblCellMar>
          <w:left w:w="138" w:type="dxa"/>
        </w:tblCellMar>
        <w:tblLook w:val="04A0"/>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 </w:t>
      </w:r>
      <w:fldSimple w:instr="REF _Ref534894565 \h \* MERGEFORMAT ">
        <w:r w:rsidR="00B4560D">
          <w:t>(</w:t>
        </w:r>
        <w:r w:rsidR="00B4560D">
          <w:rPr>
            <w:noProof/>
          </w:rPr>
          <w:t>1</w:t>
        </w:r>
      </w:fldSimple>
      <w:r>
        <w:t xml:space="preserve">). The parameters in the model of equation </w:t>
      </w:r>
      <w:fldSimple w:instr="REF _Ref534894565 \h \* MERGEFORMAT ">
        <w:r w:rsidR="00B4560D">
          <w:t>(</w:t>
        </w:r>
        <w:r w:rsidR="00B4560D">
          <w:rPr>
            <w:noProof/>
          </w:rPr>
          <w:t>1</w:t>
        </w:r>
      </w:fldSimple>
      <w:r>
        <w:t xml:space="preserve"> can be seen in the light of the model described in equation </w:t>
      </w:r>
      <w:fldSimple w:instr="REF _Ref534893964 \h \* MERGEFORMAT ">
        <w:r w:rsidR="00B4560D">
          <w:t>(</w:t>
        </w:r>
        <w:r w:rsidR="00B4560D">
          <w:rPr>
            <w:noProof/>
          </w:rPr>
          <w:t>5</w:t>
        </w:r>
      </w:fldSimple>
      <w:r>
        <w:t>) in the following way:</w:t>
      </w:r>
    </w:p>
    <w:p w:rsidR="0021637B" w:rsidRDefault="0021637B" w:rsidP="00CB0C55">
      <w:pPr>
        <w:spacing w:line="360" w:lineRule="auto"/>
        <w:jc w:val="both"/>
      </w:pP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21637B"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elraster"/>
        <w:tblW w:w="5000" w:type="pct"/>
        <w:tblCellMar>
          <w:left w:w="138" w:type="dxa"/>
        </w:tblCellMar>
        <w:tblLook w:val="04A0"/>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21637B"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*Time*Treated+X+ε</m:t>
          </m:r>
        </m:oMath>
      </m:oMathPara>
    </w:p>
    <w:p w:rsidR="0021637B" w:rsidRDefault="00CB0C55" w:rsidP="00CB0C55">
      <w:pPr>
        <w:spacing w:line="360" w:lineRule="auto"/>
        <w:jc w:val="both"/>
      </w:pPr>
      <w:r>
        <w:t xml:space="preserve">Where X represents the extra coefficients. Gender is a dummy variable where 1 represents male and 0 represent female. Education is also a dummy variable where 1 represents highly educated and 0 </w:t>
      </w:r>
      <w:r>
        <w:lastRenderedPageBreak/>
        <w:t xml:space="preserve">not highly educated. Highly educated are people who have finished an education at the HBO lever or university. </w:t>
      </w:r>
    </w:p>
    <w:p w:rsidR="0021637B" w:rsidRDefault="0021637B" w:rsidP="00CB0C55">
      <w:pPr>
        <w:spacing w:line="360" w:lineRule="auto"/>
        <w:jc w:val="both"/>
        <w:rPr>
          <w:b/>
          <w:sz w:val="28"/>
          <w:szCs w:val="28"/>
        </w:rPr>
      </w:pP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CB0C55" w:rsidP="00CB0C55">
      <w:pPr>
        <w:spacing w:line="360" w:lineRule="auto"/>
        <w:jc w:val="both"/>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w:t>
      </w:r>
      <w:proofErr w:type="spellStart"/>
      <w:r>
        <w:t>te</w:t>
      </w:r>
      <w:proofErr w:type="spellEnd"/>
      <w:r>
        <w:t xml:space="preserve"> that this correlation does not say anything about the possible causal effect. </w:t>
      </w:r>
    </w:p>
    <w:p w:rsidR="0021637B" w:rsidRDefault="0021637B" w:rsidP="00CB0C55">
      <w:pPr>
        <w:spacing w:line="360" w:lineRule="auto"/>
        <w:jc w:val="both"/>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chtearcering-accent5"/>
        <w:tblW w:w="4820" w:type="dxa"/>
        <w:jc w:val="center"/>
        <w:tblLook w:val="04A0"/>
      </w:tblPr>
      <w:tblGrid>
        <w:gridCol w:w="2411"/>
        <w:gridCol w:w="2409"/>
      </w:tblGrid>
      <w:tr w:rsidR="0021637B" w:rsidTr="0021637B">
        <w:trPr>
          <w:cnfStyle w:val="100000000000"/>
          <w:trHeight w:val="284"/>
          <w:jc w:val="center"/>
        </w:trPr>
        <w:tc>
          <w:tcPr>
            <w:cnfStyle w:val="00100000000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rPr>
                <w:color w:val="31849B" w:themeColor="accent5" w:themeShade="BF"/>
              </w:rPr>
            </w:pPr>
            <w:r>
              <w:rPr>
                <w:color w:val="31849B" w:themeColor="accent5" w:themeShade="BF"/>
              </w:rPr>
              <w:t>0.9476</w:t>
            </w:r>
          </w:p>
        </w:tc>
      </w:tr>
      <w:tr w:rsidR="0021637B" w:rsidTr="0021637B">
        <w:trPr>
          <w:cnfStyle w:val="000000100000"/>
          <w:trHeight w:val="284"/>
          <w:jc w:val="center"/>
        </w:trPr>
        <w:tc>
          <w:tcPr>
            <w:cnfStyle w:val="00100000000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rPr>
                <w:color w:val="31849B" w:themeColor="accent5" w:themeShade="BF"/>
              </w:rPr>
            </w:pPr>
            <w:r>
              <w:rPr>
                <w:color w:val="31849B" w:themeColor="accent5" w:themeShade="BF"/>
              </w:rPr>
              <w:t>(0.000)</w:t>
            </w:r>
          </w:p>
        </w:tc>
      </w:tr>
      <w:tr w:rsidR="0021637B" w:rsidTr="0021637B">
        <w:trPr>
          <w:trHeight w:val="284"/>
          <w:jc w:val="center"/>
        </w:trPr>
        <w:tc>
          <w:tcPr>
            <w:cnfStyle w:val="00100000000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trHeight w:val="284"/>
          <w:jc w:val="center"/>
        </w:trPr>
        <w:tc>
          <w:tcPr>
            <w:cnfStyle w:val="00100000000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rPr>
                <w:color w:val="31849B" w:themeColor="accent5" w:themeShade="BF"/>
              </w:rPr>
            </w:pPr>
            <w:r>
              <w:rPr>
                <w:color w:val="31849B" w:themeColor="accent5" w:themeShade="BF"/>
              </w:rPr>
              <w:t>(0.016)</w:t>
            </w:r>
          </w:p>
        </w:tc>
      </w:tr>
      <w:tr w:rsidR="0021637B" w:rsidTr="0021637B">
        <w:trPr>
          <w:trHeight w:val="284"/>
          <w:jc w:val="center"/>
        </w:trPr>
        <w:tc>
          <w:tcPr>
            <w:cnfStyle w:val="00100000000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rPr>
                <w:color w:val="31849B" w:themeColor="accent5" w:themeShade="BF"/>
              </w:rPr>
            </w:pPr>
            <w:r>
              <w:rPr>
                <w:color w:val="31849B" w:themeColor="accent5" w:themeShade="BF"/>
              </w:rPr>
              <w:t xml:space="preserve">5.86 </w:t>
            </w:r>
          </w:p>
        </w:tc>
      </w:tr>
      <w:tr w:rsidR="0021637B" w:rsidTr="0021637B">
        <w:trPr>
          <w:cnfStyle w:val="000000100000"/>
          <w:trHeight w:val="284"/>
          <w:jc w:val="center"/>
        </w:trPr>
        <w:tc>
          <w:tcPr>
            <w:cnfStyle w:val="00100000000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rPr>
                <w:color w:val="31849B" w:themeColor="accent5" w:themeShade="BF"/>
              </w:rPr>
            </w:pPr>
            <w:r>
              <w:rPr>
                <w:color w:val="31849B" w:themeColor="accent5" w:themeShade="BF"/>
              </w:rPr>
              <w:t>(0.0155)</w:t>
            </w:r>
          </w:p>
        </w:tc>
      </w:tr>
      <w:tr w:rsidR="0021637B" w:rsidTr="0021637B">
        <w:trPr>
          <w:trHeight w:val="284"/>
          <w:jc w:val="center"/>
        </w:trPr>
        <w:tc>
          <w:tcPr>
            <w:cnfStyle w:val="001000000000"/>
            <w:tcW w:w="2410" w:type="dxa"/>
            <w:tcBorders>
              <w:top w:val="nil"/>
            </w:tcBorders>
            <w:shd w:val="clear" w:color="auto" w:fill="auto"/>
          </w:tcPr>
          <w:p w:rsidR="0021637B" w:rsidRDefault="0021637B"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Bijschrift"/>
        <w:spacing w:line="360" w:lineRule="auto"/>
        <w:jc w:val="both"/>
      </w:pPr>
    </w:p>
    <w:p w:rsidR="0021637B" w:rsidRDefault="00CB0C55" w:rsidP="00CB0C55">
      <w:pPr>
        <w:pStyle w:val="Bijschrift"/>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w:t>
      </w:r>
      <w:proofErr w:type="spellStart"/>
      <w:r>
        <w:t>endogeneity</w:t>
      </w:r>
      <w:proofErr w:type="spellEnd"/>
      <w:r>
        <w:t xml:space="preserve">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second one analyses the mid-term </w:t>
      </w:r>
      <w:r>
        <w:lastRenderedPageBreak/>
        <w:t xml:space="preserve">effects of wealth on health. For this it uses the 2007 and 2017 waves from the data. The third analysis also analyses the short-term effect by using the 2013 and 2017 waves. The variable of interest is DID. If this variable is significant there is a significant difference in differences and therefore implies a causal effect from wealth to health. </w:t>
      </w:r>
    </w:p>
    <w:p w:rsidR="0021637B"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proofErr w:type="spellStart"/>
      <w:r>
        <w:t>The</w:t>
      </w:r>
      <w:proofErr w:type="spellEnd"/>
      <w:r>
        <w:t xml:space="preserve"> DID is significant in the 2007 – 2017 (p&lt;10%) and the 2013 – 2017 (p&lt;5%) regressions. In the 2007 – 2013 the time coefficient is   -0.0265 which means that before and after the treatment, the average health of the control group decreased by 2.6 percentage points. The treated coefficient is 0.0190 which tells us that the average health of the home owners was 1.9 percentage points higher than the tenants before the treatment. </w:t>
      </w:r>
      <w:proofErr w:type="spellStart"/>
      <w:r>
        <w:t>The</w:t>
      </w:r>
      <w:proofErr w:type="spellEnd"/>
      <w:r>
        <w:t xml:space="preserve"> DID coefficient is 0.0235 which tells us that after the treatment, the difference between pre and post treatment average health of the home owners is 2.3 percentage points higher than the difference between pre and post treatment average health of the tenants.</w:t>
      </w:r>
    </w:p>
    <w:p w:rsidR="0021637B" w:rsidRDefault="00CB0C55" w:rsidP="00CB0C55">
      <w:pPr>
        <w:spacing w:line="360" w:lineRule="auto"/>
        <w:ind w:firstLine="720"/>
        <w:jc w:val="both"/>
      </w:pPr>
      <w:r>
        <w:t xml:space="preserve">In the 2013 – 2017 analysis the time coefficient is -0.0291 which means that between 2013 and 2017 the average health of the tenants decreased by 2.9 percentage points. </w:t>
      </w:r>
      <w:proofErr w:type="spellStart"/>
      <w:r>
        <w:t>The</w:t>
      </w:r>
      <w:proofErr w:type="spellEnd"/>
      <w:r>
        <w:t xml:space="preserv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 </w:t>
      </w:r>
    </w:p>
    <w:p w:rsidR="00CB0C55" w:rsidRDefault="00CB0C55" w:rsidP="00CB0C55">
      <w:pPr>
        <w:spacing w:line="360" w:lineRule="auto"/>
        <w:jc w:val="both"/>
      </w:pPr>
      <w:r>
        <w:tab/>
        <w:t>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and/or that the groups have changed over time. This will have to checked robustness checks.</w:t>
      </w: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9662" w:type="dxa"/>
        <w:jc w:val="center"/>
        <w:tblBorders>
          <w:top w:val="single" w:sz="4" w:space="0" w:color="000001"/>
        </w:tblBorders>
        <w:tblLook w:val="04A0"/>
      </w:tblPr>
      <w:tblGrid>
        <w:gridCol w:w="1437"/>
        <w:gridCol w:w="1164"/>
        <w:gridCol w:w="1161"/>
        <w:gridCol w:w="1159"/>
        <w:gridCol w:w="1164"/>
        <w:gridCol w:w="1262"/>
        <w:gridCol w:w="1160"/>
        <w:gridCol w:w="1155"/>
      </w:tblGrid>
      <w:tr w:rsidR="0021637B">
        <w:trPr>
          <w:trHeight w:val="255"/>
          <w:jc w:val="center"/>
        </w:trPr>
        <w:tc>
          <w:tcPr>
            <w:tcW w:w="1437"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6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6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155" w:type="dxa"/>
            <w:tcBorders>
              <w:top w:val="single" w:sz="4" w:space="0" w:color="000001"/>
            </w:tcBorders>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6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0.0235*</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0.9413***</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(0.0069)</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tcBorders>
              <w:left w:val="single" w:sz="4" w:space="0" w:color="00000A"/>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15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26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7"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tcBorders>
              <w:top w:val="single" w:sz="4" w:space="0" w:color="000001"/>
              <w:left w:val="single" w:sz="4" w:space="0" w:color="00000A"/>
              <w:bottom w:val="single" w:sz="4" w:space="0" w:color="000001"/>
            </w:tcBorders>
            <w:shd w:val="clear" w:color="auto" w:fill="auto"/>
            <w:tcMar>
              <w:left w:w="8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c>
          <w:tcPr>
            <w:tcW w:w="1159" w:type="dxa"/>
            <w:tcBorders>
              <w:top w:val="single" w:sz="4" w:space="0" w:color="000001"/>
              <w:left w:val="single" w:sz="4" w:space="0" w:color="00000A"/>
              <w:bottom w:val="single" w:sz="4" w:space="0" w:color="000001"/>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26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0.0100</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3762"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37"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6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5" w:type="dxa"/>
            <w:shd w:val="clear" w:color="auto" w:fill="auto"/>
            <w:vAlign w:val="bottom"/>
          </w:tcPr>
          <w:p w:rsidR="0021637B" w:rsidRDefault="0021637B" w:rsidP="00CB0C55">
            <w:pPr>
              <w:keepNext/>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Bijschrift"/>
        <w:spacing w:line="360" w:lineRule="auto"/>
        <w:jc w:val="both"/>
        <w:rPr>
          <w:i w:val="0"/>
        </w:rPr>
      </w:pPr>
      <w:r>
        <w:rPr>
          <w:i w:val="0"/>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p>
    <w:p w:rsidR="0021637B" w:rsidRDefault="00CB0C55" w:rsidP="00CB0C55">
      <w:pPr>
        <w:pStyle w:val="Bijschrift"/>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4920" w:type="dxa"/>
        <w:jc w:val="center"/>
        <w:tblLook w:val="04A0"/>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(0.0151)</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0.0243*</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0.0183</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0.0167</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(0.0216)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0.9595***</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0.9410***</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(0.0103)</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0.0040</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0.0122</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Bijschrift"/>
        <w:spacing w:line="360" w:lineRule="auto"/>
        <w:ind w:firstLine="720"/>
        <w:jc w:val="both"/>
        <w:rPr>
          <w:i w:val="0"/>
        </w:rPr>
      </w:pPr>
    </w:p>
    <w:p w:rsidR="0021637B" w:rsidRDefault="0021637B" w:rsidP="00CB0C55">
      <w:pPr>
        <w:pStyle w:val="Bijschrift"/>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Robustness checks</w:t>
      </w:r>
    </w:p>
    <w:p w:rsidR="0021637B" w:rsidRDefault="00CB0C55" w:rsidP="00CB0C55">
      <w:pPr>
        <w:spacing w:line="360" w:lineRule="auto"/>
        <w:jc w:val="both"/>
      </w:pPr>
      <w:r>
        <w:t>To test whether the results are valid, several robustness checks have been run. First there is a pretreatment check to test that the health of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rsidR="0021637B" w:rsidRDefault="00CB0C55" w:rsidP="00CB0C55">
      <w:pPr>
        <w:spacing w:line="360" w:lineRule="auto"/>
        <w:jc w:val="both"/>
      </w:pPr>
      <w:r>
        <w:tab/>
        <w:t xml:space="preserve">The results of the pretreatment check can be seen in table 9. To test whether there was not already an effect before the treatment a DD analysis was used where the pretreatment year is 2001 and the </w:t>
      </w:r>
      <w:proofErr w:type="spellStart"/>
      <w:r>
        <w:t>posttreatment</w:t>
      </w:r>
      <w:proofErr w:type="spellEnd"/>
      <w:r>
        <w:t xml:space="preserve"> year is 2006. Because the pretreatment year and the </w:t>
      </w:r>
      <w:proofErr w:type="spellStart"/>
      <w:r>
        <w:t>posttreatment</w:t>
      </w:r>
      <w:proofErr w:type="spellEnd"/>
      <w:r>
        <w:t xml:space="preserve"> year is before the 2008 financial crisis, there is no treatment. Therefore this test tests whether or not the groups behaved differently before the treatment. </w:t>
      </w:r>
      <w:proofErr w:type="spellStart"/>
      <w:r>
        <w:t>The</w:t>
      </w:r>
      <w:proofErr w:type="spellEnd"/>
      <w:r>
        <w:t xml:space="preserve"> DID coefficient is insignificant which therefore implies that the average health of the home owners and the tenants does not behave significantly different.</w:t>
      </w:r>
    </w:p>
    <w:p w:rsidR="0021637B" w:rsidRDefault="00CB0C55" w:rsidP="00CB0C55">
      <w:pPr>
        <w:pStyle w:val="Bijschrift"/>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9</w:t>
      </w:r>
      <w:r w:rsidR="0021637B">
        <w:fldChar w:fldCharType="end"/>
      </w:r>
      <w:r>
        <w:t>: pretreatment check</w:t>
      </w:r>
    </w:p>
    <w:tbl>
      <w:tblPr>
        <w:tblW w:w="3212" w:type="dxa"/>
        <w:jc w:val="center"/>
        <w:tblLook w:val="04A0"/>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spacing w:line="360" w:lineRule="auto"/>
        <w:jc w:val="both"/>
      </w:pPr>
      <w: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rsidR="0021637B" w:rsidRDefault="00CB0C55" w:rsidP="00CB0C55">
      <w:pPr>
        <w:keepNext/>
        <w:spacing w:line="360" w:lineRule="auto"/>
        <w:jc w:val="both"/>
      </w:pPr>
      <w:r>
        <w:rPr>
          <w:noProof/>
          <w:lang w:val="nl-NL" w:eastAsia="nl-NL" w:bidi="ar-SA"/>
        </w:rPr>
        <w:lastRenderedPageBreak/>
        <w:drawing>
          <wp:inline distT="0" distB="0" distL="0" distR="0">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stretch>
                      <a:fillRect/>
                    </a:stretch>
                  </pic:blipFill>
                  <pic:spPr bwMode="auto">
                    <a:xfrm>
                      <a:off x="0" y="0"/>
                      <a:ext cx="4053205" cy="2945130"/>
                    </a:xfrm>
                    <a:prstGeom prst="rect">
                      <a:avLst/>
                    </a:prstGeom>
                  </pic:spPr>
                </pic:pic>
              </a:graphicData>
            </a:graphic>
          </wp:inline>
        </w:drawing>
      </w:r>
    </w:p>
    <w:p w:rsidR="0021637B" w:rsidRDefault="00CB0C55" w:rsidP="00CB0C55">
      <w:pPr>
        <w:pStyle w:val="Bijschrift"/>
        <w:spacing w:line="360" w:lineRule="auto"/>
        <w:jc w:val="both"/>
      </w:pPr>
      <w:r>
        <w:t xml:space="preserve">Figure </w:t>
      </w:r>
      <w:r w:rsidR="0021637B">
        <w:fldChar w:fldCharType="begin"/>
      </w:r>
      <w:r>
        <w:instrText>SEQ Figure \* ARABIC</w:instrText>
      </w:r>
      <w:r w:rsidR="0021637B">
        <w:fldChar w:fldCharType="separate"/>
      </w:r>
      <w:r w:rsidR="00B4560D">
        <w:rPr>
          <w:noProof/>
        </w:rPr>
        <w:t>2</w:t>
      </w:r>
      <w:r w:rsidR="0021637B">
        <w:fldChar w:fldCharType="end"/>
      </w:r>
      <w:r>
        <w:t xml:space="preserve">: fitted lines through the average </w:t>
      </w:r>
      <w:proofErr w:type="spellStart"/>
      <w:r>
        <w:t>healths</w:t>
      </w:r>
      <w:proofErr w:type="spellEnd"/>
      <w:r>
        <w:t xml:space="preserve"> of the control and treatment group</w:t>
      </w:r>
    </w:p>
    <w:p w:rsidR="0021637B" w:rsidRDefault="0021637B" w:rsidP="00CB0C55">
      <w:pPr>
        <w:spacing w:line="360" w:lineRule="auto"/>
        <w:jc w:val="both"/>
      </w:pPr>
    </w:p>
    <w:p w:rsidR="0021637B" w:rsidRDefault="00CB0C55" w:rsidP="00CB0C55">
      <w:pPr>
        <w:spacing w:line="360" w:lineRule="auto"/>
        <w:jc w:val="both"/>
      </w:pPr>
      <w: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w:t>
      </w:r>
      <w:proofErr w:type="spellStart"/>
      <w:r>
        <w:t>the</w:t>
      </w:r>
      <w:proofErr w:type="spellEnd"/>
      <w:r>
        <w:t xml:space="preserv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7"/>
      <w:r>
        <w:t xml:space="preserve">measured something else than the effect of wealth on health except </w:t>
      </w:r>
      <w:commentRangeEnd w:id="7"/>
      <w:r>
        <w:commentReference w:id="7"/>
      </w:r>
      <w:r>
        <w:t>in the regression of the same persons group between 2007 and 2013.</w:t>
      </w: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CB0C55" w:rsidRDefault="00CB0C55" w:rsidP="00CB0C55">
      <w:pPr>
        <w:pStyle w:val="Bijschrift"/>
        <w:keepNext/>
        <w:spacing w:line="360" w:lineRule="auto"/>
        <w:jc w:val="both"/>
      </w:pPr>
    </w:p>
    <w:p w:rsidR="0021637B" w:rsidRDefault="00CB0C55" w:rsidP="00CB0C55">
      <w:pPr>
        <w:pStyle w:val="Bijschrift"/>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61" w:type="dxa"/>
        <w:jc w:val="center"/>
        <w:tblLook w:val="04A0"/>
      </w:tblPr>
      <w:tblGrid>
        <w:gridCol w:w="1290"/>
        <w:gridCol w:w="1300"/>
        <w:gridCol w:w="1304"/>
        <w:gridCol w:w="1299"/>
        <w:gridCol w:w="1302"/>
        <w:gridCol w:w="1299"/>
        <w:gridCol w:w="1299"/>
        <w:gridCol w:w="668"/>
      </w:tblGrid>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all observations</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same persons</w:t>
            </w: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0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29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130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Worth</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4"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29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3,533</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6,130</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2,597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4,732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-4,700</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-821</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(9,902)</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(10,051)</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(9,605)</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(15,015)</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(17,042)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(15,110)</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249,872 ***</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227,587 ***</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263,253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258,237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243,262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(9,924)</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(10,665)</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(10,237)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(14,577)</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(15,999)</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(13,963)</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-22,284</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-18,349</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3,935</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-48,246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-713</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25,871</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(14,351)</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(14,363)</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(13,527)</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(20,639)</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(22,828)</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(19,905)</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25,399 ***</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28,933 ***</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25,004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29,716 **</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37,327 ***</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bookmarkStart w:id="8" w:name="_GoBack"/>
            <w:bookmarkEnd w:id="8"/>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(6,742)</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(7,246)</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(7,162)</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(10,506)</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(11,522)</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(10,359)</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304"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4,024</w:t>
            </w:r>
          </w:p>
        </w:tc>
        <w:tc>
          <w:tcPr>
            <w:tcW w:w="1299" w:type="dxa"/>
            <w:tcBorders>
              <w:left w:val="single" w:sz="4" w:space="0" w:color="00000A"/>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30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1,540</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1,288</w:t>
            </w:r>
          </w:p>
        </w:tc>
        <w:tc>
          <w:tcPr>
            <w:tcW w:w="129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1,886</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28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0.2442</w:t>
            </w:r>
          </w:p>
        </w:tc>
        <w:tc>
          <w:tcPr>
            <w:tcW w:w="1304"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0.2195</w:t>
            </w:r>
          </w:p>
        </w:tc>
        <w:tc>
          <w:tcPr>
            <w:tcW w:w="1299" w:type="dxa"/>
            <w:tcBorders>
              <w:top w:val="single" w:sz="4" w:space="0" w:color="000001"/>
              <w:left w:val="single" w:sz="4" w:space="0" w:color="00000A"/>
              <w:bottom w:val="single" w:sz="4" w:space="0" w:color="000001"/>
              <w:right w:val="single" w:sz="4" w:space="0" w:color="00000A"/>
            </w:tcBorders>
            <w:shd w:val="clear" w:color="auto" w:fill="auto"/>
            <w:tcMar>
              <w:left w:w="98" w:type="dxa"/>
            </w:tcMar>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0.2346</w:t>
            </w:r>
          </w:p>
        </w:tc>
        <w:tc>
          <w:tcPr>
            <w:tcW w:w="130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0.2619</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0.2852</w:t>
            </w:r>
          </w:p>
        </w:tc>
        <w:tc>
          <w:tcPr>
            <w:tcW w:w="129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0.2628</w:t>
            </w: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3892"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588"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04"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0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29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668"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 xml:space="preserve">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w:t>
      </w:r>
      <w:proofErr w:type="spellStart"/>
      <w:r>
        <w:t>the</w:t>
      </w:r>
      <w:proofErr w:type="spellEnd"/>
      <w:r>
        <w:t xml:space="preserve"> DID coefficients need to be insignificant because otherwise there is a difference  in the differences between the characteristics before and after the treatment and they will not cancel out </w:t>
      </w:r>
      <w:r>
        <w:lastRenderedPageBreak/>
        <w:t>automatically. Because characteristics can be assumed to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w:t>
      </w:r>
      <w:proofErr w:type="spellStart"/>
      <w:r>
        <w:t>the</w:t>
      </w:r>
      <w:proofErr w:type="spellEnd"/>
      <w:r>
        <w:t xml:space="preserve"> DID coefficient is not significant in any of the three regressions so there is no significant difference in the differences in net income as was expected. </w:t>
      </w:r>
    </w:p>
    <w:p w:rsidR="0021637B" w:rsidRDefault="0021637B" w:rsidP="00CB0C55">
      <w:pPr>
        <w:spacing w:line="360" w:lineRule="auto"/>
        <w:jc w:val="both"/>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4920" w:type="dxa"/>
        <w:jc w:val="center"/>
        <w:tblLook w:val="04A0"/>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0.0133</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-0.0008</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(0.0252)</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(0.0265)</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0.3971***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0.3919***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(0.0244)</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(0.0248)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-0.0696**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-0.0644*</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(0.0362)</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0.3576***</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0.3709***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(0.0171)</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(0.0174)</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(0.0192)</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0.1584</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0.1323</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0.1290</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pStyle w:val="Bijschrift"/>
        <w:keepNext/>
        <w:spacing w:line="360" w:lineRule="auto"/>
        <w:jc w:val="both"/>
      </w:pPr>
      <w:r>
        <w:lastRenderedPageBreak/>
        <w:br/>
        <w:t xml:space="preserve">Table </w:t>
      </w:r>
      <w:r w:rsidR="0021637B">
        <w:fldChar w:fldCharType="begin"/>
      </w:r>
      <w:r>
        <w:instrText>SEQ Table \* ARABIC</w:instrText>
      </w:r>
      <w:r w:rsidR="0021637B">
        <w:fldChar w:fldCharType="separate"/>
      </w:r>
      <w:r w:rsidR="00B4560D">
        <w:rPr>
          <w:noProof/>
        </w:rPr>
        <w:t>12</w:t>
      </w:r>
      <w:r w:rsidR="0021637B">
        <w:fldChar w:fldCharType="end"/>
      </w:r>
      <w:r>
        <w:t>: characteristics check education</w:t>
      </w:r>
    </w:p>
    <w:tbl>
      <w:tblPr>
        <w:tblW w:w="4920" w:type="dxa"/>
        <w:jc w:val="center"/>
        <w:tblLook w:val="04A0"/>
      </w:tblPr>
      <w:tblGrid>
        <w:gridCol w:w="1440"/>
        <w:gridCol w:w="1160"/>
        <w:gridCol w:w="1160"/>
        <w:gridCol w:w="1160"/>
      </w:tblGrid>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r>
      <w:tr w:rsidR="0021637B">
        <w:trPr>
          <w:trHeight w:val="255"/>
          <w:jc w:val="center"/>
        </w:trPr>
        <w:tc>
          <w:tcPr>
            <w:tcW w:w="14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0.0807***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-0.0678**</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(0.0268)</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(0.0277)</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0.2010***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0.1619***</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(0.0257)</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(0.0255)</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(0.0281)</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-0.0392</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-0.0280</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0.0111</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(0.0380)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(0.0357)</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(0.0379)</w:t>
            </w: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0.2749***</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0.3556***</w:t>
            </w:r>
          </w:p>
        </w:tc>
      </w:tr>
      <w:tr w:rsidR="0021637B">
        <w:trPr>
          <w:trHeight w:val="255"/>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(0.0180)</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(0.0178)</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(0.0200)</w:t>
            </w:r>
          </w:p>
        </w:tc>
      </w:tr>
      <w:tr w:rsidR="0021637B">
        <w:trPr>
          <w:trHeight w:hRule="exact" w:val="23"/>
          <w:jc w:val="center"/>
        </w:trPr>
        <w:tc>
          <w:tcPr>
            <w:tcW w:w="14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15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0.0395</w:t>
            </w:r>
          </w:p>
        </w:tc>
        <w:tc>
          <w:tcPr>
            <w:tcW w:w="116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0.0370</w:t>
            </w:r>
          </w:p>
        </w:tc>
        <w:tc>
          <w:tcPr>
            <w:tcW w:w="115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0.0317</w:t>
            </w:r>
          </w:p>
        </w:tc>
      </w:tr>
      <w:tr w:rsidR="0021637B">
        <w:trPr>
          <w:trHeight w:val="255"/>
          <w:jc w:val="center"/>
        </w:trPr>
        <w:tc>
          <w:tcPr>
            <w:tcW w:w="3759"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600"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16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5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pStyle w:val="Bijschrift"/>
        <w:keepNext/>
        <w:spacing w:line="360" w:lineRule="auto"/>
        <w:jc w:val="both"/>
      </w:pPr>
      <w:r>
        <w:t xml:space="preserve">Table </w:t>
      </w:r>
      <w:r w:rsidR="0021637B">
        <w:fldChar w:fldCharType="begin"/>
      </w:r>
      <w:r>
        <w:instrText>SEQ Table \* ARABIC</w:instrText>
      </w:r>
      <w:r w:rsidR="0021637B">
        <w:fldChar w:fldCharType="separate"/>
      </w:r>
      <w:r w:rsidR="00B4560D">
        <w:rPr>
          <w:noProof/>
        </w:rPr>
        <w:t>13</w:t>
      </w:r>
      <w:r w:rsidR="0021637B">
        <w:fldChar w:fldCharType="end"/>
      </w:r>
      <w:r>
        <w:t>: characteristics check net income</w:t>
      </w:r>
    </w:p>
    <w:tbl>
      <w:tblPr>
        <w:tblW w:w="5466" w:type="dxa"/>
        <w:jc w:val="center"/>
        <w:tblLook w:val="04A0"/>
      </w:tblPr>
      <w:tblGrid>
        <w:gridCol w:w="1442"/>
        <w:gridCol w:w="1342"/>
        <w:gridCol w:w="1342"/>
        <w:gridCol w:w="1340"/>
      </w:tblGrid>
      <w:tr w:rsidR="0021637B">
        <w:trPr>
          <w:trHeight w:hRule="exact" w:val="23"/>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1"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2007 - 2017</w:t>
            </w:r>
          </w:p>
        </w:tc>
        <w:tc>
          <w:tcPr>
            <w:tcW w:w="13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2013 - 2017</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r>
      <w:tr w:rsidR="0021637B">
        <w:trPr>
          <w:trHeight w:val="255"/>
          <w:jc w:val="center"/>
        </w:trPr>
        <w:tc>
          <w:tcPr>
            <w:tcW w:w="1441"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340"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2,964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2,933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-31.3424</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(752)</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(802)</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(872)</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14,764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13,736 ***</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(721)</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(789)</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(885)</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-1,028</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403</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1,431</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(1,065)</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(1,105)</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(1,193)</w:t>
            </w: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13,641 ***</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16,605 ***</w:t>
            </w:r>
          </w:p>
        </w:tc>
      </w:tr>
      <w:tr w:rsidR="0021637B">
        <w:trPr>
          <w:trHeight w:val="255"/>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(505)</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(552)</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(631)</w:t>
            </w:r>
          </w:p>
        </w:tc>
      </w:tr>
      <w:tr w:rsidR="0021637B">
        <w:trPr>
          <w:trHeight w:hRule="exact" w:val="23"/>
          <w:jc w:val="center"/>
        </w:trPr>
        <w:tc>
          <w:tcPr>
            <w:tcW w:w="1441"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41"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34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2,881</w:t>
            </w:r>
          </w:p>
        </w:tc>
        <w:tc>
          <w:tcPr>
            <w:tcW w:w="1340"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21637B">
        <w:trPr>
          <w:trHeight w:val="255"/>
          <w:jc w:val="center"/>
        </w:trPr>
        <w:tc>
          <w:tcPr>
            <w:tcW w:w="1441"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34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0.2255</w:t>
            </w:r>
          </w:p>
        </w:tc>
        <w:tc>
          <w:tcPr>
            <w:tcW w:w="134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0.2166</w:t>
            </w:r>
          </w:p>
        </w:tc>
        <w:tc>
          <w:tcPr>
            <w:tcW w:w="1340"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0.1855</w:t>
            </w:r>
          </w:p>
        </w:tc>
      </w:tr>
      <w:tr w:rsidR="0021637B">
        <w:trPr>
          <w:trHeight w:val="255"/>
          <w:jc w:val="center"/>
        </w:trPr>
        <w:tc>
          <w:tcPr>
            <w:tcW w:w="4125" w:type="dxa"/>
            <w:gridSpan w:val="3"/>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2783"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c>
          <w:tcPr>
            <w:tcW w:w="134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340"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lang w:val="nl-NL"/>
        </w:rPr>
      </w:pPr>
      <w:r>
        <w:rPr>
          <w:b/>
          <w:bCs/>
          <w:lang w:val="nl-NL"/>
        </w:rPr>
        <w:t>Literatuur</w:t>
      </w:r>
    </w:p>
    <w:p w:rsidR="0021637B" w:rsidRDefault="0021637B" w:rsidP="00CB0C55">
      <w:pPr>
        <w:spacing w:line="360" w:lineRule="auto"/>
        <w:jc w:val="both"/>
        <w:rPr>
          <w:b/>
          <w:bCs/>
          <w:lang w:val="nl-NL"/>
        </w:rPr>
      </w:pPr>
    </w:p>
    <w:p w:rsidR="0021637B" w:rsidRDefault="00CB0C55" w:rsidP="00CB0C55">
      <w:pPr>
        <w:spacing w:line="360" w:lineRule="auto"/>
        <w:jc w:val="both"/>
      </w:pPr>
      <w:proofErr w:type="spellStart"/>
      <w:r>
        <w:rPr>
          <w:lang w:val="nl-NL"/>
        </w:rPr>
        <w:t>Aittomäki</w:t>
      </w:r>
      <w:proofErr w:type="spellEnd"/>
      <w:r>
        <w:rPr>
          <w:lang w:val="nl-NL"/>
        </w:rPr>
        <w:t xml:space="preserve">, </w:t>
      </w:r>
      <w:proofErr w:type="spellStart"/>
      <w:r>
        <w:rPr>
          <w:lang w:val="nl-NL"/>
        </w:rPr>
        <w:t>Martikainen</w:t>
      </w:r>
      <w:proofErr w:type="spellEnd"/>
      <w:r>
        <w:rPr>
          <w:lang w:val="nl-NL"/>
        </w:rPr>
        <w:t xml:space="preserve">, </w:t>
      </w:r>
      <w:proofErr w:type="spellStart"/>
      <w:r>
        <w:rPr>
          <w:lang w:val="nl-NL"/>
        </w:rPr>
        <w:t>Laaksonen</w:t>
      </w:r>
      <w:proofErr w:type="spellEnd"/>
      <w:r>
        <w:rPr>
          <w:lang w:val="nl-NL"/>
        </w:rPr>
        <w:t xml:space="preserve">, </w:t>
      </w:r>
      <w:proofErr w:type="spellStart"/>
      <w:r>
        <w:rPr>
          <w:lang w:val="nl-NL"/>
        </w:rPr>
        <w:t>Lahelma</w:t>
      </w:r>
      <w:proofErr w:type="spellEnd"/>
      <w:r>
        <w:rPr>
          <w:lang w:val="nl-NL"/>
        </w:rPr>
        <w:t xml:space="preserve">, &amp; </w:t>
      </w:r>
      <w:proofErr w:type="spellStart"/>
      <w:r>
        <w:rPr>
          <w:lang w:val="nl-NL"/>
        </w:rPr>
        <w:t>Rahkonen</w:t>
      </w:r>
      <w:proofErr w:type="spellEnd"/>
      <w:r>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8">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9" w:name="__DdeLink__3171_1315779075"/>
      <w:r>
        <w:rPr>
          <w:lang w:val="nl-NL"/>
        </w:rPr>
        <w:t>Het Juridisch Loket. (</w:t>
      </w:r>
      <w:proofErr w:type="spellStart"/>
      <w:r>
        <w:rPr>
          <w:lang w:val="nl-NL"/>
        </w:rPr>
        <w:t>n.d</w:t>
      </w:r>
      <w:proofErr w:type="spellEnd"/>
      <w:r>
        <w:rPr>
          <w:lang w:val="nl-NL"/>
        </w:rPr>
        <w:t>.).</w:t>
      </w:r>
      <w:bookmarkEnd w:id="9"/>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Retrieved January 15, 2019, from https://www.juridischloket.nl/werk-en-inkomen/ziekte-en-zwangerschap/loondoorbetaling-bij-ziekte/#Ik-heb-een-tijdelijk-contract</w:t>
      </w:r>
    </w:p>
    <w:p w:rsidR="0021637B" w:rsidRDefault="0021637B"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lastRenderedPageBreak/>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UvA" w:date="2019-01-16T11:13:00Z" w:initials="UvA">
    <w:p w:rsidR="00CB0C55" w:rsidRPr="00CB0C55" w:rsidRDefault="00CB0C55">
      <w:pPr>
        <w:rPr>
          <w:lang w:val="nl-NL"/>
        </w:rPr>
      </w:pPr>
      <w:r>
        <w:rPr>
          <w:rFonts w:eastAsia="DejaVu Sans" w:cs="DejaVu Sans"/>
          <w:lang w:val="nl-NL" w:eastAsia="en-US" w:bidi="en-US"/>
        </w:rPr>
        <w:t xml:space="preserve">Nog even over </w:t>
      </w:r>
      <w:proofErr w:type="spellStart"/>
      <w:r>
        <w:rPr>
          <w:rFonts w:eastAsia="DejaVu Sans" w:cs="DejaVu Sans"/>
          <w:lang w:val="nl-NL" w:eastAsia="en-US" w:bidi="en-US"/>
        </w:rPr>
        <w:t>an</w:t>
      </w:r>
      <w:proofErr w:type="spellEnd"/>
      <w:r>
        <w:rPr>
          <w:rFonts w:eastAsia="DejaVu Sans" w:cs="DejaVu Sans"/>
          <w:lang w:val="nl-NL" w:eastAsia="en-US" w:bidi="en-US"/>
        </w:rPr>
        <w:t xml:space="preserve"> denken</w:t>
      </w:r>
    </w:p>
  </w:comment>
</w:comment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21637B"/>
    <w:rsid w:val="0021637B"/>
    <w:rsid w:val="00B4560D"/>
    <w:rsid w:val="00CB0C5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637B"/>
    <w:rPr>
      <w:color w:val="00000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Standaardalinea-lettertype"/>
    <w:qFormat/>
    <w:rsid w:val="0021637B"/>
    <w:rPr>
      <w:rFonts w:cs="Mangal"/>
      <w:sz w:val="20"/>
      <w:szCs w:val="18"/>
    </w:rPr>
  </w:style>
  <w:style w:type="character" w:styleId="Verwijzingopmerking">
    <w:name w:val="annotation reference"/>
    <w:basedOn w:val="Standaardalinea-lettertype"/>
    <w:qFormat/>
    <w:rsid w:val="0021637B"/>
    <w:rPr>
      <w:sz w:val="16"/>
      <w:szCs w:val="16"/>
    </w:rPr>
  </w:style>
  <w:style w:type="character" w:customStyle="1" w:styleId="BallontekstChar">
    <w:name w:val="Ballontekst Char"/>
    <w:basedOn w:val="Standaardalinea-lettertype"/>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Tekstvantijdelijkeaanduiding">
    <w:name w:val="Placeholder Text"/>
    <w:basedOn w:val="Standaardalinea-lettertype"/>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Standaard"/>
    <w:next w:val="Plattetekst"/>
    <w:qFormat/>
    <w:rsid w:val="0021637B"/>
    <w:pPr>
      <w:keepNext/>
      <w:spacing w:before="240" w:after="120"/>
    </w:pPr>
    <w:rPr>
      <w:rFonts w:ascii="Liberation Sans" w:hAnsi="Liberation Sans"/>
      <w:sz w:val="28"/>
      <w:szCs w:val="28"/>
    </w:rPr>
  </w:style>
  <w:style w:type="paragraph" w:styleId="Plattetekst">
    <w:name w:val="Body Text"/>
    <w:basedOn w:val="Standaard"/>
    <w:rsid w:val="0021637B"/>
    <w:pPr>
      <w:spacing w:after="140" w:line="288" w:lineRule="auto"/>
    </w:pPr>
  </w:style>
  <w:style w:type="paragraph" w:styleId="Lijst">
    <w:name w:val="List"/>
    <w:basedOn w:val="Plattetekst"/>
    <w:rsid w:val="0021637B"/>
  </w:style>
  <w:style w:type="paragraph" w:customStyle="1" w:styleId="Caption">
    <w:name w:val="Caption"/>
    <w:basedOn w:val="Standaard"/>
    <w:qFormat/>
    <w:rsid w:val="0021637B"/>
    <w:pPr>
      <w:suppressLineNumbers/>
      <w:spacing w:before="120" w:after="120"/>
    </w:pPr>
    <w:rPr>
      <w:i/>
      <w:iCs/>
    </w:rPr>
  </w:style>
  <w:style w:type="paragraph" w:customStyle="1" w:styleId="Index">
    <w:name w:val="Index"/>
    <w:basedOn w:val="Standaard"/>
    <w:qFormat/>
    <w:rsid w:val="0021637B"/>
    <w:pPr>
      <w:suppressLineNumbers/>
    </w:pPr>
  </w:style>
  <w:style w:type="paragraph" w:styleId="Bijschrift">
    <w:name w:val="caption"/>
    <w:basedOn w:val="Standaard"/>
    <w:qFormat/>
    <w:rsid w:val="0021637B"/>
    <w:pPr>
      <w:suppressLineNumbers/>
      <w:spacing w:before="120" w:after="120"/>
    </w:pPr>
    <w:rPr>
      <w:i/>
      <w:iCs/>
    </w:rPr>
  </w:style>
  <w:style w:type="paragraph" w:customStyle="1" w:styleId="Illustration">
    <w:name w:val="Illustration"/>
    <w:basedOn w:val="Bijschrift"/>
    <w:qFormat/>
    <w:rsid w:val="0021637B"/>
  </w:style>
  <w:style w:type="paragraph" w:customStyle="1" w:styleId="FrameContents">
    <w:name w:val="Frame Contents"/>
    <w:basedOn w:val="Standaard"/>
    <w:qFormat/>
    <w:rsid w:val="0021637B"/>
  </w:style>
  <w:style w:type="paragraph" w:styleId="Tekstopmerking">
    <w:name w:val="annotation text"/>
    <w:basedOn w:val="Standaard"/>
    <w:qFormat/>
    <w:rsid w:val="0021637B"/>
    <w:rPr>
      <w:rFonts w:cs="Mangal"/>
      <w:sz w:val="20"/>
      <w:szCs w:val="18"/>
    </w:rPr>
  </w:style>
  <w:style w:type="paragraph" w:styleId="Ballontekst">
    <w:name w:val="Balloon Text"/>
    <w:basedOn w:val="Standaard"/>
    <w:qFormat/>
    <w:rsid w:val="0021637B"/>
    <w:rPr>
      <w:rFonts w:ascii="Tahoma" w:hAnsi="Tahoma" w:cs="Mangal"/>
      <w:sz w:val="16"/>
      <w:szCs w:val="14"/>
    </w:rPr>
  </w:style>
  <w:style w:type="paragraph" w:styleId="Onderwerpvanopmerking">
    <w:name w:val="annotation subject"/>
    <w:basedOn w:val="Tekstopmerking"/>
    <w:qFormat/>
    <w:rsid w:val="0021637B"/>
    <w:rPr>
      <w:b/>
      <w:bCs/>
    </w:rPr>
  </w:style>
  <w:style w:type="paragraph" w:styleId="Normaalweb">
    <w:name w:val="Normal (Web)"/>
    <w:basedOn w:val="Standaard"/>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elraster">
    <w:name w:val="Table Grid"/>
    <w:basedOn w:val="Standaardtabel"/>
    <w:uiPriority w:val="59"/>
    <w:rsid w:val="00FE2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014D9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
    <w:name w:val="Light Shading"/>
    <w:basedOn w:val="Standaardtabel"/>
    <w:uiPriority w:val="60"/>
    <w:rsid w:val="00014D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014D9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014D9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lijst-accent5">
    <w:name w:val="Light List Accent 5"/>
    <w:basedOn w:val="Standaardtabel"/>
    <w:uiPriority w:val="61"/>
    <w:rsid w:val="004E7C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D7787-469F-42E3-8356-382A19CC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23</Pages>
  <Words>6858</Words>
  <Characters>37725</Characters>
  <Application>Microsoft Office Word</Application>
  <DocSecurity>0</DocSecurity>
  <Lines>314</Lines>
  <Paragraphs>88</Paragraphs>
  <ScaleCrop>false</ScaleCrop>
  <HeadingPairs>
    <vt:vector size="2" baseType="variant">
      <vt:variant>
        <vt:lpstr>Titel</vt:lpstr>
      </vt:variant>
      <vt:variant>
        <vt:i4>1</vt:i4>
      </vt:variant>
    </vt:vector>
  </HeadingPairs>
  <TitlesOfParts>
    <vt:vector size="1" baseType="lpstr">
      <vt:lpstr/>
    </vt:vector>
  </TitlesOfParts>
  <Company>Universiteit van Amsterdam</Company>
  <LinksUpToDate>false</LinksUpToDate>
  <CharactersWithSpaces>44495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Emma Hissink Muller</cp:lastModifiedBy>
  <cp:revision>7</cp:revision>
  <cp:lastPrinted>2019-01-18T08:54:00Z</cp:lastPrinted>
  <dcterms:created xsi:type="dcterms:W3CDTF">2019-01-16T10:52:00Z</dcterms:created>
  <dcterms:modified xsi:type="dcterms:W3CDTF">2019-01-18T08:54:00Z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