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37B" w:rsidRDefault="00CB0C55" w:rsidP="00CB0C55">
      <w:pPr>
        <w:spacing w:line="360" w:lineRule="auto"/>
        <w:jc w:val="both"/>
      </w:pPr>
      <w:r>
        <w:rPr>
          <w:b/>
          <w:bCs/>
          <w:color w:val="000000"/>
          <w:highlight w:val="white"/>
        </w:rPr>
        <w:t xml:space="preserve">Niels van </w:t>
      </w:r>
      <w:proofErr w:type="spellStart"/>
      <w:r>
        <w:rPr>
          <w:b/>
          <w:bCs/>
          <w:color w:val="000000"/>
          <w:highlight w:val="white"/>
        </w:rPr>
        <w:t>Opstal</w:t>
      </w:r>
      <w:proofErr w:type="spellEnd"/>
      <w:r>
        <w:rPr>
          <w:b/>
          <w:bCs/>
          <w:color w:val="000000"/>
          <w:highlight w:val="white"/>
        </w:rPr>
        <w:t xml:space="preserve"> 4-1</w:t>
      </w:r>
    </w:p>
    <w:p w:rsidR="0021637B" w:rsidRDefault="0021637B" w:rsidP="00CB0C55">
      <w:pPr>
        <w:spacing w:line="360" w:lineRule="auto"/>
        <w:jc w:val="both"/>
        <w:rPr>
          <w:b/>
          <w:bCs/>
          <w:color w:val="000000"/>
          <w:highlight w:val="white"/>
        </w:rPr>
      </w:pPr>
    </w:p>
    <w:p w:rsidR="0021637B" w:rsidRDefault="0021637B" w:rsidP="00CB0C55">
      <w:pPr>
        <w:spacing w:line="360" w:lineRule="auto"/>
        <w:jc w:val="both"/>
        <w:rPr>
          <w:b/>
          <w:bCs/>
          <w:color w:val="000000"/>
          <w:highlight w:val="white"/>
        </w:rPr>
      </w:pPr>
    </w:p>
    <w:p w:rsidR="0021637B" w:rsidRDefault="00CB0C55" w:rsidP="00CB0C55">
      <w:pPr>
        <w:spacing w:line="360" w:lineRule="auto"/>
        <w:jc w:val="both"/>
      </w:pPr>
      <w:r>
        <w:rPr>
          <w:b/>
          <w:bCs/>
          <w:color w:val="000000"/>
          <w:sz w:val="28"/>
          <w:highlight w:val="white"/>
        </w:rPr>
        <w:t>Introduction</w:t>
      </w:r>
      <w:r>
        <w:rPr>
          <w:b/>
          <w:bCs/>
          <w:color w:val="000000"/>
          <w:highlight w:val="white"/>
        </w:rPr>
        <w:t>:</w:t>
      </w:r>
    </w:p>
    <w:p w:rsidR="0021637B" w:rsidRDefault="00CB0C55" w:rsidP="00CB0C55">
      <w:pPr>
        <w:spacing w:line="360" w:lineRule="auto"/>
        <w:jc w:val="both"/>
      </w:pPr>
      <w:r>
        <w:t>The positive correlation between health and wealth has been shown many times. Pollack et al. (2007)</w:t>
      </w:r>
      <w:r>
        <w:rPr>
          <w:rFonts w:ascii="Times New Roman" w:hAnsi="Times New Roman" w:cs="Times New Roman"/>
        </w:rPr>
        <w:t>⁠</w:t>
      </w:r>
      <w:r>
        <w:t xml:space="preserve">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r>
        <w:rPr>
          <w:rFonts w:ascii="Times New Roman" w:hAnsi="Times New Roman" w:cs="Times New Roman"/>
        </w:rPr>
        <w:t>⁠</w:t>
      </w:r>
      <w:r>
        <w:t>.</w:t>
      </w:r>
    </w:p>
    <w:p w:rsidR="0021637B" w:rsidRDefault="00CB0C55" w:rsidP="00CB0C55">
      <w:pPr>
        <w:spacing w:line="360" w:lineRule="auto"/>
        <w:jc w:val="both"/>
      </w:pPr>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w:t>
      </w:r>
      <w:r>
        <w:rPr>
          <w:rFonts w:ascii="Times New Roman" w:hAnsi="Times New Roman" w:cs="Times New Roman"/>
        </w:rPr>
        <w:t>⁠</w:t>
      </w:r>
      <w:r>
        <w:t xml:space="preserve"> point out, </w:t>
      </w:r>
      <w:r>
        <w:rPr>
          <w:rFonts w:ascii="Times New Roman" w:hAnsi="Times New Roman" w:cs="Times New Roman"/>
        </w:rPr>
        <w:t>“</w:t>
      </w:r>
      <w:r>
        <w:t xml:space="preserve">Wealth in particular is not directly affected by changes in </w:t>
      </w:r>
      <w:proofErr w:type="spellStart"/>
      <w:r>
        <w:t>labour</w:t>
      </w:r>
      <w:proofErr w:type="spellEnd"/>
      <w:r>
        <w:t xml:space="preserve"> market participation that may radically alter the current income level</w:t>
      </w:r>
      <w:r>
        <w:rPr>
          <w:rFonts w:ascii="Times New Roman" w:hAnsi="Times New Roman" w:cs="Times New Roman"/>
        </w:rPr>
        <w:t>”</w:t>
      </w:r>
      <w:r>
        <w:t xml:space="preserve">. This is important </w:t>
      </w:r>
      <w:r>
        <w:rPr>
          <w:rFonts w:ascii="Times New Roman" w:hAnsi="Times New Roman" w:cs="Times New Roman"/>
        </w:rPr>
        <w:t>“…</w:t>
      </w:r>
      <w:r>
        <w:t xml:space="preserve"> as changes in health and illness are likely to develop over a considerable time span”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&amp; </w:t>
      </w:r>
      <w:proofErr w:type="spellStart"/>
      <w:r>
        <w:t>Rahkonen</w:t>
      </w:r>
      <w:proofErr w:type="spellEnd"/>
      <w:r>
        <w:t>, 2010, p. 1025)</w:t>
      </w:r>
      <w:r>
        <w:rPr>
          <w:rFonts w:ascii="Times New Roman" w:hAnsi="Times New Roman" w:cs="Times New Roman"/>
        </w:rPr>
        <w:t>⁠</w:t>
      </w:r>
      <w:r>
        <w:t>. They find that wealth is highly relevant in explaining health.</w:t>
      </w:r>
    </w:p>
    <w:p w:rsidR="0021637B" w:rsidRDefault="00CB0C55" w:rsidP="00CB0C55">
      <w:pPr>
        <w:spacing w:line="360" w:lineRule="auto"/>
        <w:jc w:val="both"/>
      </w:pPr>
      <w:r>
        <w:tab/>
        <w:t xml:space="preserve">Even though the correlation between health and wealth is researched </w:t>
      </w:r>
      <w:proofErr w:type="spellStart"/>
      <w:r>
        <w:t>alot</w:t>
      </w:r>
      <w:proofErr w:type="spellEnd"/>
      <w:r>
        <w:t xml:space="preserve"> and a majority of these researches find positive results, the body of literature </w:t>
      </w:r>
      <w:proofErr w:type="spellStart"/>
      <w:r>
        <w:t>adressing</w:t>
      </w:r>
      <w:proofErr w:type="spellEnd"/>
      <w:r>
        <w:t xml:space="preserve"> the causality between health and wealth is smaller and does find mixed results. As Meer et al. (2003) point out, more research needs to be done on the subject of direction of causality between health and wealth. This is especially important for public policy.</w:t>
      </w:r>
    </w:p>
    <w:p w:rsidR="0021637B" w:rsidRDefault="00CB0C55" w:rsidP="00CB0C55">
      <w:pPr>
        <w:spacing w:line="360" w:lineRule="auto"/>
        <w:jc w:val="both"/>
      </w:pPr>
      <w:r>
        <w:tab/>
        <w:t>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Two different treatments will be used. first the financial crisis in 2008 as it affected housing prices and secondly the bounce-back of the housing prices after the financial crisis.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If there is a causal effect from wealth to health, the health of the home owners should thus react differently to the financial crisis than the health of the tenants. The wealth of a person will be defined as the net worth of a person, i.e. all their assets minus their liabilities. Each person will be placed into one of two categories, i.e. healthy (1) or not healthy (0), based on their self-assessed health.</w:t>
      </w:r>
    </w:p>
    <w:p w:rsidR="0021637B" w:rsidRDefault="00CB0C55" w:rsidP="00CB0C55">
      <w:pPr>
        <w:spacing w:line="360" w:lineRule="auto"/>
        <w:jc w:val="both"/>
      </w:pPr>
      <w:r>
        <w:lastRenderedPageBreak/>
        <w:tab/>
        <w:t xml:space="preserve">To try to find the causal relationship between health and wealth the data from the DNB Household Survey (DHS) from </w:t>
      </w:r>
      <w:proofErr w:type="spellStart"/>
      <w:r>
        <w:t>CentERdata</w:t>
      </w:r>
      <w:proofErr w:type="spellEnd"/>
      <w:r>
        <w:t xml:space="preserve"> will be used. This survey is described as  a data set allowing to study both the psychological as well as the economic aspects of financial behavior. The survey was first launched  in 1993. The data has information of health, housing, possessions and other thing. </w:t>
      </w:r>
      <w:r>
        <w:rPr>
          <w:color w:val="000000"/>
          <w:highlight w:val="white"/>
        </w:rPr>
        <w:t xml:space="preserve">(“DHS data access | CentERdata.nl,” </w:t>
      </w:r>
      <w:proofErr w:type="spellStart"/>
      <w:r>
        <w:rPr>
          <w:color w:val="000000"/>
          <w:highlight w:val="white"/>
        </w:rPr>
        <w:t>n.d.</w:t>
      </w:r>
      <w:proofErr w:type="spellEnd"/>
      <w:r>
        <w:rPr>
          <w:color w:val="000000"/>
          <w:highlight w:val="white"/>
        </w:rPr>
        <w:t>). Using different waves of this dataset will allow this paper to try and find a causal relationship using the difference in difference analysis.</w:t>
      </w:r>
    </w:p>
    <w:p w:rsidR="0021637B" w:rsidRDefault="00CB0C55" w:rsidP="00CB0C55">
      <w:pPr>
        <w:spacing w:line="360" w:lineRule="auto"/>
        <w:jc w:val="both"/>
      </w:pPr>
      <w:r>
        <w:rPr>
          <w:color w:val="000000"/>
          <w:highlight w:val="white"/>
        </w:rPr>
        <w:tab/>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The sixth chapter will present the results </w:t>
      </w:r>
      <w:proofErr w:type="spellStart"/>
      <w:r>
        <w:rPr>
          <w:color w:val="000000"/>
          <w:highlight w:val="white"/>
        </w:rPr>
        <w:t>form</w:t>
      </w:r>
      <w:proofErr w:type="spellEnd"/>
      <w:r>
        <w:rPr>
          <w:color w:val="000000"/>
          <w:highlight w:val="white"/>
        </w:rPr>
        <w:t xml:space="preserve"> several robustness tests and the final chapter will discuss the results and improvements for this study. </w:t>
      </w:r>
    </w:p>
    <w:p w:rsidR="0021637B" w:rsidRDefault="0021637B" w:rsidP="00CB0C55">
      <w:pPr>
        <w:spacing w:line="360" w:lineRule="auto"/>
        <w:jc w:val="both"/>
        <w:rPr>
          <w:b/>
          <w:bCs/>
          <w:color w:val="000000"/>
          <w:highlight w:val="white"/>
        </w:rPr>
      </w:pPr>
    </w:p>
    <w:p w:rsidR="0021637B" w:rsidRDefault="00CB0C55" w:rsidP="00CB0C55">
      <w:pPr>
        <w:spacing w:line="360" w:lineRule="auto"/>
        <w:jc w:val="both"/>
      </w:pPr>
      <w:r>
        <w:rPr>
          <w:b/>
          <w:bCs/>
          <w:color w:val="000000"/>
          <w:sz w:val="28"/>
          <w:highlight w:val="white"/>
        </w:rPr>
        <w:t>Related literature:</w:t>
      </w:r>
    </w:p>
    <w:p w:rsidR="0021637B" w:rsidRDefault="00CB0C55" w:rsidP="00CB0C55">
      <w:pPr>
        <w:spacing w:line="360" w:lineRule="auto"/>
        <w:jc w:val="both"/>
      </w:pPr>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0" w:name="_GoBack1"/>
      <w:bookmarkEnd w:id="0"/>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rsidR="0021637B" w:rsidRDefault="00CB0C55" w:rsidP="00CB0C55">
      <w:pPr>
        <w:spacing w:line="360" w:lineRule="auto"/>
        <w:jc w:val="both"/>
      </w:pPr>
      <w:r>
        <w:rPr>
          <w:color w:val="000000"/>
          <w:highlight w:val="white"/>
        </w:rPr>
        <w:tab/>
        <w:t xml:space="preserve">There are however some studies that do address causality in the health wealth connection and they mostly find insignificant causal effects. Meer et al.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et al., 2003, p. 729)⁠. Kim and </w:t>
      </w:r>
      <w:proofErr w:type="spellStart"/>
      <w:r>
        <w:rPr>
          <w:color w:val="000000"/>
          <w:highlight w:val="white"/>
        </w:rPr>
        <w:t>Ruhm</w:t>
      </w:r>
      <w:proofErr w:type="spellEnd"/>
      <w:r>
        <w:rPr>
          <w:color w:val="000000"/>
          <w:highlight w:val="white"/>
        </w:rPr>
        <w:t xml:space="preserve"> (2012)⁠ also use inheritance as exogenous wealth shocks and also find no significant effect on </w:t>
      </w:r>
      <w:r>
        <w:rPr>
          <w:color w:val="000000"/>
          <w:highlight w:val="white"/>
        </w:rPr>
        <w:lastRenderedPageBreak/>
        <w:t>health. One could however argue that inheritance might not be a good instrument to find a causal effect in this case. Most of the people will know whether or not they will inherit something. Because people know they will inherit something it will not come as a truly exogenous wealth shock. They will make their decisions prior to receiving the inheritance with the coming inheritance in mind, therefore it could have an effect on health before the inheritance is inherited .</w:t>
      </w:r>
    </w:p>
    <w:p w:rsidR="0021637B" w:rsidRDefault="00CB0C55" w:rsidP="00CB0C55">
      <w:pPr>
        <w:spacing w:line="360" w:lineRule="auto"/>
        <w:jc w:val="both"/>
      </w:pPr>
      <w:r>
        <w:rPr>
          <w:color w:val="000000"/>
          <w:highlight w:val="white"/>
        </w:rPr>
        <w:tab/>
        <w:t xml:space="preserve">In a similar study, </w:t>
      </w:r>
      <w:proofErr w:type="spellStart"/>
      <w:r>
        <w:rPr>
          <w:color w:val="000000"/>
          <w:highlight w:val="white"/>
        </w:rPr>
        <w:t>Apouey</w:t>
      </w:r>
      <w:proofErr w:type="spellEnd"/>
      <w:r>
        <w:rPr>
          <w:color w:val="000000"/>
          <w:highlight w:val="white"/>
        </w:rPr>
        <w:t xml:space="preserve">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rsidR="0021637B" w:rsidRDefault="00CB0C55" w:rsidP="00CB0C55">
      <w:pPr>
        <w:spacing w:line="360" w:lineRule="auto"/>
        <w:jc w:val="both"/>
      </w:pPr>
      <w:r>
        <w:rPr>
          <w:color w:val="000000"/>
          <w:highlight w:val="white"/>
        </w:rPr>
        <w:tab/>
        <w:t xml:space="preserve">Michaud and </w:t>
      </w:r>
      <w:proofErr w:type="spellStart"/>
      <w:r>
        <w:rPr>
          <w:color w:val="000000"/>
          <w:highlight w:val="white"/>
        </w:rPr>
        <w:t>Soest</w:t>
      </w:r>
      <w:proofErr w:type="spellEnd"/>
      <w:r>
        <w:rPr>
          <w:color w:val="000000"/>
          <w:highlight w:val="white"/>
        </w:rPr>
        <w:t xml:space="preserve">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rsidR="0021637B" w:rsidRDefault="00CB0C55" w:rsidP="00CB0C55">
      <w:pPr>
        <w:spacing w:line="360" w:lineRule="auto"/>
        <w:jc w:val="both"/>
      </w:pPr>
      <w:r>
        <w:rPr>
          <w:color w:val="000000"/>
          <w:highlight w:val="white"/>
        </w:rPr>
        <w:tab/>
        <w:t xml:space="preserve">There are some studies that do find a significant causal effect of wealth on health. </w:t>
      </w:r>
      <w:proofErr w:type="spellStart"/>
      <w:r>
        <w:rPr>
          <w:color w:val="000000"/>
          <w:highlight w:val="white"/>
        </w:rPr>
        <w:t>Cai</w:t>
      </w:r>
      <w:proofErr w:type="spellEnd"/>
      <w:r>
        <w:rPr>
          <w:color w:val="000000"/>
          <w:highlight w:val="white"/>
        </w:rPr>
        <w:t xml:space="preserve">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p>
    <w:p w:rsidR="0021637B" w:rsidRDefault="00CB0C55" w:rsidP="00CB0C55">
      <w:pPr>
        <w:spacing w:line="360" w:lineRule="auto"/>
        <w:jc w:val="both"/>
      </w:pPr>
      <w:r>
        <w:rPr>
          <w:color w:val="000000"/>
          <w:highlight w:val="white"/>
        </w:rPr>
        <w:t>We control for unobserved heterogeneity by applying fixed-effects methods and furthermore use a subsample of constantly employed individuals plus lagged debt variables to reduce problems of reverse causality</w:t>
      </w:r>
    </w:p>
    <w:p w:rsidR="0021637B" w:rsidRPr="00CB0C55" w:rsidRDefault="00CB0C55" w:rsidP="00CB0C55">
      <w:pPr>
        <w:spacing w:line="360" w:lineRule="auto"/>
        <w:jc w:val="both"/>
      </w:pPr>
      <w:r>
        <w:rPr>
          <w:color w:val="000000"/>
          <w:highlight w:val="white"/>
        </w:rPr>
        <w:tab/>
      </w:r>
      <w:bookmarkStart w:id="1" w:name="__UnoMark__2185_363168767"/>
      <w:bookmarkStart w:id="2" w:name="__UnoMark__2196_363168767"/>
      <w:bookmarkStart w:id="3" w:name="__UnoMark__2189_363168767"/>
      <w:bookmarkStart w:id="4" w:name="__UnoMark__2194_363168767"/>
      <w:proofErr w:type="spellStart"/>
      <w:r>
        <w:rPr>
          <w:color w:val="000000"/>
          <w:highlight w:val="white"/>
        </w:rPr>
        <w:t>Keese</w:t>
      </w:r>
      <w:proofErr w:type="spellEnd"/>
      <w:r>
        <w:rPr>
          <w:color w:val="000000"/>
          <w:highlight w:val="white"/>
        </w:rPr>
        <w:t xml:space="preserve"> and Schmitz (2014)</w:t>
      </w:r>
      <w:bookmarkEnd w:id="1"/>
      <w:bookmarkEnd w:id="2"/>
      <w:bookmarkEnd w:id="3"/>
      <w:bookmarkEnd w:id="4"/>
      <w:r>
        <w:rPr>
          <w:color w:val="000000"/>
          <w:highlight w:val="white"/>
        </w:rPr>
        <w:t xml:space="preserve">⁠ find a significant causal effect between indebtedness and worse physical and mental health. They control for the unobserved heterogeneity between health and </w:t>
      </w:r>
      <w:r>
        <w:rPr>
          <w:color w:val="000000"/>
          <w:highlight w:val="white"/>
        </w:rPr>
        <w:lastRenderedPageBreak/>
        <w:t>indebtedness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will be used in this paper.</w:t>
      </w:r>
    </w:p>
    <w:p w:rsidR="0021637B" w:rsidRDefault="00CB0C55" w:rsidP="00CB0C55">
      <w:pPr>
        <w:spacing w:line="360" w:lineRule="auto"/>
        <w:jc w:val="both"/>
      </w:pPr>
      <w:r>
        <w:rPr>
          <w:b/>
          <w:bCs/>
          <w:color w:val="000000"/>
          <w:sz w:val="28"/>
          <w:highlight w:val="white"/>
        </w:rPr>
        <w:t>Institutional section:</w:t>
      </w:r>
    </w:p>
    <w:p w:rsidR="0021637B" w:rsidRDefault="00CB0C55" w:rsidP="00CB0C55">
      <w:pPr>
        <w:spacing w:line="360" w:lineRule="auto"/>
        <w:jc w:val="both"/>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pointed out, institutions of different countries might have an impact on the relationship between wealth and health. Since the data consists of respondents from the Netherlands it is important to look at what impact Dutch institutions might have on the relationship between health and wealth. There are two subjects of interest here: the obligated health insurance, the paying of salary for a sick person with and without a permanent contract.</w:t>
      </w:r>
    </w:p>
    <w:p w:rsidR="0021637B" w:rsidRDefault="00CB0C55" w:rsidP="00CB0C55">
      <w:pPr>
        <w:spacing w:line="360" w:lineRule="auto"/>
        <w:jc w:val="both"/>
      </w:pPr>
      <w:r>
        <w:rPr>
          <w:bCs/>
          <w:color w:val="000000"/>
          <w:highlight w:val="white"/>
        </w:rPr>
        <w:tab/>
        <w:t xml:space="preserve">In the Netherlands, every Dutch citizen is obligated to have a health insurance. There is a basic insurance and more expensive insurances which will cover more. With the basic insurance all visits to the family physician are covered and if you are treated with a referral from the family physician most of the treatments are covered as well. There also is a mandatory yearly deductible which is set at a minimum of </w:t>
      </w:r>
      <w:r>
        <w:rPr>
          <w:rFonts w:ascii="Times New Roman" w:hAnsi="Times New Roman" w:cs="Times New Roman"/>
          <w:bCs/>
          <w:color w:val="000000"/>
          <w:highlight w:val="white"/>
        </w:rPr>
        <w:t>€</w:t>
      </w:r>
      <w:r>
        <w:rPr>
          <w:bCs/>
          <w:color w:val="000000"/>
          <w:highlight w:val="white"/>
        </w:rPr>
        <w:t>385 (</w:t>
      </w:r>
      <w:r>
        <w:t xml:space="preserve">Eigen </w:t>
      </w:r>
      <w:proofErr w:type="spellStart"/>
      <w:r>
        <w:t>risico</w:t>
      </w:r>
      <w:proofErr w:type="spellEnd"/>
      <w:r>
        <w:t xml:space="preserve">. </w:t>
      </w:r>
      <w:r>
        <w:rPr>
          <w:lang w:val="nl-NL"/>
        </w:rPr>
        <w:t xml:space="preserve">Wat is het en waarom betaalt u het? - Zilveren Kruis, 2009) and a maximum of </w:t>
      </w:r>
      <w:r>
        <w:rPr>
          <w:rFonts w:ascii="Times New Roman" w:hAnsi="Times New Roman" w:cs="Times New Roman"/>
          <w:lang w:val="nl-NL"/>
        </w:rPr>
        <w:t>€</w:t>
      </w:r>
      <w:r>
        <w:rPr>
          <w:lang w:val="nl-NL"/>
        </w:rPr>
        <w:t xml:space="preserve">885. </w:t>
      </w:r>
      <w:r>
        <w:t>The person who buys the insurance can set his own deductible somewhere between those values. Someone can also receive a “</w:t>
      </w:r>
      <w:proofErr w:type="spellStart"/>
      <w:r>
        <w:t>zorgtoeslag</w:t>
      </w:r>
      <w:proofErr w:type="spellEnd"/>
      <w:r>
        <w:t xml:space="preserve">”, a benefit to pay your insurance if you are eligible. Therefore, everyone has, and can pay for insurance. </w:t>
      </w:r>
    </w:p>
    <w:p w:rsidR="0021637B" w:rsidRDefault="00CB0C55" w:rsidP="00CB0C55">
      <w:pPr>
        <w:spacing w:line="360" w:lineRule="auto"/>
        <w:jc w:val="both"/>
      </w:pPr>
      <w:r>
        <w:tab/>
        <w:t xml:space="preserve">The other thing is the paying of salary when you are sick. If someone is sick and has a permanent contract he gets payed at least 70% of their salary in the first year. If 70% of the salary is below the minimum loan, they get payed at least the minimum loan. The second the person still gets paid 70% of their salary but in the second year it can be less than minimum loan. If the person does receive less than the minimum loan in the second year he can apply for a benefit which makes the total income equal to the minimum year. (UWV, </w:t>
      </w:r>
      <w:proofErr w:type="spellStart"/>
      <w:r>
        <w:t>n.d.</w:t>
      </w:r>
      <w:proofErr w:type="spellEnd"/>
      <w:r>
        <w:t xml:space="preserve">) When a person without a permanent contract gets sick, salary will be </w:t>
      </w:r>
      <w:proofErr w:type="spellStart"/>
      <w:r>
        <w:t>payed</w:t>
      </w:r>
      <w:proofErr w:type="spellEnd"/>
      <w:r>
        <w:t xml:space="preserve"> for the duration of the contract. When someone is still sick when the contracts ends, he or she can possibly get a benefit (Het </w:t>
      </w:r>
      <w:proofErr w:type="spellStart"/>
      <w:r>
        <w:t>Juridisch</w:t>
      </w:r>
      <w:proofErr w:type="spellEnd"/>
      <w:r>
        <w:t xml:space="preserve"> </w:t>
      </w:r>
      <w:proofErr w:type="spellStart"/>
      <w:r>
        <w:t>Loket</w:t>
      </w:r>
      <w:proofErr w:type="spellEnd"/>
      <w:r>
        <w:t xml:space="preserve">, </w:t>
      </w:r>
      <w:proofErr w:type="spellStart"/>
      <w:r>
        <w:t>n.d.</w:t>
      </w:r>
      <w:proofErr w:type="spellEnd"/>
      <w:r>
        <w:t>). Therefore, someone who has an income from working but is unable to keep working due to poor health will keep roughly the same income.</w:t>
      </w:r>
    </w:p>
    <w:p w:rsidR="0021637B" w:rsidRDefault="00CB0C55" w:rsidP="00CB0C55">
      <w:pPr>
        <w:spacing w:line="360" w:lineRule="auto"/>
        <w:jc w:val="both"/>
      </w:pPr>
      <w:r>
        <w:tab/>
        <w:t>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 for example hospital treatment is almost non-existent.</w:t>
      </w:r>
    </w:p>
    <w:p w:rsidR="0021637B" w:rsidRDefault="00CB0C55" w:rsidP="00CB0C55">
      <w:pPr>
        <w:spacing w:line="360" w:lineRule="auto"/>
        <w:jc w:val="both"/>
      </w:pPr>
      <w:r>
        <w:tab/>
        <w:t xml:space="preserve">Also, because an income is not lost when a person is unable to work due to health problems a causal effect from health to wealth is less likely to exists in the Netherlands. Because someone </w:t>
      </w:r>
      <w:r>
        <w:lastRenderedPageBreak/>
        <w:t>keep an income when they are unable to work due to poor health, wealth is less likely to be impacted by bad health in the longer run. Also because the height of the benefit depends on the income before a person gets sick, people do not only keep an income but also an income which is in line with their income before becoming sick.</w:t>
      </w:r>
    </w:p>
    <w:p w:rsidR="0021637B" w:rsidRDefault="00CB0C55" w:rsidP="00CB0C55">
      <w:pPr>
        <w:spacing w:line="360" w:lineRule="auto"/>
        <w:jc w:val="both"/>
      </w:pPr>
      <w:r>
        <w:tab/>
      </w:r>
    </w:p>
    <w:p w:rsidR="0021637B" w:rsidRDefault="0021637B" w:rsidP="00CB0C55">
      <w:pPr>
        <w:spacing w:line="360" w:lineRule="auto"/>
        <w:jc w:val="both"/>
      </w:pPr>
    </w:p>
    <w:p w:rsidR="0021637B" w:rsidRDefault="0021637B" w:rsidP="00CB0C55">
      <w:pPr>
        <w:spacing w:line="360" w:lineRule="auto"/>
        <w:jc w:val="both"/>
      </w:pPr>
    </w:p>
    <w:p w:rsidR="0021637B" w:rsidRDefault="00CB0C55" w:rsidP="00CB0C55">
      <w:pPr>
        <w:spacing w:line="360" w:lineRule="auto"/>
        <w:jc w:val="both"/>
        <w:rPr>
          <w:b/>
          <w:bCs/>
          <w:color w:val="000000"/>
          <w:sz w:val="28"/>
          <w:highlight w:val="white"/>
        </w:rPr>
      </w:pPr>
      <w:r>
        <w:rPr>
          <w:b/>
          <w:bCs/>
          <w:color w:val="000000"/>
          <w:sz w:val="28"/>
          <w:highlight w:val="white"/>
        </w:rPr>
        <w:t>Data</w:t>
      </w:r>
    </w:p>
    <w:p w:rsidR="0021637B" w:rsidRDefault="00CB0C55" w:rsidP="00CB0C55">
      <w:pPr>
        <w:spacing w:line="360" w:lineRule="auto"/>
        <w:jc w:val="both"/>
        <w:rPr>
          <w:rStyle w:val="Bullets"/>
          <w:highlight w:val="white"/>
        </w:rPr>
      </w:pPr>
      <w:r>
        <w:rPr>
          <w:highlight w:val="white"/>
        </w:rPr>
        <w:t xml:space="preserve">The data consists of different (yearly) waves from the DHS. The data is collected every year by the </w:t>
      </w:r>
      <w:proofErr w:type="spellStart"/>
      <w:r>
        <w:rPr>
          <w:highlight w:val="white"/>
        </w:rPr>
        <w:t>CentERdata</w:t>
      </w:r>
      <w:proofErr w:type="spellEnd"/>
      <w:r>
        <w:rPr>
          <w:highlight w:val="white"/>
        </w:rPr>
        <w:t xml:space="preserve">. The DHS consists of six questionnaires, General Information on the Household, Household and Work, Accommodation and Mortgages, Health and Income, Assets and Liabilities and Economic and Psychological Concepts. (“DHS data access | CentERdata.nl,” </w:t>
      </w:r>
      <w:proofErr w:type="spellStart"/>
      <w:r>
        <w:rPr>
          <w:highlight w:val="white"/>
        </w:rPr>
        <w:t>n</w:t>
      </w:r>
      <w:r>
        <w:rPr>
          <w:rStyle w:val="Bullets"/>
          <w:highlight w:val="white"/>
        </w:rPr>
        <w:t>.d.</w:t>
      </w:r>
      <w:proofErr w:type="spellEnd"/>
      <w:r>
        <w:rPr>
          <w:rStyle w:val="Bullets"/>
          <w:highlight w:val="white"/>
        </w:rPr>
        <w:t>)</w:t>
      </w:r>
      <w:r>
        <w:rPr>
          <w:rStyle w:val="Bullets"/>
          <w:rFonts w:ascii="Arial Unicode MS" w:eastAsia="Arial Unicode MS" w:hAnsi="Arial Unicode MS" w:cs="Arial Unicode MS"/>
          <w:highlight w:val="white"/>
        </w:rPr>
        <w:t>⁠</w:t>
      </w:r>
      <w:r>
        <w:rPr>
          <w:rStyle w:val="Bullets"/>
          <w:highlight w:val="white"/>
        </w:rPr>
        <w:t xml:space="preserve"> </w:t>
      </w:r>
    </w:p>
    <w:p w:rsidR="0021637B" w:rsidRDefault="00CB0C55" w:rsidP="00CB0C55">
      <w:pPr>
        <w:spacing w:line="360" w:lineRule="auto"/>
        <w:jc w:val="both"/>
      </w:pPr>
      <w:r>
        <w:rPr>
          <w:highlight w:val="white"/>
        </w:rPr>
        <w:t xml:space="preserve">Besides the questionnaire data, the </w:t>
      </w:r>
      <w:proofErr w:type="spellStart"/>
      <w:r>
        <w:rPr>
          <w:highlight w:val="white"/>
        </w:rPr>
        <w:t>CentERdata</w:t>
      </w:r>
      <w:proofErr w:type="spellEnd"/>
      <w:r>
        <w:rPr>
          <w:highlight w:val="white"/>
        </w:rPr>
        <w:t xml:space="preserve">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rsidR="0021637B" w:rsidRDefault="00CB0C55" w:rsidP="00CB0C55">
      <w:pPr>
        <w:spacing w:line="360" w:lineRule="auto"/>
        <w:jc w:val="both"/>
      </w:pPr>
      <w:r>
        <w:rPr>
          <w:rStyle w:val="Bullets"/>
          <w:highlight w:val="white"/>
        </w:rPr>
        <w:tab/>
      </w:r>
      <w:r>
        <w:rPr>
          <w:highlight w:val="white"/>
        </w:rPr>
        <w:t>The health variable is a categorical variable with two options, either healthy or not healthy. The data received from the DHS has five categories for health: poor, not so good, fair, good and excellent. People were placed in one of these categories by self assessment. Self assessed health is a good predictor for mortality</w:t>
      </w:r>
      <w:r>
        <w:rPr>
          <w:rStyle w:val="Bullets"/>
          <w:highlight w:val="white"/>
        </w:rPr>
        <w:t xml:space="preserve"> </w:t>
      </w:r>
      <w:r>
        <w:rPr>
          <w:highlight w:val="white"/>
        </w:rPr>
        <w:t xml:space="preserve">(Idler &amp; </w:t>
      </w:r>
      <w:proofErr w:type="spellStart"/>
      <w:r>
        <w:rPr>
          <w:highlight w:val="white"/>
        </w:rPr>
        <w:t>Benyamini</w:t>
      </w:r>
      <w:proofErr w:type="spellEnd"/>
      <w:r>
        <w:rPr>
          <w:highlight w:val="white"/>
        </w:rPr>
        <w:t>, 1997)</w:t>
      </w:r>
      <w:r>
        <w:rPr>
          <w:rFonts w:ascii="Times New Roman" w:hAnsi="Times New Roman" w:cs="Times New Roman"/>
          <w:highlight w:val="white"/>
        </w:rPr>
        <w:t>⁠</w:t>
      </w:r>
      <w:r>
        <w:rPr>
          <w:highlight w:val="white"/>
        </w:rPr>
        <w:t xml:space="preserve">. which is a good indicator for health. Persons who considered themselves to be in poor or not so good health are placed in the not healthy category. The persons that consider themselves to be in fair, good or excellent health will be placed in the healthy category. </w:t>
      </w:r>
    </w:p>
    <w:p w:rsidR="0021637B" w:rsidRDefault="00CB0C55" w:rsidP="00CB0C55">
      <w:pPr>
        <w:spacing w:line="360" w:lineRule="auto"/>
        <w:jc w:val="both"/>
      </w:pPr>
      <w:r>
        <w:rPr>
          <w:rStyle w:val="Bullets"/>
          <w:highlight w:val="white"/>
        </w:rPr>
        <w:tab/>
      </w:r>
      <w:r>
        <w:rPr>
          <w:highlight w:val="white"/>
        </w:rPr>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rsidR="0021637B" w:rsidRDefault="00CB0C55" w:rsidP="00CB0C55">
      <w:pPr>
        <w:spacing w:line="360" w:lineRule="auto"/>
        <w:jc w:val="both"/>
        <w:rPr>
          <w:rStyle w:val="Bullets"/>
        </w:rPr>
      </w:pPr>
      <w:r>
        <w:rPr>
          <w:rStyle w:val="Bullets"/>
          <w:highlight w:val="white"/>
        </w:rPr>
        <w:tab/>
      </w:r>
      <w:r>
        <w:rPr>
          <w:highlight w:val="white"/>
        </w:rPr>
        <w:t>The assets and liabilities that could be found in the aggregated</w:t>
      </w:r>
      <w:r>
        <w:rPr>
          <w:rStyle w:val="Bullets"/>
          <w:highlight w:val="white"/>
        </w:rPr>
        <w:t xml:space="preserve"> </w:t>
      </w:r>
      <w:r>
        <w:rPr>
          <w:highlight w:val="white"/>
        </w:rPr>
        <w:t>wealth data were:</w:t>
      </w:r>
      <w:r>
        <w:rPr>
          <w:rStyle w:val="Bullets"/>
          <w:highlight w:val="white"/>
        </w:rPr>
        <w:t xml:space="preserve"> </w:t>
      </w:r>
    </w:p>
    <w:p w:rsidR="0021637B" w:rsidRDefault="0021637B" w:rsidP="00CB0C55">
      <w:pPr>
        <w:spacing w:line="360" w:lineRule="auto"/>
        <w:jc w:val="both"/>
        <w:rPr>
          <w:color w:val="000000"/>
          <w:spacing w:val="15"/>
          <w:highlight w:val="white"/>
        </w:rPr>
      </w:pPr>
    </w:p>
    <w:p w:rsidR="0021637B" w:rsidRDefault="00CB0C55" w:rsidP="00CB0C55">
      <w:pPr>
        <w:pStyle w:val="Caption"/>
        <w:keepNext/>
        <w:spacing w:line="360" w:lineRule="auto"/>
        <w:jc w:val="both"/>
      </w:pPr>
      <w:r>
        <w:lastRenderedPageBreak/>
        <w:t xml:space="preserve">Table </w:t>
      </w:r>
      <w:r w:rsidR="0021637B">
        <w:fldChar w:fldCharType="begin"/>
      </w:r>
      <w:r>
        <w:instrText>SEQ Table \* ARABIC</w:instrText>
      </w:r>
      <w:r w:rsidR="0021637B">
        <w:fldChar w:fldCharType="separate"/>
      </w:r>
      <w:r w:rsidR="00B4560D">
        <w:rPr>
          <w:noProof/>
        </w:rPr>
        <w:t>1</w:t>
      </w:r>
      <w:r w:rsidR="0021637B">
        <w:fldChar w:fldCharType="end"/>
      </w:r>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21637B" w:rsidTr="00216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rsidR="0021637B" w:rsidRDefault="00CB0C55" w:rsidP="00CB0C55">
            <w:pPr>
              <w:spacing w:line="360" w:lineRule="auto"/>
              <w:ind w:left="360"/>
              <w:jc w:val="both"/>
              <w:rPr>
                <w:color w:val="000000"/>
                <w:spacing w:val="15"/>
              </w:rPr>
            </w:pPr>
            <w:r>
              <w:rPr>
                <w:color w:val="000000"/>
                <w:spacing w:val="15"/>
              </w:rPr>
              <w:t>Assets</w:t>
            </w:r>
          </w:p>
        </w:tc>
        <w:tc>
          <w:tcPr>
            <w:tcW w:w="4926" w:type="dxa"/>
            <w:shd w:val="clear" w:color="auto" w:fill="auto"/>
          </w:tcPr>
          <w:p w:rsidR="0021637B" w:rsidRDefault="00CB0C55" w:rsidP="00CB0C55">
            <w:pPr>
              <w:spacing w:line="360" w:lineRule="auto"/>
              <w:ind w:left="360"/>
              <w:jc w:val="both"/>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checking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deposit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deposit books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certificates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endowment insurance policies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growth funds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mutual funds and/or mutual fund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stocks and shares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put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put options written</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call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call options written</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value of life insurance mortgage real estate</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cars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motorbikes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boats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(site-)caravans/trailers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money lent out to family or friends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investments not mentioned before</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business equity (professions)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rPr>
            </w:pPr>
            <w:r>
              <w:rPr>
                <w:b w:val="0"/>
                <w:color w:val="000000"/>
                <w:spacing w:val="15"/>
              </w:rPr>
              <w:lastRenderedPageBreak/>
              <w:t>business equity self-employed</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rsidR="0021637B" w:rsidRDefault="0021637B" w:rsidP="00CB0C55">
            <w:pPr>
              <w:spacing w:line="360" w:lineRule="auto"/>
              <w:jc w:val="both"/>
              <w:rPr>
                <w:color w:val="31849B" w:themeColor="accent5" w:themeShade="BF"/>
                <w:spacing w:val="15"/>
              </w:rPr>
            </w:pPr>
          </w:p>
        </w:tc>
        <w:tc>
          <w:tcPr>
            <w:tcW w:w="4926" w:type="dxa"/>
            <w:tcBorders>
              <w:top w:val="nil"/>
            </w:tcBorders>
          </w:tcPr>
          <w:p w:rsidR="0021637B" w:rsidRDefault="0021637B"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rsidR="0021637B" w:rsidRDefault="0021637B" w:rsidP="00CB0C55">
      <w:pPr>
        <w:spacing w:line="360" w:lineRule="auto"/>
        <w:jc w:val="both"/>
        <w:rPr>
          <w:color w:val="000000"/>
          <w:spacing w:val="15"/>
          <w:highlight w:val="white"/>
        </w:rPr>
      </w:pPr>
    </w:p>
    <w:p w:rsidR="0021637B" w:rsidRDefault="0021637B" w:rsidP="00CB0C55">
      <w:pPr>
        <w:spacing w:line="360" w:lineRule="auto"/>
        <w:jc w:val="both"/>
        <w:rPr>
          <w:color w:val="000000"/>
          <w:spacing w:val="15"/>
          <w:highlight w:val="white"/>
        </w:rPr>
      </w:pPr>
    </w:p>
    <w:p w:rsidR="0021637B" w:rsidRDefault="00CB0C55" w:rsidP="00CB0C55">
      <w:pPr>
        <w:keepNext/>
        <w:spacing w:line="360" w:lineRule="auto"/>
        <w:jc w:val="both"/>
      </w:pPr>
      <w:r>
        <w:rPr>
          <w:noProof/>
          <w:lang w:eastAsia="en-US" w:bidi="ar-SA"/>
        </w:rPr>
        <w:drawing>
          <wp:inline distT="0" distB="0" distL="0" distR="0">
            <wp:extent cx="4972050" cy="48863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cstate="print"/>
                    <a:stretch>
                      <a:fillRect/>
                    </a:stretch>
                  </pic:blipFill>
                  <pic:spPr bwMode="auto">
                    <a:xfrm>
                      <a:off x="0" y="0"/>
                      <a:ext cx="4972050" cy="4886325"/>
                    </a:xfrm>
                    <a:prstGeom prst="rect">
                      <a:avLst/>
                    </a:prstGeom>
                  </pic:spPr>
                </pic:pic>
              </a:graphicData>
            </a:graphic>
          </wp:inline>
        </w:drawing>
      </w:r>
    </w:p>
    <w:p w:rsidR="0021637B" w:rsidRDefault="00CB0C55" w:rsidP="00CB0C55">
      <w:pPr>
        <w:pStyle w:val="Caption"/>
        <w:spacing w:line="360" w:lineRule="auto"/>
        <w:jc w:val="both"/>
        <w:rPr>
          <w:color w:val="000000"/>
          <w:spacing w:val="15"/>
          <w:highlight w:val="white"/>
        </w:rPr>
      </w:pPr>
      <w:r>
        <w:t xml:space="preserve">Figure </w:t>
      </w:r>
      <w:r w:rsidR="0021637B">
        <w:fldChar w:fldCharType="begin"/>
      </w:r>
      <w:r>
        <w:instrText>SEQ Figure \* ARABIC</w:instrText>
      </w:r>
      <w:r w:rsidR="0021637B">
        <w:fldChar w:fldCharType="separate"/>
      </w:r>
      <w:r w:rsidR="00B4560D">
        <w:rPr>
          <w:noProof/>
        </w:rPr>
        <w:t>1</w:t>
      </w:r>
      <w:r w:rsidR="0021637B">
        <w:fldChar w:fldCharType="end"/>
      </w:r>
      <w:r>
        <w:t xml:space="preserve"> Housing Prices in the Netherlands. Source: CBS</w:t>
      </w:r>
    </w:p>
    <w:p w:rsidR="0021637B" w:rsidRDefault="0021637B" w:rsidP="00CB0C55">
      <w:pPr>
        <w:spacing w:line="360" w:lineRule="auto"/>
        <w:jc w:val="both"/>
        <w:rPr>
          <w:color w:val="000000"/>
          <w:spacing w:val="15"/>
          <w:highlight w:val="white"/>
        </w:rPr>
      </w:pPr>
    </w:p>
    <w:p w:rsidR="0021637B" w:rsidRDefault="00CB0C55" w:rsidP="00CB0C55">
      <w:pPr>
        <w:spacing w:line="360" w:lineRule="auto"/>
        <w:jc w:val="both"/>
      </w:pPr>
      <w:r>
        <w:rPr>
          <w:highlight w:val="white"/>
        </w:rPr>
        <w:t xml:space="preserve">This paper uses the waves from 2007, 2013 and 2017. As is clearly visible in figure 1, the housing prices peaked somewhere in 2008. Because the data is collected throughout the whole year it makes sense to take 2007 as the pretreatment year because the financial crisis hit in September 2008. Therefore it might have affected some observations while others not. 2013 is the year when the housing prices were at the lowest in the Netherlands. If wealth would cause short-term changes in health, it should be visible in the regression 2007 – 2013 and 2013 - 2017. So in the first case, 2007 is the pre-treatment year and 2013 the post-treatment year. In the second case, 2013 is the pre-treatment year and 2017 the post-treatment year. In 2017, the housing prices were still not as high as in 2007. A regression on 2007 – 2017, with 2017 as an post-treatment year and 2007 again as the </w:t>
      </w:r>
      <w:r>
        <w:rPr>
          <w:highlight w:val="white"/>
        </w:rPr>
        <w:lastRenderedPageBreak/>
        <w:t xml:space="preserve">pre-treatment year, could show us more about the mid-term effect of wealth on health. Because this paper is interested in the effect of the difference in housing prices, housing prices of single years will be used instead of averages. When for example the average housing prices of 2007 until 2013 will be used and the average housing prices of 2013 until 2017, the difference between the two averages will almost completely fall away. This will make the effect of the difference less noticeable. </w:t>
      </w:r>
    </w:p>
    <w:p w:rsidR="0021637B" w:rsidRDefault="00CB0C55" w:rsidP="00CB0C55">
      <w:pPr>
        <w:spacing w:line="360" w:lineRule="auto"/>
        <w:jc w:val="both"/>
        <w:rPr>
          <w:highlight w:val="white"/>
        </w:rPr>
      </w:pPr>
      <w:r>
        <w:tab/>
        <w:t>Table two shows the number of observations per year and the size of the treatment group, consisting of home-owners and the control group, consisting of tenants. In all the three years the ratio of treatment group to control group is rather consistent and lies around 1:1.</w:t>
      </w: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2</w:t>
      </w:r>
      <w:r w:rsidR="0021637B">
        <w:fldChar w:fldCharType="end"/>
      </w:r>
      <w:r>
        <w:t xml:space="preserve"> distribution of the control and treatment groups</w:t>
      </w:r>
    </w:p>
    <w:tbl>
      <w:tblPr>
        <w:tblStyle w:val="LightShading-Accent5"/>
        <w:tblW w:w="8132" w:type="dxa"/>
        <w:jc w:val="center"/>
        <w:tblLook w:val="04A0" w:firstRow="1" w:lastRow="0" w:firstColumn="1" w:lastColumn="0" w:noHBand="0" w:noVBand="1"/>
      </w:tblPr>
      <w:tblGrid>
        <w:gridCol w:w="2034"/>
        <w:gridCol w:w="2033"/>
        <w:gridCol w:w="2033"/>
        <w:gridCol w:w="2032"/>
      </w:tblGrid>
      <w:tr w:rsidR="0021637B" w:rsidTr="0021637B">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rsidR="0021637B" w:rsidRDefault="00CB0C55" w:rsidP="00CB0C55">
            <w:pPr>
              <w:spacing w:line="360" w:lineRule="auto"/>
              <w:jc w:val="both"/>
              <w:rPr>
                <w:color w:val="000000"/>
                <w:spacing w:val="15"/>
                <w:highlight w:val="white"/>
              </w:rPr>
            </w:pPr>
            <w:r>
              <w:rPr>
                <w:color w:val="000000"/>
                <w:spacing w:val="15"/>
                <w:highlight w:val="white"/>
              </w:rPr>
              <w:t>Year</w:t>
            </w:r>
          </w:p>
        </w:tc>
        <w:tc>
          <w:tcPr>
            <w:tcW w:w="2033"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2"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21637B" w:rsidTr="0021637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rsidR="0021637B" w:rsidRDefault="00CB0C55" w:rsidP="00CB0C55">
            <w:pPr>
              <w:spacing w:line="360" w:lineRule="auto"/>
              <w:jc w:val="both"/>
              <w:rPr>
                <w:color w:val="000000"/>
                <w:spacing w:val="15"/>
              </w:rPr>
            </w:pPr>
            <w:r>
              <w:rPr>
                <w:color w:val="000000"/>
                <w:spacing w:val="15"/>
              </w:rPr>
              <w:t>2007</w:t>
            </w:r>
          </w:p>
        </w:tc>
        <w:tc>
          <w:tcPr>
            <w:tcW w:w="2033"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21637B" w:rsidTr="0021637B">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rsidR="0021637B" w:rsidRDefault="00CB0C55" w:rsidP="00CB0C55">
            <w:pPr>
              <w:spacing w:line="360" w:lineRule="auto"/>
              <w:jc w:val="both"/>
              <w:rPr>
                <w:color w:val="000000"/>
                <w:spacing w:val="15"/>
              </w:rPr>
            </w:pPr>
            <w:r>
              <w:rPr>
                <w:color w:val="000000"/>
                <w:spacing w:val="15"/>
              </w:rPr>
              <w:t>2013</w:t>
            </w:r>
          </w:p>
        </w:tc>
        <w:tc>
          <w:tcPr>
            <w:tcW w:w="2033"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21637B" w:rsidTr="002163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rsidR="0021637B" w:rsidRDefault="00CB0C55" w:rsidP="00CB0C55">
            <w:pPr>
              <w:spacing w:line="360" w:lineRule="auto"/>
              <w:jc w:val="both"/>
              <w:rPr>
                <w:color w:val="000000"/>
                <w:spacing w:val="15"/>
              </w:rPr>
            </w:pPr>
            <w:r>
              <w:rPr>
                <w:color w:val="000000"/>
                <w:spacing w:val="15"/>
              </w:rPr>
              <w:t>2017</w:t>
            </w:r>
          </w:p>
        </w:tc>
        <w:tc>
          <w:tcPr>
            <w:tcW w:w="2033"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rsidR="0021637B" w:rsidRDefault="00CB0C55" w:rsidP="00CB0C55">
      <w:pPr>
        <w:spacing w:line="360" w:lineRule="auto"/>
        <w:jc w:val="both"/>
      </w:pPr>
      <w:r>
        <w:t>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are successfully balanced.</w:t>
      </w:r>
    </w:p>
    <w:p w:rsidR="0021637B" w:rsidRDefault="00CB0C55" w:rsidP="00CB0C55">
      <w:pPr>
        <w:spacing w:line="360" w:lineRule="auto"/>
        <w:jc w:val="both"/>
      </w:pPr>
      <w: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rsidR="0021637B" w:rsidRDefault="00CB0C55" w:rsidP="00CB0C55">
      <w:pPr>
        <w:pStyle w:val="Caption"/>
        <w:keepNext/>
        <w:spacing w:line="360" w:lineRule="auto"/>
        <w:jc w:val="both"/>
      </w:pPr>
      <w:r>
        <w:lastRenderedPageBreak/>
        <w:br/>
      </w:r>
      <w:r>
        <w:br/>
        <w:t xml:space="preserve">Table </w:t>
      </w:r>
      <w:r w:rsidR="0021637B">
        <w:fldChar w:fldCharType="begin"/>
      </w:r>
      <w:r>
        <w:instrText>SEQ Table \* ARABIC</w:instrText>
      </w:r>
      <w:r w:rsidR="0021637B">
        <w:fldChar w:fldCharType="separate"/>
      </w:r>
      <w:r w:rsidR="00B4560D">
        <w:rPr>
          <w:noProof/>
        </w:rPr>
        <w:t>3</w:t>
      </w:r>
      <w:r w:rsidR="0021637B">
        <w:fldChar w:fldCharType="end"/>
      </w:r>
      <w:r w:rsidR="00B4560D">
        <w:t>:</w:t>
      </w:r>
      <w:r>
        <w:t xml:space="preserve"> summary statistics 2007</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4</w:t>
      </w:r>
      <w:r w:rsidR="0021637B">
        <w:fldChar w:fldCharType="end"/>
      </w:r>
      <w:r w:rsidR="00B4560D">
        <w:t>:</w:t>
      </w:r>
      <w:r>
        <w:t xml:space="preserve"> summary statistics 2013</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5</w:t>
      </w:r>
      <w:r w:rsidR="0021637B">
        <w:fldChar w:fldCharType="end"/>
      </w:r>
      <w:r w:rsidR="00B4560D">
        <w:t>:</w:t>
      </w:r>
      <w:r>
        <w:t xml:space="preserve"> summary statistics 2017</w:t>
      </w:r>
    </w:p>
    <w:tbl>
      <w:tblPr>
        <w:tblStyle w:val="LightShading-Accent1"/>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rsidR="0021637B" w:rsidRDefault="0021637B" w:rsidP="00CB0C55">
      <w:pPr>
        <w:spacing w:line="360" w:lineRule="auto"/>
        <w:jc w:val="both"/>
        <w:rPr>
          <w:b/>
          <w:bCs/>
          <w:color w:val="000000"/>
          <w:spacing w:val="15"/>
          <w:highlight w:val="white"/>
        </w:rPr>
      </w:pPr>
    </w:p>
    <w:p w:rsidR="0021637B" w:rsidRDefault="0021637B" w:rsidP="00CB0C55">
      <w:pPr>
        <w:spacing w:line="360" w:lineRule="auto"/>
        <w:jc w:val="both"/>
        <w:rPr>
          <w:b/>
          <w:bCs/>
          <w:color w:val="000000"/>
          <w:spacing w:val="15"/>
          <w:highlight w:val="white"/>
        </w:rPr>
      </w:pPr>
    </w:p>
    <w:p w:rsidR="0021637B" w:rsidRDefault="00CB0C55" w:rsidP="00CB0C55">
      <w:pPr>
        <w:spacing w:line="360" w:lineRule="auto"/>
        <w:jc w:val="both"/>
        <w:rPr>
          <w:sz w:val="28"/>
        </w:rPr>
      </w:pPr>
      <w:r>
        <w:rPr>
          <w:b/>
          <w:bCs/>
          <w:color w:val="000000"/>
          <w:spacing w:val="15"/>
          <w:sz w:val="28"/>
          <w:highlight w:val="white"/>
        </w:rPr>
        <w:t>Methods</w:t>
      </w:r>
    </w:p>
    <w:p w:rsidR="0021637B" w:rsidRDefault="00CB0C55" w:rsidP="00CB0C55">
      <w:pPr>
        <w:spacing w:line="360" w:lineRule="auto"/>
        <w:jc w:val="both"/>
      </w:pPr>
      <w: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rsidR="0021637B" w:rsidRDefault="00CB0C55" w:rsidP="00CB0C55">
      <w:pPr>
        <w:spacing w:line="360" w:lineRule="auto"/>
        <w:jc w:val="both"/>
      </w:pPr>
      <w:r>
        <w:lastRenderedPageBreak/>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rsidR="0021637B" w:rsidRDefault="00CB0C55" w:rsidP="00CB0C55">
      <w:pPr>
        <w:spacing w:line="360" w:lineRule="auto"/>
        <w:jc w:val="both"/>
      </w:pPr>
      <w: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stands to reason that although the sharp drop in housing prices has an effect on the wealth of home-owners, it does not have a direct link to health. It stands to reason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can also have been negatively impacted, the home owners are exposed more to the negative wealth shock due to the drop in housing prices. Therefore the net worth of tenants should be affected less than the net worth of home owners.</w:t>
      </w:r>
    </w:p>
    <w:p w:rsidR="0021637B" w:rsidRDefault="00CB0C55" w:rsidP="00CB0C55">
      <w:pPr>
        <w:spacing w:line="360" w:lineRule="auto"/>
        <w:ind w:firstLine="720"/>
        <w:jc w:val="both"/>
      </w:pPr>
      <w:r>
        <w:t xml:space="preserve"> Since the participants of the DHS are randomly selected, it can be assumed that the only real difference between the control and treatment group is the ownership of a house. 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 </w:t>
      </w:r>
    </w:p>
    <w:p w:rsidR="0021637B" w:rsidRDefault="00CB0C55" w:rsidP="00CB0C55">
      <w:pPr>
        <w:spacing w:line="360" w:lineRule="auto"/>
        <w:jc w:val="both"/>
      </w:pPr>
      <w:r>
        <w:tab/>
        <w:t>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100%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Also, because the first group is bigger, the estimations should be better. For certainty, the second group is added which should show the same results as the first group.</w:t>
      </w:r>
    </w:p>
    <w:p w:rsidR="0021637B" w:rsidRDefault="00CB0C55" w:rsidP="00CB0C55">
      <w:pPr>
        <w:spacing w:line="360" w:lineRule="auto"/>
        <w:jc w:val="both"/>
      </w:pPr>
      <w:r>
        <w:tab/>
      </w:r>
      <w:r>
        <w:tab/>
      </w:r>
    </w:p>
    <w:p w:rsidR="0021637B" w:rsidRDefault="00CB0C55" w:rsidP="00CB0C55">
      <w:pPr>
        <w:spacing w:line="360" w:lineRule="auto"/>
        <w:jc w:val="both"/>
      </w:pPr>
      <w:r>
        <w:t>The following regression model will be used:</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B0C55" w:rsidP="00CB0C55">
            <w:pPr>
              <w:spacing w:line="360" w:lineRule="auto"/>
              <w:jc w:val="both"/>
            </w:pPr>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*Time*Treated+ε</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5" w:name="_Ref534894565"/>
            <w:r>
              <w:t>(</w:t>
            </w:r>
            <w:r w:rsidR="0021637B">
              <w:fldChar w:fldCharType="begin"/>
            </w:r>
            <w:r>
              <w:instrText>SEQ Equation \* ARABIC</w:instrText>
            </w:r>
            <w:r w:rsidR="0021637B">
              <w:fldChar w:fldCharType="separate"/>
            </w:r>
            <w:r w:rsidR="00B4560D">
              <w:rPr>
                <w:noProof/>
              </w:rPr>
              <w:t>1</w:t>
            </w:r>
            <w:r w:rsidR="0021637B">
              <w:fldChar w:fldCharType="end"/>
            </w:r>
            <w:bookmarkEnd w:id="5"/>
            <w:r>
              <w:t>)</w:t>
            </w:r>
          </w:p>
        </w:tc>
      </w:tr>
    </w:tbl>
    <w:p w:rsidR="0021637B" w:rsidRDefault="0021637B" w:rsidP="00CB0C55">
      <w:pPr>
        <w:spacing w:line="360" w:lineRule="auto"/>
        <w:jc w:val="both"/>
      </w:pPr>
    </w:p>
    <w:p w:rsidR="0021637B" w:rsidRDefault="00CB0C55" w:rsidP="00CB0C55">
      <w:pPr>
        <w:spacing w:line="360" w:lineRule="auto"/>
        <w:jc w:val="both"/>
      </w:pPr>
      <w: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p>
    <w:p w:rsidR="0021637B" w:rsidRDefault="00CB0C55" w:rsidP="00CB0C55">
      <w:pPr>
        <w:spacing w:line="360" w:lineRule="auto"/>
        <w:jc w:val="both"/>
      </w:pPr>
      <w:r>
        <w:tab/>
        <w:t>Therefore the hypotheses are:</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322CEC"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2</w:t>
            </w:r>
            <w:r w:rsidR="0021637B">
              <w:fldChar w:fldCharType="end"/>
            </w:r>
            <w:r>
              <w:t>)</w:t>
            </w:r>
          </w:p>
        </w:tc>
      </w:tr>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322CEC"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3</w:t>
            </w:r>
            <w:r w:rsidR="0021637B">
              <w:fldChar w:fldCharType="end"/>
            </w:r>
            <w:r>
              <w:t>)</w:t>
            </w:r>
          </w:p>
        </w:tc>
      </w:tr>
    </w:tbl>
    <w:p w:rsidR="0021637B" w:rsidRDefault="0021637B" w:rsidP="00CB0C55">
      <w:pPr>
        <w:spacing w:line="360" w:lineRule="auto"/>
        <w:jc w:val="both"/>
      </w:pPr>
    </w:p>
    <w:p w:rsidR="0021637B" w:rsidRDefault="00CB0C55" w:rsidP="00CB0C55">
      <w:pPr>
        <w:spacing w:line="360" w:lineRule="auto"/>
        <w:jc w:val="both"/>
      </w:pPr>
      <w:r>
        <w:t xml:space="preserve">To show that the difference in difference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t xml:space="preserve">is either the treatment group (i.e. home-owners) or the control group (i.e. tenants) and the period </w:t>
      </w:r>
      <w:proofErr w:type="spellStart"/>
      <w:r>
        <w:rPr>
          <w:i/>
        </w:rPr>
        <w:t>i</w:t>
      </w:r>
      <w:proofErr w:type="spellEnd"/>
      <w:r>
        <w:rPr>
          <w:i/>
        </w:rPr>
        <w:t xml:space="preserve"> </w:t>
      </w:r>
      <w:r>
        <w:t xml:space="preserve">is either before or after the treatment. </w:t>
      </w:r>
    </w:p>
    <w:p w:rsidR="0021637B" w:rsidRDefault="00CB0C55" w:rsidP="00CB0C55">
      <w:pPr>
        <w:spacing w:line="360" w:lineRule="auto"/>
        <w:jc w:val="both"/>
      </w:pPr>
      <w:r>
        <w:tab/>
        <w:t>Assume that:</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322CEC" w:rsidP="00CB0C55">
            <w:pPr>
              <w:spacing w:line="360" w:lineRule="auto"/>
              <w:jc w:val="both"/>
            </w:pPr>
            <m:oMath>
              <m:eqArr>
                <m:eqArrPr>
                  <m:ctrlPr>
                    <w:rPr>
                      <w:rFonts w:ascii="Cambria Math" w:hAnsi="Cambria Math"/>
                    </w:rPr>
                  </m:ctrlPr>
                </m:eqArrPr>
                <m:e>
                  <m:r>
                    <w:rPr>
                      <w:rFonts w:ascii="Cambria Math" w:hAnsi="Cambria Math"/>
                    </w:rPr>
                    <m:t>0i&gt;E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sSub>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e>
              </m:eqArr>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4</w:t>
            </w:r>
            <w:r w:rsidR="0021637B">
              <w:fldChar w:fldCharType="end"/>
            </w:r>
            <w:r>
              <w:t>)</w:t>
            </w:r>
          </w:p>
        </w:tc>
      </w:tr>
    </w:tbl>
    <w:p w:rsidR="0021637B" w:rsidRDefault="00CB0C55" w:rsidP="00CB0C55">
      <w:pPr>
        <w:spacing w:line="360" w:lineRule="auto"/>
        <w:jc w:val="both"/>
      </w:pPr>
      <w:r>
        <w:t>This equation means that in absence of the sudden drop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r>
          <m:rPr>
            <m:sty m:val="p"/>
          </m:rPr>
          <w:rPr>
            <w:rFonts w:ascii="Cambria Math" w:hAnsi="Cambria Math"/>
          </w:rPr>
          <m:t>)</m:t>
        </m:r>
      </m:oMath>
      <w:r>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t xml:space="preserve">). </w:t>
      </w:r>
    </w:p>
    <w:p w:rsidR="0021637B" w:rsidRDefault="00CB0C55" w:rsidP="00CB0C55">
      <w:pPr>
        <w:spacing w:line="360" w:lineRule="auto"/>
        <w:jc w:val="both"/>
      </w:pPr>
      <w:r>
        <w:tab/>
        <w:t xml:space="preserve">Let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be a dummy for home-owners and periods.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322CEC" w:rsidP="00CB0C55">
            <w:pPr>
              <w:spacing w:line="360" w:lineRule="auto"/>
              <w:jc w:val="both"/>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6" w:name="_Ref534893964"/>
            <w:r>
              <w:t>(</w:t>
            </w:r>
            <w:r w:rsidR="0021637B">
              <w:fldChar w:fldCharType="begin"/>
            </w:r>
            <w:r>
              <w:instrText>SEQ Equation \* ARABIC</w:instrText>
            </w:r>
            <w:r w:rsidR="0021637B">
              <w:fldChar w:fldCharType="separate"/>
            </w:r>
            <w:r w:rsidR="00B4560D">
              <w:rPr>
                <w:noProof/>
              </w:rPr>
              <w:t>5</w:t>
            </w:r>
            <w:r w:rsidR="0021637B">
              <w:fldChar w:fldCharType="end"/>
            </w:r>
            <w:bookmarkEnd w:id="6"/>
            <w:r>
              <w:t>)</w:t>
            </w:r>
          </w:p>
        </w:tc>
      </w:tr>
    </w:tbl>
    <w:p w:rsidR="0021637B" w:rsidRDefault="00CB0C55" w:rsidP="00CB0C55">
      <w:pPr>
        <w:spacing w:line="360" w:lineRule="auto"/>
        <w:jc w:val="both"/>
      </w:pPr>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rsidR="0021637B" w:rsidRDefault="00CB0C55" w:rsidP="00CB0C55">
      <w:pPr>
        <w:spacing w:line="360" w:lineRule="auto"/>
        <w:jc w:val="both"/>
      </w:pPr>
      <w:r>
        <w:t>Therefore we can get</w:t>
      </w:r>
    </w:p>
    <w:tbl>
      <w:tblPr>
        <w:tblStyle w:val="TableGrid"/>
        <w:tblW w:w="4950" w:type="pct"/>
        <w:tblCellMar>
          <w:left w:w="138" w:type="dxa"/>
        </w:tblCellMar>
        <w:tblLook w:val="04A0" w:firstRow="1" w:lastRow="0" w:firstColumn="1" w:lastColumn="0" w:noHBand="0" w:noVBand="1"/>
      </w:tblPr>
      <w:tblGrid>
        <w:gridCol w:w="679"/>
        <w:gridCol w:w="8420"/>
        <w:gridCol w:w="686"/>
      </w:tblGrid>
      <w:tr w:rsidR="0021637B">
        <w:tc>
          <w:tcPr>
            <w:tcW w:w="662" w:type="dxa"/>
            <w:tcBorders>
              <w:top w:val="nil"/>
              <w:left w:val="nil"/>
              <w:bottom w:val="nil"/>
              <w:right w:val="nil"/>
            </w:tcBorders>
            <w:shd w:val="clear" w:color="auto" w:fill="auto"/>
          </w:tcPr>
          <w:p w:rsidR="0021637B" w:rsidRDefault="0021637B" w:rsidP="00CB0C55">
            <w:pPr>
              <w:spacing w:line="360" w:lineRule="auto"/>
              <w:jc w:val="both"/>
            </w:pPr>
          </w:p>
        </w:tc>
        <w:tc>
          <w:tcPr>
            <w:tcW w:w="8210" w:type="dxa"/>
            <w:tcBorders>
              <w:top w:val="nil"/>
              <w:left w:val="nil"/>
              <w:bottom w:val="nil"/>
              <w:right w:val="nil"/>
            </w:tcBorders>
            <w:shd w:val="clear" w:color="auto" w:fill="auto"/>
          </w:tcPr>
          <w:p w:rsidR="0021637B" w:rsidRDefault="00CB0C55" w:rsidP="00CB0C55">
            <w:pPr>
              <w:spacing w:line="360" w:lineRule="auto"/>
              <w:jc w:val="both"/>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6</w:t>
            </w:r>
            <w:r w:rsidR="0021637B">
              <w:fldChar w:fldCharType="end"/>
            </w:r>
            <w:r>
              <w:t>)</w:t>
            </w:r>
          </w:p>
        </w:tc>
      </w:tr>
    </w:tbl>
    <w:p w:rsidR="0021637B" w:rsidRDefault="00CB0C55" w:rsidP="00CB0C55">
      <w:pPr>
        <w:spacing w:line="360" w:lineRule="auto"/>
        <w:jc w:val="both"/>
      </w:pPr>
      <w:r>
        <w:t>and</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B0C55" w:rsidP="00CB0C55">
            <w:pPr>
              <w:spacing w:line="360" w:lineRule="auto"/>
              <w:jc w:val="both"/>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7</w:t>
            </w:r>
            <w:r w:rsidR="0021637B">
              <w:fldChar w:fldCharType="end"/>
            </w:r>
            <w:r>
              <w:t>)</w:t>
            </w:r>
          </w:p>
        </w:tc>
      </w:tr>
    </w:tbl>
    <w:p w:rsidR="0021637B" w:rsidRDefault="00CB0C55" w:rsidP="00CB0C55">
      <w:pPr>
        <w:spacing w:line="360" w:lineRule="auto"/>
        <w:jc w:val="both"/>
      </w:pPr>
      <w:r>
        <w:t>Therefore, the population difference-in-differences is: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322CEC" w:rsidP="00B4560D">
            <w:pPr>
              <w:spacing w:line="360" w:lineRule="auto"/>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rsidR="00CB0C55">
              <w:t>.</w:t>
            </w: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8</w:t>
            </w:r>
            <w:r w:rsidR="0021637B">
              <w:fldChar w:fldCharType="end"/>
            </w:r>
            <w:r>
              <w:t>)</w:t>
            </w:r>
          </w:p>
        </w:tc>
      </w:tr>
    </w:tbl>
    <w:p w:rsidR="0021637B" w:rsidRDefault="00CB0C55" w:rsidP="00CB0C55">
      <w:pPr>
        <w:spacing w:line="360" w:lineRule="auto"/>
        <w:jc w:val="both"/>
      </w:pPr>
      <w:r>
        <w:lastRenderedPageBreak/>
        <w:t xml:space="preserve">Here </w:t>
      </w:r>
      <w:r>
        <w:rPr>
          <w:rFonts w:ascii="Times New Roman" w:hAnsi="Times New Roman" w:cs="Times New Roman"/>
        </w:rPr>
        <w:t>δ</w:t>
      </w:r>
      <w:r>
        <w:t xml:space="preserve"> is the causal effect of interest which is estimated through the model described in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t xml:space="preserve">). The parameters in the model of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t xml:space="preserve"> can be seen in the light of the model described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t>) in the following way:</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322CEC"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9</w:t>
            </w:r>
            <w:r w:rsidR="0021637B">
              <w:fldChar w:fldCharType="end"/>
            </w:r>
            <w:r>
              <w:t>)</w:t>
            </w:r>
          </w:p>
        </w:tc>
      </w:tr>
    </w:tbl>
    <w:p w:rsidR="0021637B" w:rsidRDefault="00CB0C55" w:rsidP="00CB0C55">
      <w:pPr>
        <w:spacing w:line="360" w:lineRule="auto"/>
        <w:jc w:val="both"/>
      </w:pPr>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322CEC" w:rsidP="00CB0C55">
            <w:pPr>
              <w:spacing w:line="360" w:lineRule="auto"/>
              <w:jc w:val="both"/>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10</w:t>
            </w:r>
            <w:r w:rsidR="0021637B">
              <w:fldChar w:fldCharType="end"/>
            </w:r>
            <w:r>
              <w:t>)</w:t>
            </w:r>
          </w:p>
          <w:p w:rsidR="0021637B" w:rsidRDefault="0021637B" w:rsidP="00CB0C55">
            <w:pPr>
              <w:spacing w:line="360" w:lineRule="auto"/>
              <w:jc w:val="both"/>
            </w:pPr>
          </w:p>
        </w:tc>
      </w:tr>
    </w:tbl>
    <w:p w:rsidR="0021637B" w:rsidRDefault="00322CEC" w:rsidP="00CB0C55">
      <w:pPr>
        <w:spacing w:line="360" w:lineRule="auto"/>
        <w:jc w:val="bot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CB0C55">
        <w:t xml:space="preserve"> is the time effect of tenants group post treatment minus the time effect of the tenants post treatment. That is equal to the difference in the average health before and after the treatment.</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322CEC"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11</w:t>
            </w:r>
            <w:r w:rsidR="0021637B">
              <w:fldChar w:fldCharType="end"/>
            </w:r>
            <w:r>
              <w:t>)</w:t>
            </w:r>
          </w:p>
        </w:tc>
      </w:tr>
    </w:tbl>
    <w:p w:rsidR="0021637B" w:rsidRDefault="0021637B" w:rsidP="00CB0C55">
      <w:pPr>
        <w:spacing w:line="360" w:lineRule="auto"/>
        <w:jc w:val="both"/>
      </w:pPr>
    </w:p>
    <w:p w:rsidR="0021637B" w:rsidRDefault="00CB0C55" w:rsidP="00CB0C55">
      <w:pPr>
        <w:spacing w:line="360" w:lineRule="auto"/>
        <w:jc w:val="both"/>
      </w:pPr>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322CEC" w:rsidP="00B4560D">
            <w:pPr>
              <w:spacing w:line="36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12</w:t>
            </w:r>
            <w:r w:rsidR="0021637B">
              <w:fldChar w:fldCharType="end"/>
            </w:r>
            <w:r>
              <w:t>)</w:t>
            </w:r>
          </w:p>
        </w:tc>
      </w:tr>
    </w:tbl>
    <w:p w:rsidR="0021637B" w:rsidRDefault="00CB0C55" w:rsidP="00CB0C55">
      <w:pPr>
        <w:spacing w:line="360" w:lineRule="auto"/>
        <w:jc w:val="both"/>
      </w:pPr>
      <w:r>
        <w:t>So this is the difference in differences between average health before and after the treatment of the home owners and the tenants.</w:t>
      </w:r>
    </w:p>
    <w:p w:rsidR="0021637B" w:rsidRDefault="00CB0C55" w:rsidP="00CB0C55">
      <w:pPr>
        <w:spacing w:line="360" w:lineRule="auto"/>
        <w:jc w:val="both"/>
      </w:pPr>
      <w:r>
        <w:tab/>
        <w:t>Because characteristics might differ and therefore explain some of the variation in health in the first group (i.e. all the observations) an extra regression on that group will be run which includes some extra variables. The extra variables are net income, education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rsidR="0021637B" w:rsidRDefault="00CB0C55" w:rsidP="00CB0C55">
      <w:pPr>
        <w:spacing w:line="360" w:lineRule="auto"/>
        <w:jc w:val="both"/>
      </w:pPr>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*Time*Treated+X+ε</m:t>
          </m:r>
        </m:oMath>
      </m:oMathPara>
    </w:p>
    <w:p w:rsidR="0021637B" w:rsidRDefault="00CB0C55" w:rsidP="00CB0C55">
      <w:pPr>
        <w:spacing w:line="360" w:lineRule="auto"/>
        <w:jc w:val="both"/>
      </w:pPr>
      <w:r>
        <w:t xml:space="preserve">Where X represents the extra coefficients. Gender is a dummy variable where 1 represents male and 0 represent female. Education is also a dummy variable where 1 represents highly educated and 0 </w:t>
      </w:r>
      <w:r>
        <w:lastRenderedPageBreak/>
        <w:t xml:space="preserve">not highly educated. Highly educated are people who have finished an education at the HBO lever or university. </w:t>
      </w:r>
    </w:p>
    <w:p w:rsidR="0021637B" w:rsidRDefault="0021637B" w:rsidP="00CB0C55">
      <w:pPr>
        <w:spacing w:line="360" w:lineRule="auto"/>
        <w:jc w:val="both"/>
        <w:rPr>
          <w:b/>
          <w:sz w:val="28"/>
          <w:szCs w:val="28"/>
        </w:rPr>
      </w:pPr>
    </w:p>
    <w:p w:rsidR="0021637B" w:rsidRDefault="00CB0C55" w:rsidP="00CB0C55">
      <w:pPr>
        <w:spacing w:line="360" w:lineRule="auto"/>
        <w:jc w:val="both"/>
        <w:rPr>
          <w:b/>
        </w:rPr>
      </w:pPr>
      <w:r>
        <w:rPr>
          <w:b/>
          <w:sz w:val="28"/>
          <w:szCs w:val="28"/>
        </w:rPr>
        <w:t>Results</w:t>
      </w:r>
      <w:r>
        <w:rPr>
          <w:b/>
        </w:rPr>
        <w:t>:</w:t>
      </w:r>
    </w:p>
    <w:p w:rsidR="0021637B" w:rsidRDefault="0021637B" w:rsidP="00CB0C55">
      <w:pPr>
        <w:spacing w:line="360" w:lineRule="auto"/>
        <w:jc w:val="both"/>
        <w:rPr>
          <w:b/>
        </w:rPr>
      </w:pPr>
    </w:p>
    <w:p w:rsidR="0021637B" w:rsidRDefault="00CB0C55" w:rsidP="00CB0C55">
      <w:pPr>
        <w:spacing w:line="360" w:lineRule="auto"/>
        <w:jc w:val="both"/>
        <w:rPr>
          <w:b/>
        </w:rPr>
      </w:pPr>
      <w:r>
        <w:rPr>
          <w:b/>
        </w:rPr>
        <w:t>Basic OLS results</w:t>
      </w:r>
    </w:p>
    <w:p w:rsidR="0021637B" w:rsidRDefault="00CB0C55" w:rsidP="00CB0C55">
      <w:pPr>
        <w:spacing w:line="360" w:lineRule="auto"/>
        <w:jc w:val="both"/>
      </w:pPr>
      <w:r>
        <w:t>A simple OLS regression was conducted first to check whether or not there exists a correlation between health  and health in this dataset. With the simple model:</w:t>
      </w:r>
    </w:p>
    <w:p w:rsidR="0021637B" w:rsidRDefault="00CB0C55" w:rsidP="00CB0C55">
      <w:pPr>
        <w:spacing w:line="360" w:lineRule="auto"/>
        <w:jc w:val="both"/>
      </w:pPr>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*Networth+ε</m:t>
          </m:r>
        </m:oMath>
      </m:oMathPara>
    </w:p>
    <w:p w:rsidR="0021637B" w:rsidRDefault="00CB0C55" w:rsidP="00CB0C55">
      <w:pPr>
        <w:spacing w:line="360" w:lineRule="auto"/>
        <w:jc w:val="both"/>
      </w:pPr>
      <w:r>
        <w:t xml:space="preserve"> 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ascii="Times New Roman" w:hAnsi="Times New Roman" w:cs="Times New Roman"/>
        </w:rPr>
        <w:t>€</w:t>
      </w:r>
      <w:r>
        <w:t>1000 increase in net wealth corresponds with an increase of 2,81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chance of being healthy. Note that this correlation does not say anything about the possible causal effect. </w:t>
      </w:r>
    </w:p>
    <w:p w:rsidR="0021637B" w:rsidRDefault="0021637B" w:rsidP="00CB0C55">
      <w:pPr>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6</w:t>
      </w:r>
      <w:r w:rsidR="0021637B">
        <w:fldChar w:fldCharType="end"/>
      </w:r>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21637B" w:rsidTr="0021637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Intercept</w:t>
            </w:r>
          </w:p>
        </w:tc>
        <w:tc>
          <w:tcPr>
            <w:tcW w:w="2409"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rsidR="0021637B" w:rsidRDefault="00322CEC" w:rsidP="00CB0C55">
            <w:pPr>
              <w:spacing w:line="360" w:lineRule="auto"/>
              <w:jc w:val="both"/>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pStyle w:val="Caption"/>
        <w:spacing w:line="360" w:lineRule="auto"/>
        <w:jc w:val="both"/>
      </w:pPr>
    </w:p>
    <w:p w:rsidR="0021637B" w:rsidRDefault="00CB0C55" w:rsidP="00CB0C55">
      <w:pPr>
        <w:pStyle w:val="Caption"/>
        <w:spacing w:line="360" w:lineRule="auto"/>
        <w:jc w:val="both"/>
        <w:rPr>
          <w:b/>
          <w:i w:val="0"/>
        </w:rPr>
      </w:pPr>
      <w:r>
        <w:rPr>
          <w:b/>
          <w:i w:val="0"/>
        </w:rPr>
        <w:t>Difference in Difference Analysis</w:t>
      </w:r>
    </w:p>
    <w:p w:rsidR="0021637B" w:rsidRDefault="00CB0C55" w:rsidP="00CB0C55">
      <w:pPr>
        <w:spacing w:line="360" w:lineRule="auto"/>
        <w:jc w:val="both"/>
      </w:pPr>
      <w:r>
        <w:t xml:space="preserve">As pointed out before in this paper, endogeneity is a problem when considering the causality the effect of wealth on health. A number of DD analysis have been done to try to find a causal effect in the short-term and the mid-term of wealth on health. The first analyses the short term effects of wealth on health. It uses the waves from 2007 and 2013. The </w:t>
      </w:r>
      <w:r w:rsidR="00322CEC">
        <w:t>second</w:t>
      </w:r>
      <w:r>
        <w:t xml:space="preserve"> analysis also analyses the </w:t>
      </w:r>
      <w:r>
        <w:lastRenderedPageBreak/>
        <w:t xml:space="preserve">short-term effect by using the 2013 and 2017 waves. The variable of interest is DID. If this variable is significant there is a significant difference in differences and therefore implies a causal effect from wealth to health. </w:t>
      </w:r>
    </w:p>
    <w:p w:rsidR="00F666B2" w:rsidRDefault="00CB0C55" w:rsidP="00CB0C55">
      <w:pPr>
        <w:spacing w:line="360" w:lineRule="auto"/>
        <w:ind w:firstLine="720"/>
        <w:jc w:val="both"/>
      </w:pPr>
      <w:r>
        <w:t xml:space="preserve">The results from the analyses on the first group, i.e. all the observations, can be seen in table 7. The 2007 – 2013 regression does not have a significant DID. </w:t>
      </w:r>
      <w:r w:rsidR="00F666B2">
        <w:t>T</w:t>
      </w:r>
      <w:r>
        <w:t>he 2013 – 2017</w:t>
      </w:r>
      <w:r w:rsidR="00F666B2">
        <w:t xml:space="preserve"> regression does have a significant</w:t>
      </w:r>
      <w:r>
        <w:t xml:space="preserve"> (p&lt;5%)</w:t>
      </w:r>
      <w:r w:rsidR="00F666B2">
        <w:t xml:space="preserve"> DID coefficient.</w:t>
      </w:r>
    </w:p>
    <w:p w:rsidR="0021637B" w:rsidRDefault="00CB0C55" w:rsidP="00CB0C55">
      <w:pPr>
        <w:spacing w:line="360" w:lineRule="auto"/>
        <w:ind w:firstLine="720"/>
        <w:jc w:val="both"/>
      </w:pPr>
      <w:r>
        <w:t>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w:t>
      </w:r>
      <w:r w:rsidR="00F666B2">
        <w:t>.</w:t>
      </w:r>
      <w:r>
        <w:t xml:space="preserve"> </w:t>
      </w:r>
    </w:p>
    <w:p w:rsidR="00CB0C55" w:rsidRDefault="00CB0C55" w:rsidP="00CB0C55">
      <w:pPr>
        <w:spacing w:line="360" w:lineRule="auto"/>
        <w:jc w:val="both"/>
      </w:pPr>
      <w:r>
        <w:tab/>
        <w:t>When controlling for the other variables the s</w:t>
      </w:r>
      <w:r w:rsidR="00F666B2">
        <w:t xml:space="preserve">ignificance of the DID coefficients in both years </w:t>
      </w:r>
      <w:r>
        <w:t xml:space="preserve">disappear in both the regressions. This implies that </w:t>
      </w:r>
      <w:r w:rsidR="00F666B2">
        <w:t>both</w:t>
      </w:r>
      <w:r>
        <w:t xml:space="preserve"> regressions there is not a significant difference in the differences in health which is accountable to the difference in owning a house or renting a house. Therefore implying that there is not a significant causal effect of wealth on health. </w:t>
      </w:r>
      <w:commentRangeStart w:id="7"/>
      <w:r>
        <w:t>This also implies that characteristics that do affect health are not distributed equally between groups and/or that the groups have changed over time. This will have to checked robustness checks.</w:t>
      </w:r>
      <w:commentRangeEnd w:id="7"/>
      <w:r w:rsidR="00F666B2">
        <w:rPr>
          <w:rStyle w:val="CommentReference"/>
          <w:rFonts w:cs="Mangal"/>
        </w:rPr>
        <w:commentReference w:id="7"/>
      </w: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7</w:t>
      </w:r>
      <w:r w:rsidR="0021637B">
        <w:fldChar w:fldCharType="end"/>
      </w:r>
      <w:r>
        <w:t>: DD results all observations</w:t>
      </w:r>
    </w:p>
    <w:tbl>
      <w:tblPr>
        <w:tblW w:w="6084" w:type="dxa"/>
        <w:jc w:val="center"/>
        <w:tblBorders>
          <w:top w:val="single" w:sz="4" w:space="0" w:color="000001"/>
        </w:tblBorders>
        <w:tblLook w:val="04A0" w:firstRow="1" w:lastRow="0" w:firstColumn="1" w:lastColumn="0" w:noHBand="0" w:noVBand="1"/>
      </w:tblPr>
      <w:tblGrid>
        <w:gridCol w:w="1159"/>
        <w:gridCol w:w="278"/>
        <w:gridCol w:w="886"/>
        <w:gridCol w:w="278"/>
        <w:gridCol w:w="867"/>
        <w:gridCol w:w="117"/>
        <w:gridCol w:w="175"/>
        <w:gridCol w:w="985"/>
        <w:gridCol w:w="179"/>
        <w:gridCol w:w="1160"/>
      </w:tblGrid>
      <w:tr w:rsidR="00322CEC" w:rsidTr="00322CEC">
        <w:trPr>
          <w:trHeight w:val="255"/>
          <w:jc w:val="center"/>
        </w:trPr>
        <w:tc>
          <w:tcPr>
            <w:tcW w:w="1437" w:type="dxa"/>
            <w:gridSpan w:val="2"/>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tcBorders>
              <w:top w:val="single" w:sz="4" w:space="0" w:color="000001"/>
              <w:left w:val="single" w:sz="4" w:space="0" w:color="00000A"/>
              <w:right w:val="nil"/>
            </w:tcBorders>
            <w:shd w:val="clear" w:color="auto" w:fill="auto"/>
            <w:tcMar>
              <w:left w:w="8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59" w:type="dxa"/>
            <w:gridSpan w:val="3"/>
            <w:tcBorders>
              <w:top w:val="single" w:sz="4" w:space="0" w:color="000001"/>
              <w:left w:val="nil"/>
              <w:right w:val="single" w:sz="4" w:space="0" w:color="00000A"/>
            </w:tcBorders>
            <w:shd w:val="clear" w:color="auto" w:fill="auto"/>
            <w:tcMar>
              <w:left w:w="9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c>
          <w:tcPr>
            <w:tcW w:w="1164" w:type="dxa"/>
            <w:gridSpan w:val="2"/>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2007- 2013</w:t>
            </w:r>
          </w:p>
        </w:tc>
        <w:tc>
          <w:tcPr>
            <w:tcW w:w="1160" w:type="dxa"/>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r>
      <w:tr w:rsidR="00322CEC" w:rsidTr="00322CEC">
        <w:trPr>
          <w:trHeight w:val="255"/>
          <w:jc w:val="center"/>
        </w:trPr>
        <w:tc>
          <w:tcPr>
            <w:tcW w:w="1437"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4" w:type="dxa"/>
            <w:gridSpan w:val="2"/>
            <w:tcBorders>
              <w:left w:val="single" w:sz="4" w:space="0" w:color="00000A"/>
              <w:right w:val="nil"/>
            </w:tcBorders>
            <w:shd w:val="clear" w:color="auto" w:fill="auto"/>
            <w:tcMar>
              <w:left w:w="8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gridSpan w:val="3"/>
            <w:tcBorders>
              <w:left w:val="nil"/>
              <w:right w:val="single" w:sz="4" w:space="0" w:color="00000A"/>
            </w:tcBorders>
            <w:shd w:val="clear" w:color="auto" w:fill="auto"/>
            <w:tcMar>
              <w:left w:w="9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4"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322CEC" w:rsidTr="00322CEC">
        <w:trPr>
          <w:trHeight w:val="255"/>
          <w:jc w:val="center"/>
        </w:trPr>
        <w:tc>
          <w:tcPr>
            <w:tcW w:w="1437" w:type="dxa"/>
            <w:gridSpan w:val="2"/>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single" w:sz="4" w:space="0" w:color="000001"/>
              <w:left w:val="single" w:sz="4" w:space="0" w:color="00000A"/>
              <w:right w:val="nil"/>
            </w:tcBorders>
            <w:shd w:val="clear" w:color="auto" w:fill="auto"/>
            <w:tcMar>
              <w:left w:w="88" w:type="dxa"/>
            </w:tcMar>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59" w:type="dxa"/>
            <w:gridSpan w:val="3"/>
            <w:tcBorders>
              <w:top w:val="single" w:sz="4" w:space="0" w:color="000001"/>
              <w:left w:val="nil"/>
              <w:right w:val="single" w:sz="4" w:space="0" w:color="00000A"/>
            </w:tcBorders>
            <w:shd w:val="clear" w:color="auto" w:fill="auto"/>
            <w:tcMar>
              <w:left w:w="98" w:type="dxa"/>
            </w:tcMar>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0" w:type="dxa"/>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1437" w:type="dxa"/>
            <w:gridSpan w:val="2"/>
            <w:shd w:val="clear" w:color="auto" w:fill="auto"/>
            <w:vAlign w:val="bottom"/>
          </w:tcPr>
          <w:p w:rsidR="00F666B2" w:rsidRDefault="00F666B2" w:rsidP="006B1E22">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6B1E22">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-0.0112</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6B1E22">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64" w:type="dxa"/>
            <w:gridSpan w:val="2"/>
            <w:shd w:val="clear" w:color="auto" w:fill="auto"/>
            <w:vAlign w:val="bottom"/>
          </w:tcPr>
          <w:p w:rsidR="00F666B2" w:rsidRDefault="00F666B2" w:rsidP="006B1E22">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160" w:type="dxa"/>
            <w:shd w:val="clear" w:color="auto" w:fill="auto"/>
            <w:vAlign w:val="bottom"/>
          </w:tcPr>
          <w:p w:rsidR="00F666B2" w:rsidRDefault="00F666B2" w:rsidP="006B1E22">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0.0234</w:t>
            </w:r>
          </w:p>
        </w:tc>
      </w:tr>
      <w:tr w:rsidR="00F666B2" w:rsidTr="00322CEC">
        <w:trPr>
          <w:trHeight w:val="255"/>
          <w:jc w:val="center"/>
        </w:trPr>
        <w:tc>
          <w:tcPr>
            <w:tcW w:w="1437" w:type="dxa"/>
            <w:gridSpan w:val="2"/>
            <w:shd w:val="clear" w:color="auto" w:fill="auto"/>
            <w:vAlign w:val="bottom"/>
          </w:tcPr>
          <w:p w:rsidR="00F666B2" w:rsidRDefault="00F666B2" w:rsidP="006B1E22">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6B1E22">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6B1E22">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(0.0143)</w:t>
            </w:r>
          </w:p>
        </w:tc>
        <w:tc>
          <w:tcPr>
            <w:tcW w:w="1164" w:type="dxa"/>
            <w:gridSpan w:val="2"/>
            <w:shd w:val="clear" w:color="auto" w:fill="auto"/>
            <w:vAlign w:val="bottom"/>
          </w:tcPr>
          <w:p w:rsidR="00F666B2" w:rsidRDefault="00F666B2" w:rsidP="006B1E22">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160" w:type="dxa"/>
            <w:shd w:val="clear" w:color="auto" w:fill="auto"/>
            <w:vAlign w:val="bottom"/>
          </w:tcPr>
          <w:p w:rsidR="00F666B2" w:rsidRDefault="00F666B2" w:rsidP="006B1E22">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-0.0291***</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0.0054</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(0.0113)</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0.0190**</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0.0078</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0.0028</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(0.0108)</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(0.0116)</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lastRenderedPageBreak/>
              <w:t>Gender</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(0.0088)</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0.9513***</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0.9426***</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0.9450***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(0.0065)</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(0.0076)</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(0.0087)</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(0.0097)</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F666B2" w:rsidTr="00322CEC">
        <w:trPr>
          <w:trHeight w:val="255"/>
          <w:jc w:val="center"/>
        </w:trPr>
        <w:tc>
          <w:tcPr>
            <w:tcW w:w="1437" w:type="dxa"/>
            <w:gridSpan w:val="2"/>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4" w:type="dxa"/>
            <w:gridSpan w:val="2"/>
            <w:tcBorders>
              <w:top w:val="single" w:sz="4" w:space="0" w:color="000001"/>
              <w:left w:val="single" w:sz="4" w:space="0" w:color="00000A"/>
              <w:bottom w:val="single" w:sz="4" w:space="0" w:color="000001"/>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0.0013</w:t>
            </w:r>
          </w:p>
        </w:tc>
        <w:tc>
          <w:tcPr>
            <w:tcW w:w="1159" w:type="dxa"/>
            <w:gridSpan w:val="3"/>
            <w:tcBorders>
              <w:top w:val="single" w:sz="4" w:space="0" w:color="000001"/>
              <w:left w:val="nil"/>
              <w:bottom w:val="single" w:sz="4" w:space="0" w:color="000001"/>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0.0060</w:t>
            </w:r>
          </w:p>
        </w:tc>
        <w:tc>
          <w:tcPr>
            <w:tcW w:w="1164" w:type="dxa"/>
            <w:gridSpan w:val="2"/>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0.0046</w:t>
            </w:r>
          </w:p>
        </w:tc>
        <w:tc>
          <w:tcPr>
            <w:tcW w:w="1160" w:type="dxa"/>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rsidTr="00322CEC">
        <w:trPr>
          <w:gridAfter w:val="2"/>
          <w:wAfter w:w="1339" w:type="dxa"/>
          <w:trHeight w:val="255"/>
          <w:jc w:val="center"/>
        </w:trPr>
        <w:tc>
          <w:tcPr>
            <w:tcW w:w="1159"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262"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3468" w:type="dxa"/>
            <w:gridSpan w:val="5"/>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*p&lt;0.1</w:t>
            </w:r>
          </w:p>
        </w:tc>
        <w:tc>
          <w:tcPr>
            <w:tcW w:w="292"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hRule="exact" w:val="23"/>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hRule="exact" w:val="23"/>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bl>
    <w:p w:rsidR="0021637B" w:rsidRDefault="00CB0C55" w:rsidP="00CB0C55">
      <w:pPr>
        <w:pStyle w:val="Caption"/>
        <w:spacing w:line="360" w:lineRule="auto"/>
        <w:jc w:val="both"/>
        <w:rPr>
          <w:i w:val="0"/>
        </w:rPr>
      </w:pPr>
      <w:r>
        <w:rPr>
          <w:i w:val="0"/>
        </w:rPr>
        <w:tab/>
        <w:t xml:space="preserve">The results from the regressions in the second group, so only observations of the same persons pre and post treatment, can be seen in table 8. There are no significant results for the DID variable. Therefore, there is no evidence that there is a causal effect from wealth on health. </w:t>
      </w:r>
      <w:bookmarkStart w:id="8" w:name="_GoBack"/>
      <w:bookmarkEnd w:id="8"/>
    </w:p>
    <w:p w:rsidR="00322CEC"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8</w:t>
      </w:r>
      <w:r w:rsidR="0021637B">
        <w:fldChar w:fldCharType="end"/>
      </w:r>
      <w:r>
        <w:t>: DD results same persons</w:t>
      </w:r>
    </w:p>
    <w:tbl>
      <w:tblPr>
        <w:tblW w:w="6173" w:type="dxa"/>
        <w:jc w:val="center"/>
        <w:tblLook w:val="04A0" w:firstRow="1" w:lastRow="0" w:firstColumn="1" w:lastColumn="0" w:noHBand="0" w:noVBand="1"/>
      </w:tblPr>
      <w:tblGrid>
        <w:gridCol w:w="93"/>
        <w:gridCol w:w="1347"/>
        <w:gridCol w:w="93"/>
        <w:gridCol w:w="1067"/>
        <w:gridCol w:w="93"/>
        <w:gridCol w:w="817"/>
        <w:gridCol w:w="250"/>
        <w:gridCol w:w="93"/>
        <w:gridCol w:w="1067"/>
        <w:gridCol w:w="93"/>
        <w:gridCol w:w="1160"/>
      </w:tblGrid>
      <w:tr w:rsidR="00322CEC" w:rsidRPr="00322CEC" w:rsidTr="00322CEC">
        <w:trPr>
          <w:gridBefore w:val="1"/>
          <w:wBefore w:w="93" w:type="dxa"/>
          <w:trHeight w:val="255"/>
          <w:jc w:val="center"/>
        </w:trPr>
        <w:tc>
          <w:tcPr>
            <w:tcW w:w="1440" w:type="dxa"/>
            <w:gridSpan w:val="2"/>
            <w:tcBorders>
              <w:top w:val="nil"/>
              <w:left w:val="nil"/>
              <w:bottom w:val="single" w:sz="4" w:space="0" w:color="000000"/>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2320" w:type="dxa"/>
            <w:gridSpan w:val="5"/>
            <w:tcBorders>
              <w:top w:val="nil"/>
              <w:left w:val="nil"/>
              <w:bottom w:val="nil"/>
              <w:right w:val="single" w:sz="4" w:space="0" w:color="000000"/>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without fixed effects</w:t>
            </w:r>
          </w:p>
        </w:tc>
        <w:tc>
          <w:tcPr>
            <w:tcW w:w="2320" w:type="dxa"/>
            <w:gridSpan w:val="3"/>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 fixed effects</w:t>
            </w:r>
          </w:p>
        </w:tc>
      </w:tr>
      <w:tr w:rsidR="00322CEC" w:rsidRPr="00322CEC"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2007 -2013</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2013 -2017</w:t>
            </w:r>
          </w:p>
        </w:tc>
        <w:tc>
          <w:tcPr>
            <w:tcW w:w="1160" w:type="dxa"/>
            <w:gridSpan w:val="2"/>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2007-2013</w:t>
            </w:r>
          </w:p>
        </w:tc>
        <w:tc>
          <w:tcPr>
            <w:tcW w:w="1160" w:type="dxa"/>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2013-2017</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VARIABLES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r>
      <w:tr w:rsidR="00322CEC" w:rsidRPr="00322CEC"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DID</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-0.0104</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0.0167</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-0.0204</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0.00884</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(0.0197)</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(0.0199)</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(0.0149)</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time</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-0.0130</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-0.0155</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-0.00803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-0.0102</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(0.0144)</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(0.0151)</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(0.0116)</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(0.0112)</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treated</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0.0205</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0.0243*</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0.0441</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0.0119</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(0.0276)</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(0.0258)</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Constant</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0.9595***</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0.9410***</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0.947***</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0.948***</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(0.0101)</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(0.0103)</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(0.0150)</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Observations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persons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770</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943</w:t>
            </w:r>
          </w:p>
        </w:tc>
      </w:tr>
      <w:tr w:rsidR="00322CEC" w:rsidRPr="00322CEC" w:rsidTr="00322CEC">
        <w:trPr>
          <w:gridBefore w:val="1"/>
          <w:wBefore w:w="93" w:type="dxa"/>
          <w:trHeight w:val="255"/>
          <w:jc w:val="center"/>
        </w:trPr>
        <w:tc>
          <w:tcPr>
            <w:tcW w:w="1440" w:type="dxa"/>
            <w:gridSpan w:val="2"/>
            <w:tcBorders>
              <w:top w:val="nil"/>
              <w:left w:val="nil"/>
              <w:bottom w:val="single" w:sz="4" w:space="0" w:color="000000"/>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R-squared</w:t>
            </w:r>
          </w:p>
        </w:tc>
        <w:tc>
          <w:tcPr>
            <w:tcW w:w="1160" w:type="dxa"/>
            <w:gridSpan w:val="2"/>
            <w:tcBorders>
              <w:top w:val="nil"/>
              <w:left w:val="single" w:sz="4" w:space="0" w:color="auto"/>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0.0040</w:t>
            </w:r>
          </w:p>
        </w:tc>
        <w:tc>
          <w:tcPr>
            <w:tcW w:w="1160" w:type="dxa"/>
            <w:gridSpan w:val="3"/>
            <w:tcBorders>
              <w:top w:val="nil"/>
              <w:left w:val="nil"/>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0.0061</w:t>
            </w:r>
          </w:p>
        </w:tc>
        <w:tc>
          <w:tcPr>
            <w:tcW w:w="1160" w:type="dxa"/>
            <w:gridSpan w:val="2"/>
            <w:tcBorders>
              <w:top w:val="nil"/>
              <w:left w:val="single" w:sz="4" w:space="0" w:color="000000"/>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w:t>
            </w:r>
          </w:p>
        </w:tc>
        <w:tc>
          <w:tcPr>
            <w:tcW w:w="1160" w:type="dxa"/>
            <w:tcBorders>
              <w:top w:val="nil"/>
              <w:left w:val="nil"/>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0.001</w:t>
            </w:r>
          </w:p>
        </w:tc>
      </w:tr>
      <w:tr w:rsidR="00322CEC" w:rsidRPr="00322CEC" w:rsidTr="00322CEC">
        <w:trPr>
          <w:gridBefore w:val="1"/>
          <w:wBefore w:w="93" w:type="dxa"/>
          <w:trHeight w:val="255"/>
          <w:jc w:val="center"/>
        </w:trPr>
        <w:tc>
          <w:tcPr>
            <w:tcW w:w="3760" w:type="dxa"/>
            <w:gridSpan w:val="7"/>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Standard errors in parentheses</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rsidTr="00322CEC">
        <w:trPr>
          <w:gridBefore w:val="1"/>
          <w:wBefore w:w="93" w:type="dxa"/>
          <w:trHeight w:val="255"/>
          <w:jc w:val="center"/>
        </w:trPr>
        <w:tc>
          <w:tcPr>
            <w:tcW w:w="3417" w:type="dxa"/>
            <w:gridSpan w:val="5"/>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p&lt;0.01, ** p&lt;0.05, * p&lt;0.1</w:t>
            </w:r>
          </w:p>
        </w:tc>
        <w:tc>
          <w:tcPr>
            <w:tcW w:w="343"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r>
      <w:tr w:rsidR="0021637B" w:rsidTr="00322CEC">
        <w:trPr>
          <w:gridAfter w:val="2"/>
          <w:wAfter w:w="1253" w:type="dxa"/>
          <w:trHeight w:hRule="exact" w:val="23"/>
          <w:jc w:val="center"/>
        </w:trPr>
        <w:tc>
          <w:tcPr>
            <w:tcW w:w="144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3"/>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pStyle w:val="Caption"/>
        <w:spacing w:line="360" w:lineRule="auto"/>
        <w:ind w:firstLine="720"/>
        <w:jc w:val="both"/>
        <w:rPr>
          <w:i w:val="0"/>
        </w:rPr>
      </w:pPr>
    </w:p>
    <w:p w:rsidR="0021637B" w:rsidRDefault="0021637B" w:rsidP="00CB0C55">
      <w:pPr>
        <w:pStyle w:val="Caption"/>
        <w:spacing w:line="360" w:lineRule="auto"/>
        <w:ind w:firstLine="720"/>
        <w:jc w:val="both"/>
        <w:rPr>
          <w:i w:val="0"/>
        </w:rPr>
      </w:pPr>
    </w:p>
    <w:p w:rsidR="0021637B" w:rsidRDefault="0021637B" w:rsidP="00CB0C55">
      <w:pPr>
        <w:spacing w:line="360" w:lineRule="auto"/>
        <w:jc w:val="both"/>
      </w:pPr>
    </w:p>
    <w:p w:rsidR="0021637B" w:rsidRDefault="00CB0C55" w:rsidP="00CB0C55">
      <w:pPr>
        <w:spacing w:line="360" w:lineRule="auto"/>
        <w:jc w:val="both"/>
        <w:rPr>
          <w:b/>
          <w:sz w:val="28"/>
          <w:szCs w:val="28"/>
        </w:rPr>
      </w:pPr>
      <w:r>
        <w:rPr>
          <w:b/>
          <w:sz w:val="28"/>
          <w:szCs w:val="28"/>
        </w:rPr>
        <w:t>Robustness checks</w:t>
      </w:r>
    </w:p>
    <w:p w:rsidR="0021637B" w:rsidRDefault="00CB0C55" w:rsidP="00CB0C55">
      <w:pPr>
        <w:spacing w:line="360" w:lineRule="auto"/>
        <w:jc w:val="both"/>
      </w:pPr>
      <w:r>
        <w:t xml:space="preserve">To test whether the results are valid, several robustness checks have been run. First there is a pretreatment check to test that the health of the control and treatment group behaved in the same </w:t>
      </w:r>
      <w:r>
        <w:lastRenderedPageBreak/>
        <w:t>way before the treatment. Secondly, a test has been run to check whether the treatment did the desired effect on the wealth as was assumed. Thirdly, three checks have been run to see whether or not the characteristics of the group with all observations have changed between before and after the treatment.</w:t>
      </w:r>
    </w:p>
    <w:p w:rsidR="0021637B" w:rsidRDefault="00CB0C55" w:rsidP="00CB0C55">
      <w:pPr>
        <w:spacing w:line="360" w:lineRule="auto"/>
        <w:jc w:val="both"/>
      </w:pPr>
      <w:r>
        <w:tab/>
        <w:t>The results of the pretreatment check can be seen in table 9. To test whether there was not already an effect before the treatment a DD analysis was used where the pretreatment year is 2001 and the posttreatment year is 2006. Because the pretreatment year and the posttreatment year is before the 2008 financial crisis, there is no treatment. Therefore this test tests whether or not the groups behaved differently before the treatment. The DID coefficient is insignificant which therefore implies that the average health of the home owners and the tenants does not behave significantly different.</w:t>
      </w: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9</w:t>
      </w:r>
      <w:r w:rsidR="0021637B">
        <w:fldChar w:fldCharType="end"/>
      </w:r>
      <w:r>
        <w:t xml:space="preserve">: </w:t>
      </w:r>
      <w:r w:rsidR="00322CEC">
        <w:t>Placebo intervention</w:t>
      </w:r>
    </w:p>
    <w:tbl>
      <w:tblPr>
        <w:tblW w:w="3212" w:type="dxa"/>
        <w:jc w:val="center"/>
        <w:tblLook w:val="04A0" w:firstRow="1" w:lastRow="0" w:firstColumn="1" w:lastColumn="0" w:noHBand="0" w:noVBand="1"/>
      </w:tblPr>
      <w:tblGrid>
        <w:gridCol w:w="1439"/>
        <w:gridCol w:w="1773"/>
      </w:tblGrid>
      <w:tr w:rsidR="0021637B">
        <w:trPr>
          <w:trHeight w:hRule="exact" w:val="23"/>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2001 - 2006</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1637B">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-0.0182**</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(0.0090)</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0.9586***</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(0.0064)</w:t>
            </w:r>
          </w:p>
        </w:tc>
      </w:tr>
      <w:tr w:rsidR="0021637B">
        <w:trPr>
          <w:trHeight w:hRule="exact" w:val="23"/>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3,610</w:t>
            </w:r>
          </w:p>
        </w:tc>
      </w:tr>
      <w:tr w:rsidR="0021637B">
        <w:trPr>
          <w:trHeight w:val="255"/>
          <w:jc w:val="center"/>
        </w:trPr>
        <w:tc>
          <w:tcPr>
            <w:tcW w:w="143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772"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0.0030</w:t>
            </w:r>
          </w:p>
        </w:tc>
      </w:tr>
      <w:tr w:rsidR="0021637B">
        <w:trPr>
          <w:trHeight w:val="255"/>
          <w:jc w:val="center"/>
        </w:trPr>
        <w:tc>
          <w:tcPr>
            <w:tcW w:w="321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r>
      <w:tr w:rsidR="0021637B">
        <w:trPr>
          <w:trHeight w:val="255"/>
          <w:jc w:val="center"/>
        </w:trPr>
        <w:tc>
          <w:tcPr>
            <w:tcW w:w="321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r>
      <w:tr w:rsidR="0021637B">
        <w:trPr>
          <w:trHeight w:val="255"/>
          <w:jc w:val="center"/>
        </w:trPr>
        <w:tc>
          <w:tcPr>
            <w:tcW w:w="3211"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CB0C55" w:rsidP="00CB0C55">
      <w:pPr>
        <w:spacing w:line="360" w:lineRule="auto"/>
        <w:jc w:val="both"/>
      </w:pPr>
      <w:r>
        <w:t xml:space="preserve">The way the average health behaves can also be visually inspected. Figure 2 shows the fitted lines of average health throughout the years 1995 to 2006. The assumption is that the average health of the control and treatment group behave exactly the same and therefore the lines should be parallel. Otherwise there will be a difference in the differences by simply dividing the observations in different groups. In figure 2 it can be seen  that the lines are not parallel. The DD analysis of which the results can be seen in table 9 do tell us however that the difference is not significant but as we can see the lines are still not exactly parallel. Therefore the results can from the DD analyses can be used but they are not fully robust since the parallel lines assumption is not fully met.  </w:t>
      </w:r>
    </w:p>
    <w:p w:rsidR="0021637B" w:rsidRDefault="00CB0C55" w:rsidP="00CB0C55">
      <w:pPr>
        <w:keepNext/>
        <w:spacing w:line="360" w:lineRule="auto"/>
        <w:jc w:val="both"/>
      </w:pPr>
      <w:r>
        <w:rPr>
          <w:noProof/>
          <w:lang w:eastAsia="en-US" w:bidi="ar-SA"/>
        </w:rPr>
        <w:lastRenderedPageBreak/>
        <w:drawing>
          <wp:inline distT="0" distB="0" distL="0" distR="0">
            <wp:extent cx="4053205" cy="2945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stretch>
                      <a:fillRect/>
                    </a:stretch>
                  </pic:blipFill>
                  <pic:spPr bwMode="auto">
                    <a:xfrm>
                      <a:off x="0" y="0"/>
                      <a:ext cx="4053205" cy="2945130"/>
                    </a:xfrm>
                    <a:prstGeom prst="rect">
                      <a:avLst/>
                    </a:prstGeom>
                  </pic:spPr>
                </pic:pic>
              </a:graphicData>
            </a:graphic>
          </wp:inline>
        </w:drawing>
      </w:r>
    </w:p>
    <w:p w:rsidR="0021637B" w:rsidRDefault="00CB0C55" w:rsidP="00CB0C55">
      <w:pPr>
        <w:pStyle w:val="Caption"/>
        <w:spacing w:line="360" w:lineRule="auto"/>
        <w:jc w:val="both"/>
      </w:pPr>
      <w:r>
        <w:t xml:space="preserve">Figure </w:t>
      </w:r>
      <w:r w:rsidR="0021637B">
        <w:fldChar w:fldCharType="begin"/>
      </w:r>
      <w:r>
        <w:instrText>SEQ Figure \* ARABIC</w:instrText>
      </w:r>
      <w:r w:rsidR="0021637B">
        <w:fldChar w:fldCharType="separate"/>
      </w:r>
      <w:r w:rsidR="00B4560D">
        <w:rPr>
          <w:noProof/>
        </w:rPr>
        <w:t>2</w:t>
      </w:r>
      <w:r w:rsidR="0021637B">
        <w:fldChar w:fldCharType="end"/>
      </w:r>
      <w:r>
        <w:t xml:space="preserve">: fitted lines through the average </w:t>
      </w:r>
      <w:proofErr w:type="spellStart"/>
      <w:r>
        <w:t>healths</w:t>
      </w:r>
      <w:proofErr w:type="spellEnd"/>
      <w:r>
        <w:t xml:space="preserve"> of the control and treatment group</w:t>
      </w:r>
    </w:p>
    <w:p w:rsidR="0021637B" w:rsidRDefault="0021637B" w:rsidP="00CB0C55">
      <w:pPr>
        <w:spacing w:line="360" w:lineRule="auto"/>
        <w:jc w:val="both"/>
      </w:pPr>
    </w:p>
    <w:p w:rsidR="0021637B" w:rsidRDefault="00CB0C55" w:rsidP="00CB0C55">
      <w:pPr>
        <w:spacing w:line="360" w:lineRule="auto"/>
        <w:jc w:val="both"/>
      </w:pPr>
      <w:r>
        <w:t xml:space="preserve">The results of the mechanism check can be seen in table 10. This test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the tenants, the DID coefficient should be significant. As can be seen in table 10 the only significant DID coefficient is in the “same persons” group between 2007 and 2013. This means that only in the same persons group between 2007 and 2013 the differences in net wealth of the control and treatment group before and after the treatment is significantly different and thus had the desired and expected effect. This implies that the measured effects in the regressions on health using the DD analysis </w:t>
      </w:r>
      <w:commentRangeStart w:id="9"/>
      <w:r>
        <w:t xml:space="preserve">measured something else than the effect of wealth on health except </w:t>
      </w:r>
      <w:commentRangeEnd w:id="9"/>
      <w:r>
        <w:commentReference w:id="9"/>
      </w:r>
      <w:r>
        <w:t>in the regression of the same persons group between 2007 and 2013.</w:t>
      </w: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21637B" w:rsidRDefault="00CB0C55" w:rsidP="00CB0C55">
      <w:pPr>
        <w:pStyle w:val="Caption"/>
        <w:keepNext/>
        <w:spacing w:line="360" w:lineRule="auto"/>
        <w:jc w:val="both"/>
      </w:pPr>
      <w:r>
        <w:br/>
      </w:r>
      <w:r>
        <w:br/>
        <w:t xml:space="preserve">Table </w:t>
      </w:r>
      <w:r w:rsidR="0021637B">
        <w:fldChar w:fldCharType="begin"/>
      </w:r>
      <w:r>
        <w:instrText>SEQ Table \* ARABIC</w:instrText>
      </w:r>
      <w:r w:rsidR="0021637B">
        <w:fldChar w:fldCharType="separate"/>
      </w:r>
      <w:r w:rsidR="00B4560D">
        <w:rPr>
          <w:noProof/>
        </w:rPr>
        <w:t>10</w:t>
      </w:r>
      <w:r w:rsidR="0021637B">
        <w:fldChar w:fldCharType="end"/>
      </w:r>
      <w:r>
        <w:t>: mechanism check</w:t>
      </w:r>
    </w:p>
    <w:tbl>
      <w:tblPr>
        <w:tblW w:w="9748" w:type="dxa"/>
        <w:tblInd w:w="101" w:type="dxa"/>
        <w:tblLook w:val="04A0" w:firstRow="1" w:lastRow="0" w:firstColumn="1" w:lastColumn="0" w:noHBand="0" w:noVBand="1"/>
      </w:tblPr>
      <w:tblGrid>
        <w:gridCol w:w="1302"/>
        <w:gridCol w:w="1553"/>
        <w:gridCol w:w="1552"/>
        <w:gridCol w:w="1552"/>
        <w:gridCol w:w="1552"/>
        <w:gridCol w:w="1121"/>
        <w:gridCol w:w="1121"/>
      </w:tblGrid>
      <w:tr w:rsidR="00322CEC" w:rsidTr="00322CEC">
        <w:trPr>
          <w:trHeight w:val="255"/>
        </w:trPr>
        <w:tc>
          <w:tcPr>
            <w:tcW w:w="1363" w:type="dxa"/>
            <w:tcBorders>
              <w:top w:val="nil"/>
              <w:left w:val="nil"/>
              <w:bottom w:val="single" w:sz="4" w:space="0" w:color="000000"/>
              <w:right w:val="nil"/>
            </w:tcBorders>
            <w:shd w:val="clear" w:color="auto" w:fill="auto"/>
            <w:noWrap/>
            <w:vAlign w:val="bottom"/>
            <w:hideMark/>
          </w:tcPr>
          <w:p w:rsidR="00322CEC" w:rsidRDefault="00322CEC">
            <w:pPr>
              <w:rPr>
                <w:rFonts w:ascii="Calibri" w:hAnsi="Calibri"/>
                <w:sz w:val="20"/>
                <w:szCs w:val="20"/>
              </w:rPr>
            </w:pPr>
          </w:p>
        </w:tc>
        <w:tc>
          <w:tcPr>
            <w:tcW w:w="3076" w:type="dxa"/>
            <w:gridSpan w:val="2"/>
            <w:tcBorders>
              <w:top w:val="nil"/>
              <w:left w:val="nil"/>
              <w:bottom w:val="nil"/>
              <w:right w:val="single" w:sz="4" w:space="0" w:color="000000"/>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All observations</w:t>
            </w:r>
          </w:p>
        </w:tc>
        <w:tc>
          <w:tcPr>
            <w:tcW w:w="3076" w:type="dxa"/>
            <w:gridSpan w:val="2"/>
            <w:tcBorders>
              <w:top w:val="nil"/>
              <w:left w:val="nil"/>
              <w:bottom w:val="nil"/>
              <w:right w:val="single" w:sz="4" w:space="0" w:color="000000"/>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same persons</w:t>
            </w:r>
          </w:p>
        </w:tc>
        <w:tc>
          <w:tcPr>
            <w:tcW w:w="2233" w:type="dxa"/>
            <w:gridSpan w:val="2"/>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Same persons with fixed effects</w:t>
            </w:r>
          </w:p>
        </w:tc>
      </w:tr>
      <w:tr w:rsidR="00322CEC" w:rsidTr="00322CEC">
        <w:trPr>
          <w:trHeight w:val="255"/>
        </w:trPr>
        <w:tc>
          <w:tcPr>
            <w:tcW w:w="1363" w:type="dxa"/>
            <w:tcBorders>
              <w:top w:val="single" w:sz="4" w:space="0" w:color="000000"/>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w:t>
            </w:r>
          </w:p>
        </w:tc>
        <w:tc>
          <w:tcPr>
            <w:tcW w:w="1538" w:type="dxa"/>
            <w:tcBorders>
              <w:top w:val="single" w:sz="4" w:space="0" w:color="000000"/>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2007 - 2013</w:t>
            </w:r>
          </w:p>
        </w:tc>
        <w:tc>
          <w:tcPr>
            <w:tcW w:w="1538"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2013 - 2017</w:t>
            </w:r>
          </w:p>
        </w:tc>
        <w:tc>
          <w:tcPr>
            <w:tcW w:w="1538"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2007 - 2013</w:t>
            </w:r>
          </w:p>
        </w:tc>
        <w:tc>
          <w:tcPr>
            <w:tcW w:w="1538"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2013 - 2017</w:t>
            </w:r>
          </w:p>
        </w:tc>
        <w:tc>
          <w:tcPr>
            <w:tcW w:w="1116"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2007-2013</w:t>
            </w:r>
          </w:p>
        </w:tc>
        <w:tc>
          <w:tcPr>
            <w:tcW w:w="1117"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2013-2017</w:t>
            </w:r>
          </w:p>
        </w:tc>
      </w:tr>
      <w:tr w:rsidR="00322CEC" w:rsidTr="00322CEC">
        <w:trPr>
          <w:trHeight w:val="255"/>
        </w:trPr>
        <w:tc>
          <w:tcPr>
            <w:tcW w:w="1363"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VARIABLES</w:t>
            </w:r>
          </w:p>
        </w:tc>
        <w:tc>
          <w:tcPr>
            <w:tcW w:w="1538"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38"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116"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117"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r>
      <w:tr w:rsidR="00322CEC" w:rsidTr="00322CEC">
        <w:trPr>
          <w:trHeight w:val="255"/>
        </w:trPr>
        <w:tc>
          <w:tcPr>
            <w:tcW w:w="1363" w:type="dxa"/>
            <w:tcBorders>
              <w:top w:val="single" w:sz="4" w:space="0" w:color="000000"/>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w:t>
            </w:r>
          </w:p>
        </w:tc>
        <w:tc>
          <w:tcPr>
            <w:tcW w:w="1538" w:type="dxa"/>
            <w:tcBorders>
              <w:top w:val="single" w:sz="4" w:space="0" w:color="000000"/>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38"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38"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38"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116"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117"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r>
      <w:tr w:rsidR="00322CEC" w:rsidTr="00322CEC">
        <w:trPr>
          <w:trHeight w:val="255"/>
        </w:trPr>
        <w:tc>
          <w:tcPr>
            <w:tcW w:w="1363"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DID</w:t>
            </w:r>
          </w:p>
        </w:tc>
        <w:tc>
          <w:tcPr>
            <w:tcW w:w="1538"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-22,284.3976</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3,935.3058</w:t>
            </w:r>
          </w:p>
        </w:tc>
        <w:tc>
          <w:tcPr>
            <w:tcW w:w="1538"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-48,246.8426**</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25,871.4509</w:t>
            </w:r>
          </w:p>
        </w:tc>
        <w:tc>
          <w:tcPr>
            <w:tcW w:w="1116"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-43,975***</w:t>
            </w:r>
          </w:p>
        </w:tc>
        <w:tc>
          <w:tcPr>
            <w:tcW w:w="1117"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24,245**</w:t>
            </w:r>
          </w:p>
        </w:tc>
      </w:tr>
      <w:tr w:rsidR="00322CEC" w:rsidTr="00322CEC">
        <w:trPr>
          <w:trHeight w:val="255"/>
        </w:trPr>
        <w:tc>
          <w:tcPr>
            <w:tcW w:w="1363"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38"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(14,351.1254)</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(13,527.6009)</w:t>
            </w:r>
          </w:p>
        </w:tc>
        <w:tc>
          <w:tcPr>
            <w:tcW w:w="1538"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(20,639.8119)</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(19,905.5431)</w:t>
            </w:r>
          </w:p>
        </w:tc>
        <w:tc>
          <w:tcPr>
            <w:tcW w:w="1116"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(15,888)</w:t>
            </w:r>
          </w:p>
        </w:tc>
        <w:tc>
          <w:tcPr>
            <w:tcW w:w="1117"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(9,486)</w:t>
            </w:r>
          </w:p>
        </w:tc>
      </w:tr>
      <w:tr w:rsidR="00322CEC" w:rsidTr="00322CEC">
        <w:trPr>
          <w:trHeight w:val="255"/>
        </w:trPr>
        <w:tc>
          <w:tcPr>
            <w:tcW w:w="1363"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time</w:t>
            </w:r>
          </w:p>
        </w:tc>
        <w:tc>
          <w:tcPr>
            <w:tcW w:w="1538"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3,533.7450</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2,597.1789</w:t>
            </w:r>
          </w:p>
        </w:tc>
        <w:tc>
          <w:tcPr>
            <w:tcW w:w="1538"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4,732.4651</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-821.0623</w:t>
            </w:r>
          </w:p>
        </w:tc>
        <w:tc>
          <w:tcPr>
            <w:tcW w:w="1116"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4,551</w:t>
            </w:r>
          </w:p>
        </w:tc>
        <w:tc>
          <w:tcPr>
            <w:tcW w:w="1117"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5,274</w:t>
            </w:r>
          </w:p>
        </w:tc>
      </w:tr>
      <w:tr w:rsidR="00322CEC" w:rsidTr="00322CEC">
        <w:trPr>
          <w:trHeight w:val="255"/>
        </w:trPr>
        <w:tc>
          <w:tcPr>
            <w:tcW w:w="1363"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38"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(9,902.1682)</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(9,605.9329)</w:t>
            </w:r>
          </w:p>
        </w:tc>
        <w:tc>
          <w:tcPr>
            <w:tcW w:w="1538"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(15,015.2758)</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(15,110.1962)</w:t>
            </w:r>
          </w:p>
        </w:tc>
        <w:tc>
          <w:tcPr>
            <w:tcW w:w="1116"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(11,331)</w:t>
            </w:r>
          </w:p>
        </w:tc>
        <w:tc>
          <w:tcPr>
            <w:tcW w:w="1117"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(7,131)</w:t>
            </w:r>
          </w:p>
        </w:tc>
      </w:tr>
      <w:tr w:rsidR="00322CEC" w:rsidTr="00322CEC">
        <w:trPr>
          <w:trHeight w:val="255"/>
        </w:trPr>
        <w:tc>
          <w:tcPr>
            <w:tcW w:w="1363"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treated</w:t>
            </w:r>
          </w:p>
        </w:tc>
        <w:tc>
          <w:tcPr>
            <w:tcW w:w="1538"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249,872.3663***</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227,587.9687***</w:t>
            </w:r>
          </w:p>
        </w:tc>
        <w:tc>
          <w:tcPr>
            <w:tcW w:w="1538"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263,253.1713***</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243,262.0850***</w:t>
            </w:r>
          </w:p>
        </w:tc>
        <w:tc>
          <w:tcPr>
            <w:tcW w:w="1116"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154,356***</w:t>
            </w:r>
          </w:p>
        </w:tc>
        <w:tc>
          <w:tcPr>
            <w:tcW w:w="1117"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142,737***</w:t>
            </w:r>
          </w:p>
        </w:tc>
      </w:tr>
      <w:tr w:rsidR="00322CEC" w:rsidTr="00322CEC">
        <w:trPr>
          <w:trHeight w:val="255"/>
        </w:trPr>
        <w:tc>
          <w:tcPr>
            <w:tcW w:w="1363"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38"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(9,924.4048)</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(10,237.9793)</w:t>
            </w:r>
          </w:p>
        </w:tc>
        <w:tc>
          <w:tcPr>
            <w:tcW w:w="1538"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(14,577.8626)</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(13,963.4007)</w:t>
            </w:r>
          </w:p>
        </w:tc>
        <w:tc>
          <w:tcPr>
            <w:tcW w:w="1116"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(26,907)</w:t>
            </w:r>
          </w:p>
        </w:tc>
        <w:tc>
          <w:tcPr>
            <w:tcW w:w="1117"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(16,409)</w:t>
            </w:r>
          </w:p>
        </w:tc>
      </w:tr>
      <w:tr w:rsidR="00322CEC" w:rsidTr="00322CEC">
        <w:trPr>
          <w:trHeight w:val="255"/>
        </w:trPr>
        <w:tc>
          <w:tcPr>
            <w:tcW w:w="1363"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Constant</w:t>
            </w:r>
          </w:p>
        </w:tc>
        <w:tc>
          <w:tcPr>
            <w:tcW w:w="1538"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25,399.5137***</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28,933.2587***</w:t>
            </w:r>
          </w:p>
        </w:tc>
        <w:tc>
          <w:tcPr>
            <w:tcW w:w="1538"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25,004.1179**</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37,327.6554***</w:t>
            </w:r>
          </w:p>
        </w:tc>
        <w:tc>
          <w:tcPr>
            <w:tcW w:w="1116"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81,574***</w:t>
            </w:r>
          </w:p>
        </w:tc>
        <w:tc>
          <w:tcPr>
            <w:tcW w:w="1117"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92,654***</w:t>
            </w:r>
          </w:p>
        </w:tc>
      </w:tr>
      <w:tr w:rsidR="00322CEC" w:rsidTr="00322CEC">
        <w:trPr>
          <w:trHeight w:val="255"/>
        </w:trPr>
        <w:tc>
          <w:tcPr>
            <w:tcW w:w="1363"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38"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(6,742.6159)</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(7,162.1051)</w:t>
            </w:r>
          </w:p>
        </w:tc>
        <w:tc>
          <w:tcPr>
            <w:tcW w:w="1538"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(10,506.9940)</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(10,359.0286)</w:t>
            </w:r>
          </w:p>
        </w:tc>
        <w:tc>
          <w:tcPr>
            <w:tcW w:w="1116"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(14,969)</w:t>
            </w:r>
          </w:p>
        </w:tc>
        <w:tc>
          <w:tcPr>
            <w:tcW w:w="1117"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(9,571)</w:t>
            </w:r>
          </w:p>
        </w:tc>
      </w:tr>
      <w:tr w:rsidR="00322CEC" w:rsidTr="00322CEC">
        <w:trPr>
          <w:trHeight w:val="255"/>
        </w:trPr>
        <w:tc>
          <w:tcPr>
            <w:tcW w:w="1363"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38"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38"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116"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117"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r>
      <w:tr w:rsidR="00322CEC" w:rsidTr="00322CEC">
        <w:trPr>
          <w:trHeight w:val="255"/>
        </w:trPr>
        <w:tc>
          <w:tcPr>
            <w:tcW w:w="1363"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Observations</w:t>
            </w:r>
          </w:p>
        </w:tc>
        <w:tc>
          <w:tcPr>
            <w:tcW w:w="1538"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3,458</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3,864</w:t>
            </w:r>
          </w:p>
        </w:tc>
        <w:tc>
          <w:tcPr>
            <w:tcW w:w="1538"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1,540</w:t>
            </w: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1,886</w:t>
            </w:r>
          </w:p>
        </w:tc>
        <w:tc>
          <w:tcPr>
            <w:tcW w:w="1116"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1,540</w:t>
            </w:r>
          </w:p>
        </w:tc>
        <w:tc>
          <w:tcPr>
            <w:tcW w:w="1117"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1,886</w:t>
            </w:r>
          </w:p>
        </w:tc>
      </w:tr>
      <w:tr w:rsidR="00322CEC" w:rsidTr="00322CEC">
        <w:trPr>
          <w:trHeight w:val="255"/>
        </w:trPr>
        <w:tc>
          <w:tcPr>
            <w:tcW w:w="1363"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persons</w:t>
            </w:r>
          </w:p>
        </w:tc>
        <w:tc>
          <w:tcPr>
            <w:tcW w:w="1538"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38"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38"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116"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0.048</w:t>
            </w:r>
          </w:p>
        </w:tc>
        <w:tc>
          <w:tcPr>
            <w:tcW w:w="1117"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0.127</w:t>
            </w:r>
          </w:p>
        </w:tc>
      </w:tr>
      <w:tr w:rsidR="00322CEC" w:rsidTr="00322CEC">
        <w:trPr>
          <w:trHeight w:val="255"/>
        </w:trPr>
        <w:tc>
          <w:tcPr>
            <w:tcW w:w="1363" w:type="dxa"/>
            <w:tcBorders>
              <w:top w:val="nil"/>
              <w:left w:val="nil"/>
              <w:bottom w:val="single" w:sz="4" w:space="0" w:color="000000"/>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R-squared</w:t>
            </w:r>
          </w:p>
        </w:tc>
        <w:tc>
          <w:tcPr>
            <w:tcW w:w="1538" w:type="dxa"/>
            <w:tcBorders>
              <w:top w:val="nil"/>
              <w:left w:val="single" w:sz="4" w:space="0" w:color="auto"/>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0.2442</w:t>
            </w:r>
          </w:p>
        </w:tc>
        <w:tc>
          <w:tcPr>
            <w:tcW w:w="1538" w:type="dxa"/>
            <w:tcBorders>
              <w:top w:val="nil"/>
              <w:left w:val="nil"/>
              <w:bottom w:val="single" w:sz="4" w:space="0" w:color="000000"/>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0.2346</w:t>
            </w:r>
          </w:p>
        </w:tc>
        <w:tc>
          <w:tcPr>
            <w:tcW w:w="1538"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0.2619</w:t>
            </w:r>
          </w:p>
        </w:tc>
        <w:tc>
          <w:tcPr>
            <w:tcW w:w="1538" w:type="dxa"/>
            <w:tcBorders>
              <w:top w:val="nil"/>
              <w:left w:val="nil"/>
              <w:bottom w:val="single" w:sz="4" w:space="0" w:color="000000"/>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0.2628</w:t>
            </w:r>
          </w:p>
        </w:tc>
        <w:tc>
          <w:tcPr>
            <w:tcW w:w="1116"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770</w:t>
            </w:r>
          </w:p>
        </w:tc>
        <w:tc>
          <w:tcPr>
            <w:tcW w:w="1117"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943</w:t>
            </w:r>
          </w:p>
        </w:tc>
      </w:tr>
      <w:tr w:rsidR="00322CEC" w:rsidTr="00322CEC">
        <w:trPr>
          <w:trHeight w:val="255"/>
        </w:trPr>
        <w:tc>
          <w:tcPr>
            <w:tcW w:w="4439" w:type="dxa"/>
            <w:gridSpan w:val="3"/>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Standard errors in parentheses</w:t>
            </w:r>
          </w:p>
        </w:tc>
        <w:tc>
          <w:tcPr>
            <w:tcW w:w="1538"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38"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116"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117"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r>
      <w:tr w:rsidR="00322CEC" w:rsidTr="00322CEC">
        <w:trPr>
          <w:trHeight w:val="255"/>
        </w:trPr>
        <w:tc>
          <w:tcPr>
            <w:tcW w:w="2901" w:type="dxa"/>
            <w:gridSpan w:val="2"/>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p&lt;0.01, ** p&lt;0.05, * p&lt;0.1</w:t>
            </w:r>
          </w:p>
        </w:tc>
        <w:tc>
          <w:tcPr>
            <w:tcW w:w="1538"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38"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38"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116"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117"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r>
    </w:tbl>
    <w:p w:rsidR="0021637B" w:rsidRDefault="0021637B" w:rsidP="00CB0C55">
      <w:pPr>
        <w:spacing w:line="360" w:lineRule="auto"/>
        <w:jc w:val="both"/>
        <w:rPr>
          <w:b/>
          <w:sz w:val="28"/>
          <w:szCs w:val="28"/>
        </w:rPr>
      </w:pPr>
    </w:p>
    <w:p w:rsidR="0021637B" w:rsidRDefault="00CB0C55" w:rsidP="00CB0C55">
      <w:pPr>
        <w:spacing w:line="360" w:lineRule="auto"/>
        <w:jc w:val="both"/>
      </w:pPr>
      <w:r>
        <w:t>The results of the tests testing whether the characteristics have changed in the “all observations group” can be seen in table 11, 12 and 13. The tables 11, 12 and 13 show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the DID coefficients need to be insignificant because otherwise there is a difference  in the differences between the characteristics before and after the treatment and they will not cancel out automatically. Because characteristics can be assumed to have remained the same in the group with only observations of repeated repliers, this could only form a problem in the all observations group.</w:t>
      </w:r>
    </w:p>
    <w:p w:rsidR="0021637B" w:rsidRDefault="00CB0C55" w:rsidP="00CB0C55">
      <w:pPr>
        <w:spacing w:line="360" w:lineRule="auto"/>
        <w:jc w:val="both"/>
      </w:pPr>
      <w:r>
        <w:tab/>
        <w:t xml:space="preserve">Table 11 shows that there is a significant difference in differences in gender between the control and treatment group in 2007 – 2017 (p&lt;5%) and 2013-2017 (p&lt;10%). Between 2007 and </w:t>
      </w:r>
      <w:r>
        <w:lastRenderedPageBreak/>
        <w:t xml:space="preserve">2017 the average level of females in the treatment group dropped by 7.0 percentage point more than in the control group. Between 2013 and 2017 the percentage of females in the treatment group dropped by 6.4 percentage points more than in the control group. This implies that the effects measured in the 2007 – 2017 and 2013 – 2017 regressions on health could be explained by gender instead of wealth as was the idea. Table 12 shows that the level of highly educated people is not significantly different between the differences in the control and treatment group as was expected. Table 13 the DID coefficient is not significant in any of the three regressions so there is no significant difference in the differences in net income as was expected. </w:t>
      </w:r>
    </w:p>
    <w:p w:rsidR="0021637B" w:rsidRDefault="0021637B" w:rsidP="00CB0C55">
      <w:pPr>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11</w:t>
      </w:r>
      <w:r w:rsidR="0021637B">
        <w:fldChar w:fldCharType="end"/>
      </w:r>
      <w:r>
        <w:t>: characteristics check gender</w:t>
      </w:r>
    </w:p>
    <w:tbl>
      <w:tblPr>
        <w:tblW w:w="8477" w:type="dxa"/>
        <w:tblLook w:val="04A0" w:firstRow="1" w:lastRow="0" w:firstColumn="1" w:lastColumn="0" w:noHBand="0" w:noVBand="1"/>
      </w:tblPr>
      <w:tblGrid>
        <w:gridCol w:w="18"/>
        <w:gridCol w:w="1271"/>
        <w:gridCol w:w="889"/>
        <w:gridCol w:w="434"/>
        <w:gridCol w:w="726"/>
        <w:gridCol w:w="426"/>
        <w:gridCol w:w="647"/>
        <w:gridCol w:w="1073"/>
        <w:gridCol w:w="1073"/>
        <w:gridCol w:w="960"/>
        <w:gridCol w:w="960"/>
      </w:tblGrid>
      <w:tr w:rsidR="00322CEC" w:rsidTr="00322CEC">
        <w:trPr>
          <w:gridBefore w:val="1"/>
          <w:wBefore w:w="18" w:type="dxa"/>
          <w:trHeight w:val="510"/>
        </w:trPr>
        <w:tc>
          <w:tcPr>
            <w:tcW w:w="2160" w:type="dxa"/>
            <w:gridSpan w:val="2"/>
            <w:tcBorders>
              <w:top w:val="single" w:sz="8" w:space="0" w:color="000001"/>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 </w:t>
            </w:r>
          </w:p>
        </w:tc>
        <w:tc>
          <w:tcPr>
            <w:tcW w:w="1160" w:type="dxa"/>
            <w:gridSpan w:val="2"/>
            <w:tcBorders>
              <w:top w:val="single" w:sz="8" w:space="0" w:color="000001"/>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2007 - 2013</w:t>
            </w:r>
          </w:p>
        </w:tc>
        <w:tc>
          <w:tcPr>
            <w:tcW w:w="1073" w:type="dxa"/>
            <w:gridSpan w:val="2"/>
            <w:tcBorders>
              <w:top w:val="single" w:sz="8" w:space="0" w:color="000001"/>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2013 -2017</w:t>
            </w:r>
          </w:p>
        </w:tc>
        <w:tc>
          <w:tcPr>
            <w:tcW w:w="1073" w:type="dxa"/>
            <w:tcBorders>
              <w:top w:val="single" w:sz="8" w:space="0" w:color="000001"/>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2007 - 2013</w:t>
            </w:r>
          </w:p>
        </w:tc>
        <w:tc>
          <w:tcPr>
            <w:tcW w:w="1073" w:type="dxa"/>
            <w:tcBorders>
              <w:top w:val="single" w:sz="8" w:space="0" w:color="000001"/>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2013 - 2017</w:t>
            </w:r>
          </w:p>
        </w:tc>
        <w:tc>
          <w:tcPr>
            <w:tcW w:w="960" w:type="dxa"/>
            <w:tcBorders>
              <w:top w:val="single" w:sz="8" w:space="0" w:color="000001"/>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2007 -2013</w:t>
            </w:r>
          </w:p>
        </w:tc>
        <w:tc>
          <w:tcPr>
            <w:tcW w:w="960" w:type="dxa"/>
            <w:tcBorders>
              <w:top w:val="single" w:sz="8" w:space="0" w:color="000001"/>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2013 - 2017</w:t>
            </w:r>
          </w:p>
        </w:tc>
      </w:tr>
      <w:tr w:rsidR="00322CEC" w:rsidTr="00322CEC">
        <w:trPr>
          <w:gridBefore w:val="1"/>
          <w:wBefore w:w="18" w:type="dxa"/>
          <w:trHeight w:val="525"/>
        </w:trPr>
        <w:tc>
          <w:tcPr>
            <w:tcW w:w="2160" w:type="dxa"/>
            <w:gridSpan w:val="2"/>
            <w:tcBorders>
              <w:top w:val="nil"/>
              <w:left w:val="nil"/>
              <w:bottom w:val="single" w:sz="8" w:space="0" w:color="000001"/>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VARIABLES</w:t>
            </w:r>
          </w:p>
        </w:tc>
        <w:tc>
          <w:tcPr>
            <w:tcW w:w="1160" w:type="dxa"/>
            <w:gridSpan w:val="2"/>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gender</w:t>
            </w:r>
          </w:p>
        </w:tc>
        <w:tc>
          <w:tcPr>
            <w:tcW w:w="1073"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gender</w:t>
            </w:r>
          </w:p>
        </w:tc>
        <w:tc>
          <w:tcPr>
            <w:tcW w:w="1073"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education</w:t>
            </w:r>
          </w:p>
        </w:tc>
        <w:tc>
          <w:tcPr>
            <w:tcW w:w="1073" w:type="dxa"/>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education</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net income</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net income</w:t>
            </w:r>
          </w:p>
        </w:tc>
      </w:tr>
      <w:tr w:rsidR="00322CEC" w:rsidTr="00322CEC">
        <w:trPr>
          <w:gridBefore w:val="1"/>
          <w:wBefore w:w="18" w:type="dxa"/>
          <w:trHeight w:val="255"/>
        </w:trPr>
        <w:tc>
          <w:tcPr>
            <w:tcW w:w="2160"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 </w:t>
            </w:r>
          </w:p>
        </w:tc>
        <w:tc>
          <w:tcPr>
            <w:tcW w:w="1160" w:type="dxa"/>
            <w:gridSpan w:val="2"/>
            <w:tcBorders>
              <w:top w:val="single" w:sz="8" w:space="0" w:color="000001"/>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 </w:t>
            </w:r>
          </w:p>
        </w:tc>
        <w:tc>
          <w:tcPr>
            <w:tcW w:w="1073" w:type="dxa"/>
            <w:gridSpan w:val="2"/>
            <w:tcBorders>
              <w:top w:val="single" w:sz="8" w:space="0" w:color="000001"/>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 </w:t>
            </w:r>
          </w:p>
        </w:tc>
        <w:tc>
          <w:tcPr>
            <w:tcW w:w="1073" w:type="dxa"/>
            <w:tcBorders>
              <w:top w:val="single" w:sz="8" w:space="0" w:color="000001"/>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 </w:t>
            </w:r>
          </w:p>
        </w:tc>
        <w:tc>
          <w:tcPr>
            <w:tcW w:w="1073" w:type="dxa"/>
            <w:tcBorders>
              <w:top w:val="single" w:sz="8" w:space="0" w:color="000001"/>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 </w:t>
            </w:r>
          </w:p>
        </w:tc>
        <w:tc>
          <w:tcPr>
            <w:tcW w:w="960" w:type="dxa"/>
            <w:tcBorders>
              <w:top w:val="single" w:sz="8" w:space="0" w:color="000001"/>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 </w:t>
            </w:r>
          </w:p>
        </w:tc>
        <w:tc>
          <w:tcPr>
            <w:tcW w:w="960" w:type="dxa"/>
            <w:tcBorders>
              <w:top w:val="single" w:sz="8" w:space="0" w:color="000001"/>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 </w:t>
            </w:r>
          </w:p>
        </w:tc>
      </w:tr>
      <w:tr w:rsidR="00322CEC" w:rsidTr="00322CEC">
        <w:trPr>
          <w:gridBefore w:val="1"/>
          <w:wBefore w:w="18" w:type="dxa"/>
          <w:trHeight w:val="255"/>
        </w:trPr>
        <w:tc>
          <w:tcPr>
            <w:tcW w:w="2160"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time</w:t>
            </w:r>
          </w:p>
        </w:tc>
        <w:tc>
          <w:tcPr>
            <w:tcW w:w="1160" w:type="dxa"/>
            <w:gridSpan w:val="2"/>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0.0133</w:t>
            </w:r>
          </w:p>
        </w:tc>
        <w:tc>
          <w:tcPr>
            <w:tcW w:w="1073"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-0.0008</w:t>
            </w:r>
          </w:p>
        </w:tc>
        <w:tc>
          <w:tcPr>
            <w:tcW w:w="1073"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0.0807***</w:t>
            </w:r>
          </w:p>
        </w:tc>
        <w:tc>
          <w:tcPr>
            <w:tcW w:w="1073" w:type="dxa"/>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-0.0678**</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2,964 ***</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-31.3424</w:t>
            </w:r>
          </w:p>
        </w:tc>
      </w:tr>
      <w:tr w:rsidR="00322CEC" w:rsidTr="00322CEC">
        <w:trPr>
          <w:gridBefore w:val="1"/>
          <w:wBefore w:w="18" w:type="dxa"/>
          <w:trHeight w:val="255"/>
        </w:trPr>
        <w:tc>
          <w:tcPr>
            <w:tcW w:w="2160"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-0.0254</w:t>
            </w:r>
          </w:p>
        </w:tc>
        <w:tc>
          <w:tcPr>
            <w:tcW w:w="1073"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-0.0265</w:t>
            </w:r>
          </w:p>
        </w:tc>
        <w:tc>
          <w:tcPr>
            <w:tcW w:w="1073"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-0.0268</w:t>
            </w:r>
          </w:p>
        </w:tc>
        <w:tc>
          <w:tcPr>
            <w:tcW w:w="1073" w:type="dxa"/>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-0.0277</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-752</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-872</w:t>
            </w:r>
          </w:p>
        </w:tc>
      </w:tr>
      <w:tr w:rsidR="00322CEC" w:rsidTr="00322CEC">
        <w:trPr>
          <w:gridBefore w:val="1"/>
          <w:wBefore w:w="18" w:type="dxa"/>
          <w:trHeight w:val="255"/>
        </w:trPr>
        <w:tc>
          <w:tcPr>
            <w:tcW w:w="2160"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treated</w:t>
            </w:r>
          </w:p>
        </w:tc>
        <w:tc>
          <w:tcPr>
            <w:tcW w:w="1160" w:type="dxa"/>
            <w:gridSpan w:val="2"/>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0.3971***</w:t>
            </w:r>
          </w:p>
        </w:tc>
        <w:tc>
          <w:tcPr>
            <w:tcW w:w="1073"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0.3919***</w:t>
            </w:r>
          </w:p>
        </w:tc>
        <w:tc>
          <w:tcPr>
            <w:tcW w:w="1073"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0.2010***</w:t>
            </w:r>
          </w:p>
        </w:tc>
        <w:tc>
          <w:tcPr>
            <w:tcW w:w="1073" w:type="dxa"/>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0.1619***</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14,764 ***</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13,736 ***</w:t>
            </w:r>
          </w:p>
        </w:tc>
      </w:tr>
      <w:tr w:rsidR="00322CEC" w:rsidTr="00322CEC">
        <w:trPr>
          <w:gridBefore w:val="1"/>
          <w:wBefore w:w="18" w:type="dxa"/>
          <w:trHeight w:val="255"/>
        </w:trPr>
        <w:tc>
          <w:tcPr>
            <w:tcW w:w="2160"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-0.0244</w:t>
            </w:r>
          </w:p>
        </w:tc>
        <w:tc>
          <w:tcPr>
            <w:tcW w:w="1073"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-0.0269</w:t>
            </w:r>
          </w:p>
        </w:tc>
        <w:tc>
          <w:tcPr>
            <w:tcW w:w="1073"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-0.0257</w:t>
            </w:r>
          </w:p>
        </w:tc>
        <w:tc>
          <w:tcPr>
            <w:tcW w:w="1073" w:type="dxa"/>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-0.0281</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-721</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-885</w:t>
            </w:r>
          </w:p>
        </w:tc>
      </w:tr>
      <w:tr w:rsidR="00322CEC" w:rsidTr="00322CEC">
        <w:trPr>
          <w:gridBefore w:val="1"/>
          <w:wBefore w:w="18" w:type="dxa"/>
          <w:trHeight w:val="255"/>
        </w:trPr>
        <w:tc>
          <w:tcPr>
            <w:tcW w:w="2160"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DID</w:t>
            </w:r>
          </w:p>
        </w:tc>
        <w:tc>
          <w:tcPr>
            <w:tcW w:w="1160" w:type="dxa"/>
            <w:gridSpan w:val="2"/>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-0.0052</w:t>
            </w:r>
          </w:p>
        </w:tc>
        <w:tc>
          <w:tcPr>
            <w:tcW w:w="1073"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-0.0644*</w:t>
            </w:r>
          </w:p>
        </w:tc>
        <w:tc>
          <w:tcPr>
            <w:tcW w:w="1073"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-0.0392</w:t>
            </w:r>
          </w:p>
        </w:tc>
        <w:tc>
          <w:tcPr>
            <w:tcW w:w="1073" w:type="dxa"/>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0.0111</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-1,028</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1,431</w:t>
            </w:r>
          </w:p>
        </w:tc>
      </w:tr>
      <w:tr w:rsidR="00322CEC" w:rsidTr="00322CEC">
        <w:trPr>
          <w:gridBefore w:val="1"/>
          <w:wBefore w:w="18" w:type="dxa"/>
          <w:trHeight w:val="255"/>
        </w:trPr>
        <w:tc>
          <w:tcPr>
            <w:tcW w:w="2160"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-0.036</w:t>
            </w:r>
          </w:p>
        </w:tc>
        <w:tc>
          <w:tcPr>
            <w:tcW w:w="1073"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-0.0362</w:t>
            </w:r>
          </w:p>
        </w:tc>
        <w:tc>
          <w:tcPr>
            <w:tcW w:w="1073"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-0.038</w:t>
            </w:r>
          </w:p>
        </w:tc>
        <w:tc>
          <w:tcPr>
            <w:tcW w:w="1073" w:type="dxa"/>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-0.0379</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-1,065</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-1,193</w:t>
            </w:r>
          </w:p>
        </w:tc>
      </w:tr>
      <w:tr w:rsidR="00322CEC" w:rsidTr="00322CEC">
        <w:trPr>
          <w:gridBefore w:val="1"/>
          <w:wBefore w:w="18" w:type="dxa"/>
          <w:trHeight w:val="255"/>
        </w:trPr>
        <w:tc>
          <w:tcPr>
            <w:tcW w:w="2160"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Constant</w:t>
            </w:r>
          </w:p>
        </w:tc>
        <w:tc>
          <w:tcPr>
            <w:tcW w:w="1160" w:type="dxa"/>
            <w:gridSpan w:val="2"/>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0.3576***</w:t>
            </w:r>
          </w:p>
        </w:tc>
        <w:tc>
          <w:tcPr>
            <w:tcW w:w="1073"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0.3709***</w:t>
            </w:r>
          </w:p>
        </w:tc>
        <w:tc>
          <w:tcPr>
            <w:tcW w:w="1073"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0.2749***</w:t>
            </w:r>
          </w:p>
        </w:tc>
        <w:tc>
          <w:tcPr>
            <w:tcW w:w="1073" w:type="dxa"/>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0.3556***</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13,641 ***</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16,605 ***</w:t>
            </w:r>
          </w:p>
        </w:tc>
      </w:tr>
      <w:tr w:rsidR="00322CEC" w:rsidTr="00322CEC">
        <w:trPr>
          <w:gridBefore w:val="1"/>
          <w:wBefore w:w="18" w:type="dxa"/>
          <w:trHeight w:val="255"/>
        </w:trPr>
        <w:tc>
          <w:tcPr>
            <w:tcW w:w="2160"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-0.0171</w:t>
            </w:r>
          </w:p>
        </w:tc>
        <w:tc>
          <w:tcPr>
            <w:tcW w:w="1073"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-0.0192</w:t>
            </w:r>
          </w:p>
        </w:tc>
        <w:tc>
          <w:tcPr>
            <w:tcW w:w="1073"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-0.018</w:t>
            </w:r>
          </w:p>
        </w:tc>
        <w:tc>
          <w:tcPr>
            <w:tcW w:w="1073" w:type="dxa"/>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-0.02</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-505</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-631</w:t>
            </w:r>
          </w:p>
        </w:tc>
      </w:tr>
      <w:tr w:rsidR="00322CEC" w:rsidTr="00322CEC">
        <w:trPr>
          <w:gridBefore w:val="1"/>
          <w:wBefore w:w="18" w:type="dxa"/>
          <w:trHeight w:val="255"/>
        </w:trPr>
        <w:tc>
          <w:tcPr>
            <w:tcW w:w="2160"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p>
        </w:tc>
        <w:tc>
          <w:tcPr>
            <w:tcW w:w="1073"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 </w:t>
            </w:r>
          </w:p>
        </w:tc>
        <w:tc>
          <w:tcPr>
            <w:tcW w:w="1073"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p>
        </w:tc>
        <w:tc>
          <w:tcPr>
            <w:tcW w:w="1073" w:type="dxa"/>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 </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p>
        </w:tc>
      </w:tr>
      <w:tr w:rsidR="00322CEC" w:rsidTr="00322CEC">
        <w:trPr>
          <w:gridBefore w:val="1"/>
          <w:wBefore w:w="18" w:type="dxa"/>
          <w:trHeight w:val="270"/>
        </w:trPr>
        <w:tc>
          <w:tcPr>
            <w:tcW w:w="2160" w:type="dxa"/>
            <w:gridSpan w:val="2"/>
            <w:tcBorders>
              <w:top w:val="nil"/>
              <w:left w:val="nil"/>
              <w:bottom w:val="single" w:sz="8" w:space="0" w:color="000001"/>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Observations</w:t>
            </w:r>
          </w:p>
        </w:tc>
        <w:tc>
          <w:tcPr>
            <w:tcW w:w="1160" w:type="dxa"/>
            <w:gridSpan w:val="2"/>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2,586</w:t>
            </w:r>
          </w:p>
        </w:tc>
        <w:tc>
          <w:tcPr>
            <w:tcW w:w="1073" w:type="dxa"/>
            <w:gridSpan w:val="2"/>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2,671</w:t>
            </w:r>
          </w:p>
        </w:tc>
        <w:tc>
          <w:tcPr>
            <w:tcW w:w="1073"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2,586</w:t>
            </w:r>
          </w:p>
        </w:tc>
        <w:tc>
          <w:tcPr>
            <w:tcW w:w="1073" w:type="dxa"/>
            <w:tcBorders>
              <w:top w:val="nil"/>
              <w:left w:val="nil"/>
              <w:bottom w:val="nil"/>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2,671</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2,586</w:t>
            </w:r>
          </w:p>
        </w:tc>
        <w:tc>
          <w:tcPr>
            <w:tcW w:w="960" w:type="dxa"/>
            <w:tcBorders>
              <w:top w:val="nil"/>
              <w:left w:val="nil"/>
              <w:bottom w:val="nil"/>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2,671</w:t>
            </w:r>
          </w:p>
        </w:tc>
      </w:tr>
      <w:tr w:rsidR="00322CEC" w:rsidTr="00322CEC">
        <w:trPr>
          <w:gridBefore w:val="1"/>
          <w:wBefore w:w="18" w:type="dxa"/>
          <w:trHeight w:val="270"/>
        </w:trPr>
        <w:tc>
          <w:tcPr>
            <w:tcW w:w="2160" w:type="dxa"/>
            <w:gridSpan w:val="2"/>
            <w:tcBorders>
              <w:top w:val="nil"/>
              <w:left w:val="nil"/>
              <w:bottom w:val="single" w:sz="8" w:space="0" w:color="000001"/>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R-squared</w:t>
            </w:r>
          </w:p>
        </w:tc>
        <w:tc>
          <w:tcPr>
            <w:tcW w:w="1160" w:type="dxa"/>
            <w:gridSpan w:val="2"/>
            <w:tcBorders>
              <w:top w:val="single" w:sz="8" w:space="0" w:color="000001"/>
              <w:left w:val="nil"/>
              <w:bottom w:val="single" w:sz="8" w:space="0" w:color="000001"/>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0.1584</w:t>
            </w:r>
          </w:p>
        </w:tc>
        <w:tc>
          <w:tcPr>
            <w:tcW w:w="1073" w:type="dxa"/>
            <w:gridSpan w:val="2"/>
            <w:tcBorders>
              <w:top w:val="single" w:sz="8" w:space="0" w:color="000001"/>
              <w:left w:val="nil"/>
              <w:bottom w:val="single" w:sz="8" w:space="0" w:color="000001"/>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0.129</w:t>
            </w:r>
          </w:p>
        </w:tc>
        <w:tc>
          <w:tcPr>
            <w:tcW w:w="1073" w:type="dxa"/>
            <w:tcBorders>
              <w:top w:val="single" w:sz="8" w:space="0" w:color="000001"/>
              <w:left w:val="nil"/>
              <w:bottom w:val="single" w:sz="8" w:space="0" w:color="000001"/>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0.0395</w:t>
            </w:r>
          </w:p>
        </w:tc>
        <w:tc>
          <w:tcPr>
            <w:tcW w:w="1073" w:type="dxa"/>
            <w:tcBorders>
              <w:top w:val="single" w:sz="8" w:space="0" w:color="000001"/>
              <w:left w:val="nil"/>
              <w:bottom w:val="single" w:sz="8" w:space="0" w:color="000001"/>
              <w:right w:val="single" w:sz="4" w:space="0" w:color="auto"/>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0.0317</w:t>
            </w:r>
          </w:p>
        </w:tc>
        <w:tc>
          <w:tcPr>
            <w:tcW w:w="960" w:type="dxa"/>
            <w:tcBorders>
              <w:top w:val="single" w:sz="8" w:space="0" w:color="000001"/>
              <w:left w:val="nil"/>
              <w:bottom w:val="single" w:sz="8" w:space="0" w:color="000001"/>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0.2255</w:t>
            </w:r>
          </w:p>
        </w:tc>
        <w:tc>
          <w:tcPr>
            <w:tcW w:w="960" w:type="dxa"/>
            <w:tcBorders>
              <w:top w:val="single" w:sz="8" w:space="0" w:color="000001"/>
              <w:left w:val="nil"/>
              <w:bottom w:val="single" w:sz="8" w:space="0" w:color="000001"/>
              <w:right w:val="nil"/>
            </w:tcBorders>
            <w:shd w:val="clear" w:color="auto" w:fill="auto"/>
            <w:vAlign w:val="center"/>
            <w:hideMark/>
          </w:tcPr>
          <w:p w:rsidR="00322CEC" w:rsidRDefault="00322CEC">
            <w:pPr>
              <w:jc w:val="both"/>
              <w:rPr>
                <w:rFonts w:ascii="Calibri" w:hAnsi="Calibri"/>
                <w:sz w:val="20"/>
                <w:szCs w:val="20"/>
              </w:rPr>
            </w:pPr>
            <w:r>
              <w:rPr>
                <w:rFonts w:ascii="Calibri" w:hAnsi="Calibri"/>
                <w:sz w:val="20"/>
                <w:szCs w:val="20"/>
              </w:rPr>
              <w:t>0.1855</w:t>
            </w:r>
          </w:p>
        </w:tc>
      </w:tr>
      <w:tr w:rsidR="00322CEC" w:rsidTr="00322CEC">
        <w:trPr>
          <w:gridBefore w:val="1"/>
          <w:wBefore w:w="18" w:type="dxa"/>
          <w:trHeight w:val="255"/>
        </w:trPr>
        <w:tc>
          <w:tcPr>
            <w:tcW w:w="3320" w:type="dxa"/>
            <w:gridSpan w:val="4"/>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Standard errors in parentheses</w:t>
            </w:r>
          </w:p>
        </w:tc>
        <w:tc>
          <w:tcPr>
            <w:tcW w:w="1073" w:type="dxa"/>
            <w:gridSpan w:val="2"/>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07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07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960"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960"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r>
      <w:tr w:rsidR="00322CEC" w:rsidTr="00322CEC">
        <w:trPr>
          <w:gridBefore w:val="1"/>
          <w:wBefore w:w="18" w:type="dxa"/>
          <w:trHeight w:val="255"/>
        </w:trPr>
        <w:tc>
          <w:tcPr>
            <w:tcW w:w="3320" w:type="dxa"/>
            <w:gridSpan w:val="4"/>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p&lt;0.01, ** p&lt;0.05, * p&lt;0.1</w:t>
            </w:r>
          </w:p>
        </w:tc>
        <w:tc>
          <w:tcPr>
            <w:tcW w:w="1073" w:type="dxa"/>
            <w:gridSpan w:val="2"/>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07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07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960"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960"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r>
      <w:tr w:rsidR="00322CEC" w:rsidTr="00322CEC">
        <w:tblPrEx>
          <w:jc w:val="center"/>
        </w:tblPrEx>
        <w:trPr>
          <w:gridAfter w:val="5"/>
          <w:wAfter w:w="4713" w:type="dxa"/>
          <w:trHeight w:hRule="exact" w:val="23"/>
          <w:jc w:val="center"/>
        </w:trPr>
        <w:tc>
          <w:tcPr>
            <w:tcW w:w="1289"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c>
          <w:tcPr>
            <w:tcW w:w="1323"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c>
          <w:tcPr>
            <w:tcW w:w="1152"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21637B" w:rsidRDefault="0021637B" w:rsidP="00CB0C55">
      <w:pPr>
        <w:spacing w:line="360" w:lineRule="auto"/>
        <w:jc w:val="both"/>
      </w:pPr>
    </w:p>
    <w:p w:rsidR="0021637B" w:rsidRDefault="0021637B" w:rsidP="00322CEC">
      <w:pPr>
        <w:pStyle w:val="Caption"/>
        <w:keepNext/>
        <w:spacing w:line="360" w:lineRule="auto"/>
        <w:jc w:val="both"/>
      </w:pPr>
    </w:p>
    <w:p w:rsidR="0021637B" w:rsidRDefault="00CB0C55" w:rsidP="00CB0C55">
      <w:pPr>
        <w:spacing w:line="360" w:lineRule="auto"/>
        <w:jc w:val="both"/>
        <w:rPr>
          <w:b/>
          <w:bCs/>
          <w:lang w:val="nl-NL"/>
        </w:rPr>
      </w:pPr>
      <w:r>
        <w:rPr>
          <w:b/>
          <w:bCs/>
          <w:lang w:val="nl-NL"/>
        </w:rPr>
        <w:t>Literatuur</w:t>
      </w:r>
    </w:p>
    <w:p w:rsidR="0021637B" w:rsidRDefault="0021637B" w:rsidP="00CB0C55">
      <w:pPr>
        <w:spacing w:line="360" w:lineRule="auto"/>
        <w:jc w:val="both"/>
        <w:rPr>
          <w:b/>
          <w:bCs/>
          <w:lang w:val="nl-NL"/>
        </w:rPr>
      </w:pPr>
    </w:p>
    <w:p w:rsidR="0021637B" w:rsidRDefault="00CB0C55" w:rsidP="00CB0C55">
      <w:pPr>
        <w:spacing w:line="360" w:lineRule="auto"/>
        <w:jc w:val="both"/>
      </w:pPr>
      <w:proofErr w:type="spellStart"/>
      <w:r>
        <w:rPr>
          <w:lang w:val="nl-NL"/>
        </w:rPr>
        <w:t>Aittomäki</w:t>
      </w:r>
      <w:proofErr w:type="spellEnd"/>
      <w:r>
        <w:rPr>
          <w:lang w:val="nl-NL"/>
        </w:rPr>
        <w:t xml:space="preserve">, </w:t>
      </w:r>
      <w:proofErr w:type="spellStart"/>
      <w:r>
        <w:rPr>
          <w:lang w:val="nl-NL"/>
        </w:rPr>
        <w:t>Martikainen</w:t>
      </w:r>
      <w:proofErr w:type="spellEnd"/>
      <w:r>
        <w:rPr>
          <w:lang w:val="nl-NL"/>
        </w:rPr>
        <w:t xml:space="preserve">, </w:t>
      </w:r>
      <w:proofErr w:type="spellStart"/>
      <w:r>
        <w:rPr>
          <w:lang w:val="nl-NL"/>
        </w:rPr>
        <w:t>Laaksonen</w:t>
      </w:r>
      <w:proofErr w:type="spellEnd"/>
      <w:r>
        <w:rPr>
          <w:lang w:val="nl-NL"/>
        </w:rPr>
        <w:t xml:space="preserve">, </w:t>
      </w:r>
      <w:proofErr w:type="spellStart"/>
      <w:r>
        <w:rPr>
          <w:lang w:val="nl-NL"/>
        </w:rPr>
        <w:t>Lahelma</w:t>
      </w:r>
      <w:proofErr w:type="spellEnd"/>
      <w:r>
        <w:rPr>
          <w:lang w:val="nl-NL"/>
        </w:rPr>
        <w:t xml:space="preserve">, &amp; </w:t>
      </w:r>
      <w:proofErr w:type="spellStart"/>
      <w:r>
        <w:rPr>
          <w:lang w:val="nl-NL"/>
        </w:rPr>
        <w:t>Rahkonen</w:t>
      </w:r>
      <w:proofErr w:type="spellEnd"/>
      <w:r>
        <w:rPr>
          <w:lang w:val="nl-NL"/>
        </w:rPr>
        <w:t xml:space="preserve">. </w:t>
      </w:r>
      <w:r>
        <w:t>(2010). The associations of household wealth and income with self-rated health – A study on economic advantage in middle-aged Finnish men and women. Social Science &amp; Medicine, 71(5), 1018-1026.</w:t>
      </w:r>
    </w:p>
    <w:p w:rsidR="0021637B" w:rsidRDefault="0021637B" w:rsidP="00CB0C55">
      <w:pPr>
        <w:spacing w:line="360" w:lineRule="auto"/>
        <w:jc w:val="both"/>
      </w:pPr>
    </w:p>
    <w:p w:rsidR="0021637B" w:rsidRDefault="00CB0C55" w:rsidP="00CB0C55">
      <w:pPr>
        <w:spacing w:line="360" w:lineRule="auto"/>
        <w:jc w:val="both"/>
      </w:pPr>
      <w:proofErr w:type="spellStart"/>
      <w:r>
        <w:t>Apouey</w:t>
      </w:r>
      <w:proofErr w:type="spellEnd"/>
      <w:r>
        <w:t>, B., &amp; Clark, A. (2015). Winning Big but Feeling no Better? The Effect of Lottery Prizes on Physical and Mental Health. Health Economics, 24(5), 516-538.</w:t>
      </w:r>
    </w:p>
    <w:p w:rsidR="0021637B" w:rsidRDefault="0021637B" w:rsidP="00CB0C55">
      <w:pPr>
        <w:spacing w:line="360" w:lineRule="auto"/>
        <w:jc w:val="both"/>
      </w:pPr>
    </w:p>
    <w:p w:rsidR="0021637B" w:rsidRDefault="00CB0C55" w:rsidP="00CB0C55">
      <w:pPr>
        <w:spacing w:line="360" w:lineRule="auto"/>
        <w:jc w:val="both"/>
      </w:pPr>
      <w:r>
        <w:t>Au, N., &amp; Johnston, D. (2015). Too Much of a Good Thing? Exploring the Impact of Wealth on Weight. Health Economics, 24(11), 1403-1421.</w:t>
      </w:r>
    </w:p>
    <w:p w:rsidR="0021637B" w:rsidRDefault="0021637B" w:rsidP="00CB0C55">
      <w:pPr>
        <w:spacing w:line="360" w:lineRule="auto"/>
        <w:jc w:val="both"/>
      </w:pPr>
    </w:p>
    <w:p w:rsidR="0021637B" w:rsidRDefault="00CB0C55" w:rsidP="00CB0C55">
      <w:pPr>
        <w:spacing w:line="360" w:lineRule="auto"/>
        <w:jc w:val="both"/>
      </w:pPr>
      <w:proofErr w:type="spellStart"/>
      <w:r>
        <w:t>Cai</w:t>
      </w:r>
      <w:proofErr w:type="spellEnd"/>
      <w:r>
        <w:t>, L. (2009). Be wealthy to stay healthy: An analysis of older Australians using the HILDA survey. Journal of Sociology, 45(1), 55-70.</w:t>
      </w:r>
    </w:p>
    <w:p w:rsidR="0021637B" w:rsidRDefault="0021637B" w:rsidP="00CB0C55">
      <w:pPr>
        <w:spacing w:line="360" w:lineRule="auto"/>
        <w:jc w:val="both"/>
      </w:pPr>
    </w:p>
    <w:p w:rsidR="0021637B" w:rsidRDefault="00CB0C55" w:rsidP="00CB0C55">
      <w:pPr>
        <w:spacing w:line="360" w:lineRule="auto"/>
        <w:jc w:val="both"/>
      </w:pPr>
      <w:proofErr w:type="spellStart"/>
      <w:r>
        <w:t>CentERdata</w:t>
      </w:r>
      <w:proofErr w:type="spellEnd"/>
      <w:r>
        <w:t xml:space="preserve">. (2019). DHS data access. Retrieved January 2, 2019, from </w:t>
      </w:r>
      <w:hyperlink r:id="rId9">
        <w:r>
          <w:rPr>
            <w:rStyle w:val="InternetLink"/>
          </w:rPr>
          <w:t>https://www.dhsdata.nl/site/users/login</w:t>
        </w:r>
      </w:hyperlink>
    </w:p>
    <w:p w:rsidR="0021637B" w:rsidRDefault="0021637B" w:rsidP="00CB0C55">
      <w:pPr>
        <w:spacing w:line="360" w:lineRule="auto"/>
        <w:jc w:val="both"/>
      </w:pPr>
    </w:p>
    <w:p w:rsidR="0021637B" w:rsidRDefault="00CB0C55" w:rsidP="00CB0C55">
      <w:pPr>
        <w:spacing w:line="360" w:lineRule="auto"/>
        <w:jc w:val="both"/>
      </w:pPr>
      <w:proofErr w:type="spellStart"/>
      <w:r>
        <w:t>CentERdata</w:t>
      </w:r>
      <w:proofErr w:type="spellEnd"/>
      <w:r>
        <w:t>. (</w:t>
      </w:r>
      <w:proofErr w:type="spellStart"/>
      <w:r>
        <w:t>n.d.</w:t>
      </w:r>
      <w:proofErr w:type="spellEnd"/>
      <w:r>
        <w:t xml:space="preserve">). DHS data access | CentERdata.nl. Retrieved January 2, 2019, from </w:t>
      </w:r>
      <w:hyperlink r:id="rId10">
        <w:r>
          <w:rPr>
            <w:rStyle w:val="InternetLink"/>
          </w:rPr>
          <w:t>https://www.centerdata.nl/en/databank/dhs-data-access</w:t>
        </w:r>
      </w:hyperlink>
    </w:p>
    <w:p w:rsidR="0021637B" w:rsidRDefault="0021637B" w:rsidP="00CB0C55">
      <w:pPr>
        <w:spacing w:line="360" w:lineRule="auto"/>
        <w:jc w:val="both"/>
        <w:rPr>
          <w:rStyle w:val="InternetLink"/>
        </w:rPr>
      </w:pPr>
    </w:p>
    <w:p w:rsidR="0021637B" w:rsidRDefault="00CB0C55" w:rsidP="00CB0C55">
      <w:pPr>
        <w:spacing w:line="360" w:lineRule="auto"/>
        <w:jc w:val="both"/>
      </w:pPr>
      <w:bookmarkStart w:id="10" w:name="__DdeLink__3171_1315779075"/>
      <w:r>
        <w:rPr>
          <w:lang w:val="nl-NL"/>
        </w:rPr>
        <w:t>Het Juridisch Loket. (</w:t>
      </w:r>
      <w:proofErr w:type="spellStart"/>
      <w:r>
        <w:rPr>
          <w:lang w:val="nl-NL"/>
        </w:rPr>
        <w:t>n.d</w:t>
      </w:r>
      <w:proofErr w:type="spellEnd"/>
      <w:r>
        <w:rPr>
          <w:lang w:val="nl-NL"/>
        </w:rPr>
        <w:t>.).</w:t>
      </w:r>
      <w:bookmarkEnd w:id="10"/>
      <w:r>
        <w:rPr>
          <w:lang w:val="nl-NL"/>
        </w:rPr>
        <w:t xml:space="preserve"> Krijg ik loon doorbetaald bij ziekte? </w:t>
      </w:r>
      <w:r>
        <w:t xml:space="preserve">| Het </w:t>
      </w:r>
      <w:proofErr w:type="spellStart"/>
      <w:r>
        <w:t>Juridisch</w:t>
      </w:r>
      <w:proofErr w:type="spellEnd"/>
      <w:r>
        <w:t xml:space="preserve"> </w:t>
      </w:r>
      <w:proofErr w:type="spellStart"/>
      <w:r>
        <w:t>Loket</w:t>
      </w:r>
      <w:proofErr w:type="spellEnd"/>
      <w:r>
        <w:t>. Retrieved January 15, 2019, from https://www.juridischloket.nl/werk-en-inkomen/ziekte-en-zwangerschap/loondoorbetaling-bij-ziekte/#Ik-heb-een-tijdelijk-contract</w:t>
      </w:r>
    </w:p>
    <w:p w:rsidR="0021637B" w:rsidRDefault="0021637B" w:rsidP="00CB0C55">
      <w:pPr>
        <w:spacing w:line="360" w:lineRule="auto"/>
        <w:jc w:val="both"/>
      </w:pPr>
    </w:p>
    <w:p w:rsidR="0021637B" w:rsidRDefault="00CB0C55" w:rsidP="00CB0C55">
      <w:pPr>
        <w:spacing w:line="360" w:lineRule="auto"/>
        <w:jc w:val="both"/>
      </w:pPr>
      <w:r>
        <w:t xml:space="preserve">Idler, E., &amp; </w:t>
      </w:r>
      <w:proofErr w:type="spellStart"/>
      <w:r>
        <w:t>Benyamini</w:t>
      </w:r>
      <w:proofErr w:type="spellEnd"/>
      <w:r>
        <w:t>, Y. (1997). Self-Rated Health and Mortality: A Review of Twenty-Seven Community Studies. Journal of Health and Social Behavior, 38(1), 21-37.</w:t>
      </w:r>
    </w:p>
    <w:p w:rsidR="0021637B" w:rsidRDefault="0021637B" w:rsidP="00CB0C55">
      <w:pPr>
        <w:spacing w:line="360" w:lineRule="auto"/>
        <w:jc w:val="both"/>
      </w:pPr>
    </w:p>
    <w:p w:rsidR="0021637B" w:rsidRDefault="00CB0C55" w:rsidP="00CB0C55">
      <w:pPr>
        <w:spacing w:line="360" w:lineRule="auto"/>
        <w:jc w:val="both"/>
      </w:pPr>
      <w:proofErr w:type="spellStart"/>
      <w:r>
        <w:t>Keese</w:t>
      </w:r>
      <w:proofErr w:type="spellEnd"/>
      <w:r>
        <w:t>, M., &amp; Schmitz, H. (2014). Broke, Ill, and Obese: Is There an Effect of Household Debt on Health? Review of Income and Wealth, 60(3), 525-541.</w:t>
      </w:r>
    </w:p>
    <w:p w:rsidR="0021637B" w:rsidRDefault="0021637B" w:rsidP="00CB0C55">
      <w:pPr>
        <w:spacing w:line="360" w:lineRule="auto"/>
        <w:jc w:val="both"/>
      </w:pPr>
    </w:p>
    <w:p w:rsidR="0021637B" w:rsidRDefault="00CB0C55" w:rsidP="00CB0C55">
      <w:pPr>
        <w:spacing w:line="360" w:lineRule="auto"/>
        <w:jc w:val="both"/>
      </w:pPr>
      <w:r>
        <w:t xml:space="preserve">Kim, B., &amp; </w:t>
      </w:r>
      <w:proofErr w:type="spellStart"/>
      <w:r>
        <w:t>Ruhm</w:t>
      </w:r>
      <w:proofErr w:type="spellEnd"/>
      <w:r>
        <w:t>, C. (2012). Inheritances, health and death. Health Economics, 21(2), 127-144.</w:t>
      </w:r>
    </w:p>
    <w:p w:rsidR="0021637B" w:rsidRDefault="0021637B" w:rsidP="00CB0C55">
      <w:pPr>
        <w:spacing w:line="360" w:lineRule="auto"/>
        <w:jc w:val="both"/>
      </w:pPr>
    </w:p>
    <w:p w:rsidR="0021637B" w:rsidRDefault="00CB0C55" w:rsidP="00CB0C55">
      <w:pPr>
        <w:spacing w:line="360" w:lineRule="auto"/>
        <w:jc w:val="both"/>
      </w:pPr>
      <w:r>
        <w:t>Meer, Miller, &amp; Rosen. (2003). Exploring the health–wealth nexus. Journal of Health Economics, 22(5), 713-730.</w:t>
      </w:r>
    </w:p>
    <w:p w:rsidR="0021637B" w:rsidRDefault="0021637B" w:rsidP="00CB0C55">
      <w:pPr>
        <w:spacing w:line="360" w:lineRule="auto"/>
        <w:jc w:val="both"/>
      </w:pPr>
    </w:p>
    <w:p w:rsidR="0021637B" w:rsidRDefault="00CB0C55" w:rsidP="00CB0C55">
      <w:pPr>
        <w:spacing w:line="360" w:lineRule="auto"/>
        <w:jc w:val="both"/>
      </w:pPr>
      <w:r>
        <w:t xml:space="preserve">Michaud, &amp; Van </w:t>
      </w:r>
      <w:proofErr w:type="spellStart"/>
      <w:r>
        <w:t>Soest</w:t>
      </w:r>
      <w:proofErr w:type="spellEnd"/>
      <w:r>
        <w:t>. (2008). Health and wealth of elderly couples: Causality tests using dynamic panel data models. Journal of Health Economics, 27(5), 1312-1325.</w:t>
      </w:r>
    </w:p>
    <w:p w:rsidR="0021637B" w:rsidRDefault="0021637B" w:rsidP="00CB0C55">
      <w:pPr>
        <w:spacing w:line="360" w:lineRule="auto"/>
        <w:jc w:val="both"/>
      </w:pPr>
    </w:p>
    <w:p w:rsidR="0021637B" w:rsidRDefault="00CB0C55" w:rsidP="00CB0C55">
      <w:pPr>
        <w:spacing w:line="360" w:lineRule="auto"/>
        <w:jc w:val="both"/>
        <w:rPr>
          <w:lang w:val="nl-NL"/>
        </w:rPr>
      </w:pPr>
      <w:r>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Pr>
          <w:lang w:val="nl-NL"/>
        </w:rPr>
        <w:t xml:space="preserve">American Journal of </w:t>
      </w:r>
      <w:proofErr w:type="spellStart"/>
      <w:r>
        <w:rPr>
          <w:lang w:val="nl-NL"/>
        </w:rPr>
        <w:t>Preventive</w:t>
      </w:r>
      <w:proofErr w:type="spellEnd"/>
      <w:r>
        <w:rPr>
          <w:lang w:val="nl-NL"/>
        </w:rPr>
        <w:t xml:space="preserve"> </w:t>
      </w:r>
      <w:proofErr w:type="spellStart"/>
      <w:r>
        <w:rPr>
          <w:lang w:val="nl-NL"/>
        </w:rPr>
        <w:t>Medicine</w:t>
      </w:r>
      <w:proofErr w:type="spellEnd"/>
      <w:r>
        <w:rPr>
          <w:lang w:val="nl-NL"/>
        </w:rPr>
        <w:t>, 33(3), 250-264.</w:t>
      </w:r>
    </w:p>
    <w:p w:rsidR="0021637B" w:rsidRDefault="0021637B" w:rsidP="00CB0C55">
      <w:pPr>
        <w:spacing w:line="360" w:lineRule="auto"/>
        <w:jc w:val="both"/>
        <w:rPr>
          <w:lang w:val="nl-NL"/>
        </w:rPr>
      </w:pPr>
    </w:p>
    <w:p w:rsidR="0021637B" w:rsidRDefault="00CB0C55" w:rsidP="00CB0C55">
      <w:pPr>
        <w:spacing w:line="360" w:lineRule="auto"/>
        <w:jc w:val="both"/>
      </w:pPr>
      <w:r>
        <w:rPr>
          <w:lang w:val="nl-NL"/>
        </w:rPr>
        <w:lastRenderedPageBreak/>
        <w:t>UWV. (</w:t>
      </w:r>
      <w:proofErr w:type="spellStart"/>
      <w:r>
        <w:rPr>
          <w:lang w:val="nl-NL"/>
        </w:rPr>
        <w:t>n.d</w:t>
      </w:r>
      <w:proofErr w:type="spellEnd"/>
      <w:r>
        <w:rPr>
          <w:lang w:val="nl-NL"/>
        </w:rPr>
        <w:t xml:space="preserve">.). Mijn werknemer is ziek: loon doorbetalen | UWV | Werkgevers. </w:t>
      </w:r>
      <w:r>
        <w:t>Retrieved January 15, 2019, from https://www.uwv.nl/werkgevers/werknemer-is-ziek/loondoorbetaling/werknemer-is-ziek-loon-doorbetalen/detail/loon-doorbetalen-tijdens-ziekte</w:t>
      </w:r>
    </w:p>
    <w:p w:rsidR="0021637B" w:rsidRDefault="0021637B" w:rsidP="00CB0C55">
      <w:pPr>
        <w:spacing w:line="360" w:lineRule="auto"/>
        <w:jc w:val="both"/>
      </w:pPr>
    </w:p>
    <w:p w:rsidR="0021637B" w:rsidRDefault="00CB0C55" w:rsidP="00CB0C55">
      <w:pPr>
        <w:spacing w:line="360" w:lineRule="auto"/>
        <w:jc w:val="both"/>
      </w:pPr>
      <w:r>
        <w:rPr>
          <w:lang w:val="nl-NL"/>
        </w:rPr>
        <w:t xml:space="preserve">Zilveren Kruis. (2019). Eigen risico. Wat is het en waarom betaalt u het? - Zilveren Kruis. </w:t>
      </w:r>
      <w:r>
        <w:t>Retrieved January 15, 2019, from https://www.zilverenkruis.nl/Consumenten/zorgverzekering/basisverzekering/Paginas/eigen-risico.aspx</w:t>
      </w:r>
    </w:p>
    <w:p w:rsidR="0021637B" w:rsidRDefault="0021637B" w:rsidP="00CB0C55">
      <w:pPr>
        <w:spacing w:line="360" w:lineRule="auto"/>
        <w:jc w:val="both"/>
      </w:pPr>
    </w:p>
    <w:sectPr w:rsidR="0021637B" w:rsidSect="0021637B">
      <w:pgSz w:w="11906" w:h="16838"/>
      <w:pgMar w:top="1134" w:right="1134" w:bottom="1134" w:left="1134" w:header="0" w:footer="0" w:gutter="0"/>
      <w:cols w:space="708"/>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UvA" w:date="2019-01-21T15:15:00Z" w:initials="UvA">
    <w:p w:rsidR="00F666B2" w:rsidRDefault="00F666B2">
      <w:pPr>
        <w:pStyle w:val="CommentText"/>
      </w:pPr>
      <w:r>
        <w:rPr>
          <w:rStyle w:val="CommentReference"/>
        </w:rPr>
        <w:annotationRef/>
      </w:r>
      <w:r>
        <w:t xml:space="preserve">? is </w:t>
      </w:r>
      <w:proofErr w:type="spellStart"/>
      <w:r>
        <w:t>dit</w:t>
      </w:r>
      <w:proofErr w:type="spellEnd"/>
      <w:r>
        <w:t xml:space="preserve"> zo?</w:t>
      </w:r>
    </w:p>
  </w:comment>
  <w:comment w:id="9" w:author="UvA" w:date="2019-01-16T11:13:00Z" w:initials="UvA">
    <w:p w:rsidR="00322CEC" w:rsidRPr="00CB0C55" w:rsidRDefault="00322CEC">
      <w:pPr>
        <w:rPr>
          <w:lang w:val="nl-NL"/>
        </w:rPr>
      </w:pPr>
      <w:r>
        <w:rPr>
          <w:rFonts w:eastAsia="DejaVu Sans" w:cs="DejaVu Sans"/>
          <w:lang w:val="nl-NL" w:eastAsia="en-US" w:bidi="en-US"/>
        </w:rPr>
        <w:t xml:space="preserve">Nog even over </w:t>
      </w:r>
      <w:proofErr w:type="spellStart"/>
      <w:r>
        <w:rPr>
          <w:rFonts w:eastAsia="DejaVu Sans" w:cs="DejaVu Sans"/>
          <w:lang w:val="nl-NL" w:eastAsia="en-US" w:bidi="en-US"/>
        </w:rPr>
        <w:t>an</w:t>
      </w:r>
      <w:proofErr w:type="spellEnd"/>
      <w:r>
        <w:rPr>
          <w:rFonts w:eastAsia="DejaVu Sans" w:cs="DejaVu Sans"/>
          <w:lang w:val="nl-NL" w:eastAsia="en-US" w:bidi="en-US"/>
        </w:rPr>
        <w:t xml:space="preserve"> denken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7B"/>
    <w:rsid w:val="0021637B"/>
    <w:rsid w:val="00322CEC"/>
    <w:rsid w:val="00B4560D"/>
    <w:rsid w:val="00CB0C55"/>
    <w:rsid w:val="00E760DC"/>
    <w:rsid w:val="00F666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170491">
      <w:bodyDiv w:val="1"/>
      <w:marLeft w:val="0"/>
      <w:marRight w:val="0"/>
      <w:marTop w:val="0"/>
      <w:marBottom w:val="0"/>
      <w:divBdr>
        <w:top w:val="none" w:sz="0" w:space="0" w:color="auto"/>
        <w:left w:val="none" w:sz="0" w:space="0" w:color="auto"/>
        <w:bottom w:val="none" w:sz="0" w:space="0" w:color="auto"/>
        <w:right w:val="none" w:sz="0" w:space="0" w:color="auto"/>
      </w:divBdr>
    </w:div>
    <w:div w:id="270861272">
      <w:bodyDiv w:val="1"/>
      <w:marLeft w:val="0"/>
      <w:marRight w:val="0"/>
      <w:marTop w:val="0"/>
      <w:marBottom w:val="0"/>
      <w:divBdr>
        <w:top w:val="none" w:sz="0" w:space="0" w:color="auto"/>
        <w:left w:val="none" w:sz="0" w:space="0" w:color="auto"/>
        <w:bottom w:val="none" w:sz="0" w:space="0" w:color="auto"/>
        <w:right w:val="none" w:sz="0" w:space="0" w:color="auto"/>
      </w:divBdr>
    </w:div>
    <w:div w:id="280113360">
      <w:bodyDiv w:val="1"/>
      <w:marLeft w:val="0"/>
      <w:marRight w:val="0"/>
      <w:marTop w:val="0"/>
      <w:marBottom w:val="0"/>
      <w:divBdr>
        <w:top w:val="none" w:sz="0" w:space="0" w:color="auto"/>
        <w:left w:val="none" w:sz="0" w:space="0" w:color="auto"/>
        <w:bottom w:val="none" w:sz="0" w:space="0" w:color="auto"/>
        <w:right w:val="none" w:sz="0" w:space="0" w:color="auto"/>
      </w:divBdr>
    </w:div>
    <w:div w:id="317196871">
      <w:bodyDiv w:val="1"/>
      <w:marLeft w:val="0"/>
      <w:marRight w:val="0"/>
      <w:marTop w:val="0"/>
      <w:marBottom w:val="0"/>
      <w:divBdr>
        <w:top w:val="none" w:sz="0" w:space="0" w:color="auto"/>
        <w:left w:val="none" w:sz="0" w:space="0" w:color="auto"/>
        <w:bottom w:val="none" w:sz="0" w:space="0" w:color="auto"/>
        <w:right w:val="none" w:sz="0" w:space="0" w:color="auto"/>
      </w:divBdr>
    </w:div>
    <w:div w:id="586690939">
      <w:bodyDiv w:val="1"/>
      <w:marLeft w:val="0"/>
      <w:marRight w:val="0"/>
      <w:marTop w:val="0"/>
      <w:marBottom w:val="0"/>
      <w:divBdr>
        <w:top w:val="none" w:sz="0" w:space="0" w:color="auto"/>
        <w:left w:val="none" w:sz="0" w:space="0" w:color="auto"/>
        <w:bottom w:val="none" w:sz="0" w:space="0" w:color="auto"/>
        <w:right w:val="none" w:sz="0" w:space="0" w:color="auto"/>
      </w:divBdr>
    </w:div>
    <w:div w:id="721095471">
      <w:bodyDiv w:val="1"/>
      <w:marLeft w:val="0"/>
      <w:marRight w:val="0"/>
      <w:marTop w:val="0"/>
      <w:marBottom w:val="0"/>
      <w:divBdr>
        <w:top w:val="none" w:sz="0" w:space="0" w:color="auto"/>
        <w:left w:val="none" w:sz="0" w:space="0" w:color="auto"/>
        <w:bottom w:val="none" w:sz="0" w:space="0" w:color="auto"/>
        <w:right w:val="none" w:sz="0" w:space="0" w:color="auto"/>
      </w:divBdr>
    </w:div>
    <w:div w:id="818420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enterdata.nl/en/databank/dhs-data-access" TargetMode="External"/><Relationship Id="rId4" Type="http://schemas.openxmlformats.org/officeDocument/2006/relationships/settings" Target="settings.xml"/><Relationship Id="rId9" Type="http://schemas.openxmlformats.org/officeDocument/2006/relationships/hyperlink" Target="https://www.dhsdata.nl/site/users/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6EAD2-1742-4602-9ACA-9E31B6534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21</Pages>
  <Words>6364</Words>
  <Characters>36275</Characters>
  <Application>Microsoft Office Word</Application>
  <DocSecurity>0</DocSecurity>
  <Lines>302</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van Amsterdam</Company>
  <LinksUpToDate>false</LinksUpToDate>
  <CharactersWithSpaces>42554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3</cp:revision>
  <cp:lastPrinted>2019-01-18T08:54:00Z</cp:lastPrinted>
  <dcterms:created xsi:type="dcterms:W3CDTF">2019-01-21T13:52:00Z</dcterms:created>
  <dcterms:modified xsi:type="dcterms:W3CDTF">2019-01-21T14:23:00Z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