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7B" w:rsidRDefault="00CB0C55" w:rsidP="00CB0C55">
      <w:pPr>
        <w:spacing w:line="360" w:lineRule="auto"/>
        <w:jc w:val="both"/>
      </w:pPr>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21637B" w:rsidRDefault="0021637B" w:rsidP="00CB0C55">
      <w:pPr>
        <w:spacing w:line="360" w:lineRule="auto"/>
        <w:jc w:val="both"/>
        <w:rPr>
          <w:b/>
          <w:bCs/>
          <w:color w:val="000000"/>
          <w:highlight w:val="white"/>
        </w:rPr>
      </w:pP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Introduction</w:t>
      </w:r>
      <w:r>
        <w:rPr>
          <w:b/>
          <w:bCs/>
          <w:color w:val="000000"/>
          <w:highlight w:val="white"/>
        </w:rPr>
        <w:t>:</w:t>
      </w:r>
    </w:p>
    <w:p w:rsidR="0021637B" w:rsidRDefault="00CB0C55" w:rsidP="00CB0C55">
      <w:pPr>
        <w:spacing w:line="360" w:lineRule="auto"/>
        <w:jc w:val="both"/>
      </w:pPr>
      <w:r>
        <w:t>The positive correlation between health and wealth has been shown many times. Pollack et al. (2007)</w:t>
      </w:r>
      <w:r>
        <w:rPr>
          <w:rFonts w:ascii="Times New Roman" w:hAnsi="Times New Roman" w:cs="Times New Roman"/>
        </w:rPr>
        <w:t>⁠</w:t>
      </w:r>
      <w:r>
        <w:t xml:space="preserve">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ascii="Times New Roman" w:hAnsi="Times New Roman" w:cs="Times New Roman"/>
        </w:rPr>
        <w:t>⁠</w:t>
      </w:r>
      <w:r>
        <w:t>.</w:t>
      </w:r>
    </w:p>
    <w:p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w:t>
      </w:r>
      <w:r>
        <w:rPr>
          <w:rFonts w:ascii="Times New Roman" w:hAnsi="Times New Roman" w:cs="Times New Roman"/>
        </w:rPr>
        <w:t>⁠</w:t>
      </w:r>
      <w:r>
        <w:t xml:space="preserve"> point out, </w:t>
      </w:r>
      <w:r>
        <w:rPr>
          <w:rFonts w:ascii="Times New Roman" w:hAnsi="Times New Roman" w:cs="Times New Roman"/>
        </w:rPr>
        <w:t>“</w:t>
      </w:r>
      <w:r>
        <w:t xml:space="preserve">Wealth in particular is not directly affected by changes in </w:t>
      </w:r>
      <w:proofErr w:type="spellStart"/>
      <w:r>
        <w:t>labour</w:t>
      </w:r>
      <w:proofErr w:type="spellEnd"/>
      <w:r>
        <w:t xml:space="preserve"> market participation that may radically alter the current income level</w:t>
      </w:r>
      <w:r>
        <w:rPr>
          <w:rFonts w:ascii="Times New Roman" w:hAnsi="Times New Roman" w:cs="Times New Roman"/>
        </w:rPr>
        <w:t>”</w:t>
      </w:r>
      <w:r>
        <w:t xml:space="preserve">. This is important </w:t>
      </w:r>
      <w:r>
        <w:rPr>
          <w:rFonts w:ascii="Times New Roman" w:hAnsi="Times New Roman" w:cs="Times New Roman"/>
        </w:rPr>
        <w:t>“…</w:t>
      </w:r>
      <w:r>
        <w:t xml:space="preserve">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rPr>
          <w:rFonts w:ascii="Times New Roman" w:hAnsi="Times New Roman" w:cs="Times New Roman"/>
        </w:rPr>
        <w:t>⁠</w:t>
      </w:r>
      <w:r>
        <w:t>. They find that wealth is highly relevant in explaining health.</w:t>
      </w:r>
    </w:p>
    <w:p w:rsidR="0021637B" w:rsidRDefault="00CB0C55" w:rsidP="00CB0C55">
      <w:pPr>
        <w:spacing w:line="360" w:lineRule="auto"/>
        <w:jc w:val="both"/>
      </w:pPr>
      <w:r>
        <w:tab/>
        <w:t xml:space="preserve">Even though the correlation between health and wealth is researched </w:t>
      </w:r>
      <w:proofErr w:type="spellStart"/>
      <w:r>
        <w:t>alot</w:t>
      </w:r>
      <w:proofErr w:type="spellEnd"/>
      <w:r>
        <w:t xml:space="preserve"> and a majority of these researches find positive results, the body of literature </w:t>
      </w:r>
      <w:proofErr w:type="spellStart"/>
      <w:r>
        <w:t>adressing</w:t>
      </w:r>
      <w:proofErr w:type="spellEnd"/>
      <w:r>
        <w:t xml:space="preserve"> the causality between health and wealth is smaller and does find mixed results. As Meer et al. (2003) point out, more research needs to be done on the subject of direction of causality between health and wealth. This is especially important for public policy.</w:t>
      </w:r>
    </w:p>
    <w:p w:rsidR="0021637B" w:rsidRDefault="00CB0C55" w:rsidP="00CB0C55">
      <w:pPr>
        <w:spacing w:line="360" w:lineRule="auto"/>
        <w:jc w:val="both"/>
      </w:pPr>
      <w:r>
        <w:tab/>
        <w:t>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If there is a causal effect from wealth to health, the health of the home owners should thus react differently to the financial crisis than the health of the tenants. The wealth of a person will be defined as the net worth of a person, i.e. all their assets minus their liabilities. Each person will be placed into one of two categories, i.e. healthy (1) or not healthy (0), based on their self-assessed health.</w:t>
      </w:r>
    </w:p>
    <w:p w:rsidR="0021637B" w:rsidRDefault="00CB0C55" w:rsidP="00CB0C55">
      <w:pPr>
        <w:spacing w:line="360" w:lineRule="auto"/>
        <w:jc w:val="both"/>
      </w:pPr>
      <w:r>
        <w:lastRenderedPageBreak/>
        <w:tab/>
        <w:t xml:space="preserve">To try to find the causal relationship between health and wealth the data from the DNB Household Survey (DHS) from </w:t>
      </w:r>
      <w:proofErr w:type="spellStart"/>
      <w:r>
        <w:t>CentERdata</w:t>
      </w:r>
      <w:proofErr w:type="spellEnd"/>
      <w:r>
        <w:t xml:space="preserve"> will be used. This survey is described as  a data set allowing to study both the psychological as well as the economic aspects of financial behavior. The survey was first launched  in 1993. The data has information of health, housing, possessions and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21637B" w:rsidRDefault="00CB0C55" w:rsidP="00CB0C55">
      <w:pPr>
        <w:spacing w:line="360" w:lineRule="auto"/>
        <w:jc w:val="both"/>
      </w:pPr>
      <w:r>
        <w:rPr>
          <w:color w:val="000000"/>
          <w:highlight w:val="white"/>
        </w:rPr>
        <w:tab/>
      </w:r>
      <w:commentRangeStart w:id="0"/>
      <w:r>
        <w:rPr>
          <w:color w:val="000000"/>
          <w:highlight w:val="white"/>
        </w:rPr>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The sixth chapter will present the results </w:t>
      </w:r>
      <w:proofErr w:type="spellStart"/>
      <w:r>
        <w:rPr>
          <w:color w:val="000000"/>
          <w:highlight w:val="white"/>
        </w:rPr>
        <w:t>form</w:t>
      </w:r>
      <w:proofErr w:type="spellEnd"/>
      <w:r>
        <w:rPr>
          <w:color w:val="000000"/>
          <w:highlight w:val="white"/>
        </w:rPr>
        <w:t xml:space="preserve"> several robustness tests and the final chapter will discuss the results and improvements for this study. </w:t>
      </w:r>
      <w:commentRangeEnd w:id="0"/>
      <w:r w:rsidR="002624B1">
        <w:rPr>
          <w:rStyle w:val="CommentReference"/>
          <w:rFonts w:cs="Mangal"/>
        </w:rPr>
        <w:commentReference w:id="0"/>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Related literature:</w:t>
      </w:r>
    </w:p>
    <w:p w:rsidR="0021637B" w:rsidRDefault="00CB0C55" w:rsidP="00CB0C55">
      <w:pPr>
        <w:spacing w:line="360" w:lineRule="auto"/>
        <w:jc w:val="both"/>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1" w:name="_GoBack1"/>
      <w:bookmarkEnd w:id="1"/>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21637B" w:rsidRDefault="00CB0C55" w:rsidP="00CB0C55">
      <w:pPr>
        <w:spacing w:line="360" w:lineRule="auto"/>
        <w:jc w:val="both"/>
      </w:pPr>
      <w:r>
        <w:rPr>
          <w:color w:val="000000"/>
          <w:highlight w:val="white"/>
        </w:rPr>
        <w:tab/>
        <w:t xml:space="preserve">There are however some studies that do address causality in the health wealth connection and they mostly find insignificant causal effects. Meer et al.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et al.,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w:t>
      </w:r>
      <w:r>
        <w:rPr>
          <w:color w:val="000000"/>
          <w:highlight w:val="white"/>
        </w:rPr>
        <w:lastRenderedPageBreak/>
        <w:t>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21637B" w:rsidRDefault="00CB0C55" w:rsidP="00CB0C55">
      <w:pPr>
        <w:spacing w:line="360" w:lineRule="auto"/>
        <w:jc w:val="both"/>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21637B" w:rsidRDefault="00CB0C55" w:rsidP="00CB0C55">
      <w:pPr>
        <w:spacing w:line="360" w:lineRule="auto"/>
        <w:jc w:val="both"/>
      </w:pPr>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21637B" w:rsidRDefault="00CB0C55" w:rsidP="00CB0C55">
      <w:pPr>
        <w:spacing w:line="360" w:lineRule="auto"/>
        <w:jc w:val="both"/>
      </w:pPr>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rsidR="0021637B" w:rsidRDefault="00CB0C55" w:rsidP="00CB0C55">
      <w:pPr>
        <w:spacing w:line="360" w:lineRule="auto"/>
        <w:jc w:val="both"/>
      </w:pPr>
      <w:r>
        <w:rPr>
          <w:color w:val="000000"/>
          <w:highlight w:val="white"/>
        </w:rPr>
        <w:t>We control for unobserved heterogeneity by applying fixed-effects methods and furthermore use a subsample of constantly employed individuals plus lagged debt variables to reduce problems of reverse causality</w:t>
      </w:r>
    </w:p>
    <w:p w:rsidR="0021637B" w:rsidRPr="00CB0C55" w:rsidRDefault="00CB0C55" w:rsidP="00CB0C55">
      <w:pPr>
        <w:spacing w:line="360" w:lineRule="auto"/>
        <w:jc w:val="both"/>
      </w:pPr>
      <w:r>
        <w:rPr>
          <w:color w:val="000000"/>
          <w:highlight w:val="white"/>
        </w:rPr>
        <w:tab/>
      </w:r>
      <w:bookmarkStart w:id="2" w:name="__UnoMark__2185_363168767"/>
      <w:bookmarkStart w:id="3" w:name="__UnoMark__2196_363168767"/>
      <w:bookmarkStart w:id="4" w:name="__UnoMark__2189_363168767"/>
      <w:bookmarkStart w:id="5" w:name="__UnoMark__2194_363168767"/>
      <w:proofErr w:type="spellStart"/>
      <w:r>
        <w:rPr>
          <w:color w:val="000000"/>
          <w:highlight w:val="white"/>
        </w:rPr>
        <w:t>Keese</w:t>
      </w:r>
      <w:proofErr w:type="spellEnd"/>
      <w:r>
        <w:rPr>
          <w:color w:val="000000"/>
          <w:highlight w:val="white"/>
        </w:rPr>
        <w:t xml:space="preserve"> and Schmitz (2014)</w:t>
      </w:r>
      <w:bookmarkEnd w:id="2"/>
      <w:bookmarkEnd w:id="3"/>
      <w:bookmarkEnd w:id="4"/>
      <w:bookmarkEnd w:id="5"/>
      <w:r>
        <w:rPr>
          <w:color w:val="000000"/>
          <w:highlight w:val="white"/>
        </w:rPr>
        <w:t xml:space="preserve">⁠ find a significant causal effect between indebtedness and worse physical and mental health. They control for the unobserved heterogeneity between health and </w:t>
      </w:r>
      <w:r>
        <w:rPr>
          <w:color w:val="000000"/>
          <w:highlight w:val="white"/>
        </w:rPr>
        <w:lastRenderedPageBreak/>
        <w:t>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rsidR="002624B1" w:rsidRDefault="002624B1" w:rsidP="00CB0C55">
      <w:pPr>
        <w:spacing w:line="360" w:lineRule="auto"/>
        <w:jc w:val="both"/>
        <w:rPr>
          <w:b/>
          <w:bCs/>
          <w:color w:val="000000"/>
          <w:sz w:val="28"/>
          <w:highlight w:val="white"/>
        </w:rPr>
      </w:pPr>
    </w:p>
    <w:p w:rsidR="0021637B" w:rsidRDefault="00CB0C55" w:rsidP="00CB0C55">
      <w:pPr>
        <w:spacing w:line="360" w:lineRule="auto"/>
        <w:jc w:val="both"/>
      </w:pPr>
      <w:r>
        <w:rPr>
          <w:b/>
          <w:bCs/>
          <w:color w:val="000000"/>
          <w:sz w:val="28"/>
          <w:highlight w:val="white"/>
        </w:rPr>
        <w:t>Institutional section:</w:t>
      </w:r>
    </w:p>
    <w:p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the paying of salary for a sick person with and without a permanent contract.</w:t>
      </w:r>
    </w:p>
    <w:p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 Someone can also receive a “</w:t>
      </w:r>
      <w:proofErr w:type="spellStart"/>
      <w:r>
        <w:t>zorgtoeslag</w:t>
      </w:r>
      <w:proofErr w:type="spellEnd"/>
      <w:r>
        <w:t>”, a benefit to pay your</w:t>
      </w:r>
      <w:r w:rsidR="00165674">
        <w:t xml:space="preserve"> health</w:t>
      </w:r>
      <w:r>
        <w:t xml:space="preserve"> insurance</w:t>
      </w:r>
      <w:r w:rsidR="00165674">
        <w:t>,</w:t>
      </w:r>
      <w:r>
        <w:t xml:space="preserve"> if you are eligible. Therefore, everyone has, and can pay for insurance. </w:t>
      </w:r>
    </w:p>
    <w:p w:rsidR="0021637B" w:rsidRDefault="00CB0C55" w:rsidP="00CB0C55">
      <w:pPr>
        <w:spacing w:line="360" w:lineRule="auto"/>
        <w:jc w:val="both"/>
      </w:pPr>
      <w:r>
        <w:tab/>
        <w:t xml:space="preserve">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be </w:t>
      </w:r>
      <w:proofErr w:type="spellStart"/>
      <w:r>
        <w:t>payed</w:t>
      </w:r>
      <w:proofErr w:type="spellEnd"/>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Therefore, someone who has an income from working but is unable to keep working due to poor health will keep roughly the same income.</w:t>
      </w:r>
    </w:p>
    <w:p w:rsidR="0021637B" w:rsidRDefault="00CB0C55" w:rsidP="00CB0C55">
      <w:pPr>
        <w:spacing w:line="360" w:lineRule="auto"/>
        <w:jc w:val="both"/>
      </w:pPr>
      <w: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rsidR="0021637B" w:rsidRDefault="00CB0C55" w:rsidP="00CB0C55">
      <w:pPr>
        <w:spacing w:line="360" w:lineRule="auto"/>
        <w:jc w:val="both"/>
      </w:pPr>
      <w:r>
        <w:lastRenderedPageBreak/>
        <w:tab/>
        <w:t>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rsidR="0021637B" w:rsidRDefault="00CB0C55" w:rsidP="00CB0C55">
      <w:pPr>
        <w:spacing w:line="360" w:lineRule="auto"/>
        <w:jc w:val="both"/>
      </w:pPr>
      <w:r>
        <w:tab/>
      </w:r>
    </w:p>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spacing w:line="360" w:lineRule="auto"/>
        <w:jc w:val="both"/>
        <w:rPr>
          <w:b/>
          <w:bCs/>
          <w:color w:val="000000"/>
          <w:sz w:val="28"/>
          <w:highlight w:val="white"/>
        </w:rPr>
      </w:pPr>
      <w:r>
        <w:rPr>
          <w:b/>
          <w:bCs/>
          <w:color w:val="000000"/>
          <w:sz w:val="28"/>
          <w:highlight w:val="white"/>
        </w:rPr>
        <w:t>Data</w:t>
      </w:r>
    </w:p>
    <w:p w:rsidR="0021637B" w:rsidRDefault="00CB0C55" w:rsidP="00CB0C55">
      <w:pPr>
        <w:spacing w:line="360" w:lineRule="auto"/>
        <w:jc w:val="both"/>
        <w:rPr>
          <w:rStyle w:val="Bullets"/>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Pr>
          <w:rStyle w:val="Bullets"/>
          <w:rFonts w:ascii="Arial Unicode MS" w:eastAsia="Arial Unicode MS" w:hAnsi="Arial Unicode MS" w:cs="Arial Unicode MS"/>
          <w:highlight w:val="white"/>
        </w:rPr>
        <w:t>⁠</w:t>
      </w:r>
      <w:r>
        <w:rPr>
          <w:rStyle w:val="Bullets"/>
          <w:highlight w:val="white"/>
        </w:rPr>
        <w:t xml:space="preserve"> </w:t>
      </w:r>
    </w:p>
    <w:p w:rsidR="0021637B" w:rsidRDefault="00CB0C55" w:rsidP="00CB0C55">
      <w:pPr>
        <w:spacing w:line="360" w:lineRule="auto"/>
        <w:jc w:val="both"/>
      </w:pPr>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21637B" w:rsidRDefault="00CB0C55" w:rsidP="00CB0C55">
      <w:pPr>
        <w:spacing w:line="360" w:lineRule="auto"/>
        <w:jc w:val="both"/>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 1997)</w:t>
      </w:r>
      <w:r>
        <w:rPr>
          <w:rFonts w:ascii="Times New Roman" w:hAnsi="Times New Roman" w:cs="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rsidR="0021637B" w:rsidRDefault="00CB0C55" w:rsidP="00CB0C55">
      <w:pPr>
        <w:spacing w:line="360" w:lineRule="auto"/>
        <w:jc w:val="both"/>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21637B" w:rsidRDefault="00CB0C55" w:rsidP="00CB0C55">
      <w:pPr>
        <w:spacing w:line="360" w:lineRule="auto"/>
        <w:jc w:val="both"/>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rsidR="0021637B" w:rsidRDefault="0021637B" w:rsidP="00CB0C55">
      <w:pPr>
        <w:spacing w:line="360" w:lineRule="auto"/>
        <w:jc w:val="both"/>
        <w:rPr>
          <w:color w:val="000000"/>
          <w:spacing w:val="15"/>
          <w:highlight w:val="white"/>
        </w:rPr>
      </w:pPr>
    </w:p>
    <w:p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rPr>
            </w:pPr>
            <w:r>
              <w:rPr>
                <w:b w:val="0"/>
                <w:color w:val="000000"/>
                <w:spacing w:val="15"/>
              </w:rPr>
              <w:lastRenderedPageBreak/>
              <w:t>business equity self-employed</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21637B" w:rsidRDefault="0021637B" w:rsidP="00CB0C55">
            <w:pPr>
              <w:spacing w:line="360" w:lineRule="auto"/>
              <w:jc w:val="both"/>
              <w:rPr>
                <w:color w:val="31849B" w:themeColor="accent5" w:themeShade="BF"/>
                <w:spacing w:val="15"/>
              </w:rPr>
            </w:pPr>
          </w:p>
        </w:tc>
        <w:tc>
          <w:tcPr>
            <w:tcW w:w="4926" w:type="dxa"/>
            <w:tcBorders>
              <w:top w:val="nil"/>
            </w:tcBorders>
          </w:tcPr>
          <w:p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21637B" w:rsidRDefault="0021637B" w:rsidP="00CB0C55">
      <w:pPr>
        <w:spacing w:line="360" w:lineRule="auto"/>
        <w:jc w:val="both"/>
        <w:rPr>
          <w:color w:val="000000"/>
          <w:spacing w:val="15"/>
          <w:highlight w:val="white"/>
        </w:rPr>
      </w:pPr>
    </w:p>
    <w:p w:rsidR="0021637B" w:rsidRDefault="0021637B" w:rsidP="00CB0C55">
      <w:pPr>
        <w:spacing w:line="360" w:lineRule="auto"/>
        <w:jc w:val="both"/>
        <w:rPr>
          <w:color w:val="000000"/>
          <w:spacing w:val="15"/>
          <w:highlight w:val="white"/>
        </w:rPr>
      </w:pPr>
    </w:p>
    <w:p w:rsidR="0021637B" w:rsidRDefault="00CB0C55" w:rsidP="00CB0C55">
      <w:pPr>
        <w:keepNext/>
        <w:spacing w:line="360" w:lineRule="auto"/>
        <w:jc w:val="both"/>
      </w:pPr>
      <w:r>
        <w:rPr>
          <w:noProof/>
          <w:lang w:eastAsia="en-US" w:bidi="ar-SA"/>
        </w:rPr>
        <w:drawing>
          <wp:inline distT="0" distB="0" distL="0" distR="0">
            <wp:extent cx="4972050" cy="488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4972050" cy="4886325"/>
                    </a:xfrm>
                    <a:prstGeom prst="rect">
                      <a:avLst/>
                    </a:prstGeom>
                  </pic:spPr>
                </pic:pic>
              </a:graphicData>
            </a:graphic>
          </wp:inline>
        </w:drawing>
      </w:r>
    </w:p>
    <w:p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Netherlands. Source: CBS</w:t>
      </w:r>
    </w:p>
    <w:p w:rsidR="0021637B" w:rsidRDefault="0021637B" w:rsidP="00CB0C55">
      <w:pPr>
        <w:spacing w:line="360" w:lineRule="auto"/>
        <w:jc w:val="both"/>
        <w:rPr>
          <w:color w:val="000000"/>
          <w:spacing w:val="15"/>
          <w:highlight w:val="white"/>
        </w:rPr>
      </w:pPr>
    </w:p>
    <w:p w:rsidR="0021637B" w:rsidRDefault="00CB0C55" w:rsidP="00CB0C55">
      <w:pPr>
        <w:spacing w:line="360" w:lineRule="auto"/>
        <w:jc w:val="both"/>
      </w:pPr>
      <w:r>
        <w:rPr>
          <w:highlight w:val="white"/>
        </w:rPr>
        <w:t>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w:t>
      </w:r>
      <w:r w:rsidR="00165674">
        <w:rPr>
          <w:highlight w:val="white"/>
        </w:rPr>
        <w:t xml:space="preserve">. </w:t>
      </w:r>
      <w:r>
        <w:rPr>
          <w:highlight w:val="white"/>
        </w:rPr>
        <w:t xml:space="preserve">Because this paper is interested in the effect of the difference in housing prices, housing prices of single years will be used instead of averages. When </w:t>
      </w:r>
      <w:r>
        <w:rPr>
          <w:highlight w:val="white"/>
        </w:rPr>
        <w:lastRenderedPageBreak/>
        <w:t>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This will make the effect of the difference less noticeable. </w:t>
      </w:r>
    </w:p>
    <w:p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2</w:t>
      </w:r>
      <w:r w:rsidR="0021637B">
        <w:fldChar w:fldCharType="end"/>
      </w:r>
      <w:r>
        <w:t xml:space="preserve"> distribution of the control and treatment groups</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21637B" w:rsidRDefault="00CB0C55" w:rsidP="00CB0C55">
      <w:pPr>
        <w:spacing w:line="360" w:lineRule="auto"/>
        <w:jc w:val="both"/>
      </w:pPr>
      <w: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rsidR="0021637B" w:rsidRDefault="00CB0C55" w:rsidP="00CB0C55">
      <w:pPr>
        <w:spacing w:line="360" w:lineRule="auto"/>
        <w:jc w:val="both"/>
      </w:pPr>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3</w:t>
      </w:r>
      <w:r w:rsidR="0021637B">
        <w:fldChar w:fldCharType="end"/>
      </w:r>
      <w:r w:rsidR="00B4560D">
        <w:t>:</w:t>
      </w:r>
      <w:r>
        <w:t xml:space="preserve"> summary statistics 2007</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21637B" w:rsidRDefault="0021637B" w:rsidP="00CB0C55">
      <w:pPr>
        <w:spacing w:line="360" w:lineRule="auto"/>
        <w:jc w:val="both"/>
        <w:rPr>
          <w:b/>
          <w:bCs/>
          <w:color w:val="000000"/>
          <w:spacing w:val="15"/>
          <w:highlight w:val="white"/>
        </w:rPr>
      </w:pPr>
    </w:p>
    <w:p w:rsidR="0021637B" w:rsidRDefault="0021637B" w:rsidP="00CB0C55">
      <w:pPr>
        <w:spacing w:line="360" w:lineRule="auto"/>
        <w:jc w:val="both"/>
        <w:rPr>
          <w:b/>
          <w:bCs/>
          <w:color w:val="000000"/>
          <w:spacing w:val="15"/>
          <w:highlight w:val="white"/>
        </w:rPr>
      </w:pPr>
    </w:p>
    <w:p w:rsidR="0021637B" w:rsidRDefault="00CB0C55" w:rsidP="00CB0C55">
      <w:pPr>
        <w:spacing w:line="360" w:lineRule="auto"/>
        <w:jc w:val="both"/>
        <w:rPr>
          <w:sz w:val="28"/>
        </w:rPr>
      </w:pPr>
      <w:r>
        <w:rPr>
          <w:b/>
          <w:bCs/>
          <w:color w:val="000000"/>
          <w:spacing w:val="15"/>
          <w:sz w:val="28"/>
          <w:highlight w:val="white"/>
        </w:rPr>
        <w:t>Methods</w:t>
      </w:r>
    </w:p>
    <w:p w:rsidR="0021637B" w:rsidRDefault="00CB0C55" w:rsidP="00CB0C55">
      <w:pPr>
        <w:spacing w:line="360" w:lineRule="auto"/>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21637B" w:rsidRDefault="00CB0C55" w:rsidP="00CB0C55">
      <w:pPr>
        <w:spacing w:line="360" w:lineRule="auto"/>
        <w:jc w:val="both"/>
      </w:pPr>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w:t>
      </w:r>
      <w:r>
        <w:lastRenderedPageBreak/>
        <w:t>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21637B" w:rsidRDefault="00CB0C55" w:rsidP="00CB0C55">
      <w:pPr>
        <w:spacing w:line="360" w:lineRule="auto"/>
        <w:jc w:val="both"/>
      </w:pPr>
      <w: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w:t>
      </w:r>
      <w:r w:rsidR="00165674">
        <w:t>perfect</w:t>
      </w:r>
      <w:r>
        <w:t xml:space="preserve">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21637B" w:rsidRDefault="00CB0C55" w:rsidP="00CB0C55">
      <w:pPr>
        <w:spacing w:line="360" w:lineRule="auto"/>
        <w:jc w:val="both"/>
      </w:pPr>
      <w:r>
        <w:tab/>
      </w:r>
      <w:r>
        <w:tab/>
      </w:r>
    </w:p>
    <w:p w:rsidR="0021637B" w:rsidRDefault="00CB0C55" w:rsidP="00CB0C55">
      <w:pPr>
        <w:spacing w:line="360" w:lineRule="auto"/>
        <w:jc w:val="both"/>
      </w:pPr>
      <w:r>
        <w:t>The following regression model will be used: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A680B" w:rsidP="003A680B">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6"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6"/>
            <w:r>
              <w:t>)</w:t>
            </w:r>
          </w:p>
        </w:tc>
      </w:tr>
    </w:tbl>
    <w:p w:rsidR="0021637B" w:rsidRDefault="0021637B" w:rsidP="00CB0C55">
      <w:pPr>
        <w:spacing w:line="360" w:lineRule="auto"/>
        <w:jc w:val="both"/>
      </w:pPr>
    </w:p>
    <w:p w:rsidR="0021637B" w:rsidRDefault="00CB0C55" w:rsidP="00CB0C55">
      <w:pPr>
        <w:spacing w:line="360" w:lineRule="auto"/>
        <w:jc w:val="both"/>
      </w:pPr>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r w:rsidR="00AD4CC2">
        <w:t xml:space="preserve"> The coefficients will be estimated with an OLS regression.</w:t>
      </w:r>
    </w:p>
    <w:p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
              <m:eqArr>
                <m:eqArrPr>
                  <m:ctrlPr>
                    <w:rPr>
                      <w:rFonts w:ascii="Cambria Math" w:hAnsi="Cambria Math"/>
                    </w:rPr>
                  </m:ctrlPr>
                </m:eqArrPr>
                <m:e>
                  <m:r>
                    <w:rPr>
                      <w:rFonts w:ascii="Cambria Math" w:hAnsi="Cambria Math"/>
                    </w:rPr>
                    <m:t>0i&gt;E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rsidR="0021637B" w:rsidRDefault="00CB0C55" w:rsidP="00CB0C55">
      <w:pPr>
        <w:spacing w:line="360" w:lineRule="auto"/>
        <w:jc w:val="both"/>
      </w:pPr>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7"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7"/>
            <w:r>
              <w:t>)</w:t>
            </w:r>
          </w:p>
        </w:tc>
      </w:tr>
    </w:tbl>
    <w:p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21637B" w:rsidRDefault="00CB0C55" w:rsidP="00CB0C55">
      <w:pPr>
        <w:spacing w:line="360" w:lineRule="auto"/>
        <w:jc w:val="both"/>
      </w:pPr>
      <w:r>
        <w:t>Therefore we can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tc>
          <w:tcPr>
            <w:tcW w:w="662" w:type="dxa"/>
            <w:tcBorders>
              <w:top w:val="nil"/>
              <w:left w:val="nil"/>
              <w:bottom w:val="nil"/>
              <w:right w:val="nil"/>
            </w:tcBorders>
            <w:shd w:val="clear" w:color="auto" w:fill="auto"/>
          </w:tcPr>
          <w:p w:rsidR="0021637B" w:rsidRDefault="0021637B" w:rsidP="00CB0C55">
            <w:pPr>
              <w:spacing w:line="360" w:lineRule="auto"/>
              <w:jc w:val="both"/>
            </w:pPr>
          </w:p>
        </w:tc>
        <w:tc>
          <w:tcPr>
            <w:tcW w:w="8210" w:type="dxa"/>
            <w:tcBorders>
              <w:top w:val="nil"/>
              <w:left w:val="nil"/>
              <w:bottom w:val="nil"/>
              <w:right w:val="nil"/>
            </w:tcBorders>
            <w:shd w:val="clear" w:color="auto" w:fill="auto"/>
          </w:tcPr>
          <w:p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rsidR="0021637B" w:rsidRDefault="00CB0C55" w:rsidP="00CB0C55">
      <w:pPr>
        <w:spacing w:line="360" w:lineRule="auto"/>
        <w:jc w:val="both"/>
      </w:pPr>
      <w:r>
        <w:t>Therefore, the population difference-in-differences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rsidR="0021637B" w:rsidRDefault="00CB0C55" w:rsidP="00CB0C55">
      <w:pPr>
        <w:spacing w:line="360" w:lineRule="auto"/>
        <w:jc w:val="both"/>
      </w:pPr>
      <w:r>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rsidR="0021637B" w:rsidRDefault="0021637B" w:rsidP="00CB0C55">
            <w:pPr>
              <w:spacing w:line="360" w:lineRule="auto"/>
              <w:jc w:val="both"/>
            </w:pPr>
          </w:p>
        </w:tc>
      </w:tr>
    </w:tbl>
    <w:p w:rsidR="0021637B" w:rsidRDefault="00C01559"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rsidR="0021637B" w:rsidRDefault="00CB0C55" w:rsidP="00CB0C55">
      <w:pPr>
        <w:spacing w:line="360" w:lineRule="auto"/>
        <w:jc w:val="both"/>
      </w:pPr>
      <w:r>
        <w:t>So this is the difference in differences between average health before and after the treatment of the home owners and the tenants.</w:t>
      </w:r>
    </w:p>
    <w:p w:rsidR="0021637B" w:rsidRDefault="00CB0C55" w:rsidP="00CB0C55">
      <w:pPr>
        <w:spacing w:line="360" w:lineRule="auto"/>
        <w:jc w:val="both"/>
      </w:pPr>
      <w:r>
        <w:tab/>
        <w:t>Because characteristics might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21637B" w:rsidRDefault="00CB0C55" w:rsidP="00CB0C55">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 Gender is a dummy variable where 1 represents male and 0 represent female. Education is also a dummy variable where 1 represents highly educated and 0 not highly educated. Highly educated are people who have finished an education at the HBO lever or university. </w:t>
      </w:r>
    </w:p>
    <w:p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rsidR="0021637B" w:rsidRPr="003A680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3A680B" w:rsidRDefault="003A680B" w:rsidP="00CB0C55">
      <w:pPr>
        <w:spacing w:line="360" w:lineRule="auto"/>
        <w:jc w:val="both"/>
        <w:rPr>
          <w:b/>
          <w:sz w:val="28"/>
          <w:szCs w:val="28"/>
        </w:rPr>
      </w:pPr>
      <w:r>
        <w:lastRenderedPageBreak/>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individuals intercept. This will cancel out in the fixed effects model regression, therefore reducing the error term.</w:t>
      </w:r>
    </w:p>
    <w:p w:rsidR="0021637B" w:rsidRDefault="00CB0C55" w:rsidP="00CB0C55">
      <w:pPr>
        <w:spacing w:line="360" w:lineRule="auto"/>
        <w:jc w:val="both"/>
        <w:rPr>
          <w:b/>
        </w:rPr>
      </w:pPr>
      <w:r>
        <w:rPr>
          <w:b/>
          <w:sz w:val="28"/>
          <w:szCs w:val="28"/>
        </w:rPr>
        <w:t>Results</w:t>
      </w:r>
      <w:r>
        <w:rPr>
          <w:b/>
        </w:rPr>
        <w:t>:</w:t>
      </w:r>
    </w:p>
    <w:p w:rsidR="0021637B" w:rsidRDefault="0021637B" w:rsidP="00CB0C55">
      <w:pPr>
        <w:spacing w:line="360" w:lineRule="auto"/>
        <w:jc w:val="both"/>
        <w:rPr>
          <w:b/>
        </w:rPr>
      </w:pPr>
    </w:p>
    <w:p w:rsidR="0021637B" w:rsidRDefault="00CB0C55" w:rsidP="00CB0C55">
      <w:pPr>
        <w:spacing w:line="360" w:lineRule="auto"/>
        <w:jc w:val="both"/>
        <w:rPr>
          <w:b/>
        </w:rPr>
      </w:pPr>
      <w:r>
        <w:rPr>
          <w:b/>
        </w:rPr>
        <w:t>Basic OLS results</w:t>
      </w:r>
    </w:p>
    <w:p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the possible causal effect.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21637B" w:rsidRDefault="00C01559"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pStyle w:val="Caption"/>
        <w:spacing w:line="360" w:lineRule="auto"/>
        <w:jc w:val="both"/>
      </w:pPr>
    </w:p>
    <w:p w:rsidR="0021637B" w:rsidRDefault="00CB0C55" w:rsidP="00CB0C55">
      <w:pPr>
        <w:pStyle w:val="Caption"/>
        <w:spacing w:line="360" w:lineRule="auto"/>
        <w:jc w:val="both"/>
        <w:rPr>
          <w:b/>
          <w:i w:val="0"/>
        </w:rPr>
      </w:pPr>
      <w:r>
        <w:rPr>
          <w:b/>
          <w:i w:val="0"/>
        </w:rPr>
        <w:t>Difference in Difference Analysis</w:t>
      </w:r>
    </w:p>
    <w:p w:rsidR="0021637B" w:rsidRDefault="00CB0C55" w:rsidP="00CB0C55">
      <w:pPr>
        <w:spacing w:line="360" w:lineRule="auto"/>
        <w:jc w:val="both"/>
      </w:pPr>
      <w:r>
        <w:t xml:space="preserve">As pointed out before in this paper, endogeneity is a problem when considering the causality the effect of wealth on health. A number of DD analysis have been done to try to find a causal effect in the short-term and the mid-term of wealth on health. The first analyses the short term effects of wealth on health. It uses the waves from 2007 and 2013. The </w:t>
      </w:r>
      <w:r w:rsidR="00322CEC">
        <w:t>second</w:t>
      </w:r>
      <w:r>
        <w:t xml:space="preserve"> analysis also analyses the short-term effect by using the 2013 and 2017 waves. The variable of interest is DID. If this variable </w:t>
      </w:r>
      <w:r>
        <w:lastRenderedPageBreak/>
        <w:t xml:space="preserve">is significant there is a significant difference in differences and therefore implies a causal effect from wealth to health. </w:t>
      </w:r>
    </w:p>
    <w:p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(p&lt;5%)</w:t>
      </w:r>
      <w:r w:rsidR="00F666B2">
        <w:t xml:space="preserve"> DID coefficient.</w:t>
      </w:r>
    </w:p>
    <w:p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rsidR="00CB0C55" w:rsidRDefault="00CB0C55" w:rsidP="00CB0C55">
      <w:pPr>
        <w:spacing w:line="360" w:lineRule="auto"/>
        <w:jc w:val="both"/>
      </w:pPr>
      <w:r>
        <w:tab/>
        <w:t>When controlling for the other variables the s</w:t>
      </w:r>
      <w:r w:rsidR="00F666B2">
        <w:t xml:space="preserve">ignificance of the DID coefficients in both years </w:t>
      </w:r>
      <w:r>
        <w:t>disappear in both the regressions. This implies that</w:t>
      </w:r>
      <w:r w:rsidR="003F4713">
        <w:t xml:space="preserve"> in</w:t>
      </w:r>
      <w:r>
        <w:t xml:space="preserve"> </w:t>
      </w:r>
      <w:r w:rsidR="00F666B2">
        <w:t>both</w:t>
      </w:r>
      <w:r>
        <w:t xml:space="preserve"> regressions there is not a significant difference in the differences in health which is accountable to the difference in owning a house or renting a house. Therefore implying that there is not a significant causal effect of wealth on health. </w:t>
      </w:r>
      <w:commentRangeStart w:id="8"/>
      <w:r>
        <w:t>This also implies that characteristics that do affect health are not distributed equally between groups and/or that the groups have changed over time. This will have to checked robustness checks.</w:t>
      </w:r>
      <w:commentRangeEnd w:id="8"/>
      <w:r w:rsidR="00F666B2">
        <w:rPr>
          <w:rStyle w:val="CommentReference"/>
          <w:rFonts w:cs="Mangal"/>
        </w:rPr>
        <w:commentReference w:id="8"/>
      </w: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7</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rsidTr="00322CEC">
        <w:trPr>
          <w:trHeight w:val="255"/>
          <w:jc w:val="center"/>
        </w:trPr>
        <w:tc>
          <w:tcPr>
            <w:tcW w:w="1437"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gridSpan w:val="2"/>
            <w:tcBorders>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F666B2"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gridAfter w:val="2"/>
          <w:wAfter w:w="1339" w:type="dxa"/>
          <w:trHeight w:val="255"/>
          <w:jc w:val="center"/>
        </w:trPr>
        <w:tc>
          <w:tcPr>
            <w:tcW w:w="1159"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3468" w:type="dxa"/>
            <w:gridSpan w:val="5"/>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bl>
    <w:p w:rsidR="0021637B" w:rsidRDefault="00CB0C55" w:rsidP="00CB0C55">
      <w:pPr>
        <w:pStyle w:val="Caption"/>
        <w:spacing w:line="360" w:lineRule="auto"/>
        <w:jc w:val="both"/>
        <w:rPr>
          <w:i w:val="0"/>
        </w:rPr>
      </w:pPr>
      <w:r>
        <w:rPr>
          <w:i w:val="0"/>
        </w:rPr>
        <w:tab/>
        <w:t>The results from the regressions in the second group, so only observations of the same persons pre and post treatment, can be seen in table 8. There are no significant results for the DID variable. Therefore, there is no evidence that there is a causal effect from wealth on health</w:t>
      </w:r>
      <w:r w:rsidR="003F4713">
        <w:rPr>
          <w:i w:val="0"/>
        </w:rPr>
        <w:t xml:space="preserve"> in this group</w:t>
      </w:r>
      <w:r>
        <w:rPr>
          <w:i w:val="0"/>
        </w:rPr>
        <w:t>.</w:t>
      </w:r>
      <w:r w:rsidR="003F4713">
        <w:rPr>
          <w:i w:val="0"/>
        </w:rPr>
        <w:t xml:space="preserve"> Even though the error term is smaller in the results of the fixed effects model, they DID coefficient is still not significant.</w:t>
      </w:r>
      <w:r>
        <w:rPr>
          <w:i w:val="0"/>
        </w:rPr>
        <w:t xml:space="preserve"> </w:t>
      </w:r>
    </w:p>
    <w:p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8</w:t>
      </w:r>
      <w:r w:rsidR="0021637B">
        <w:fldChar w:fldCharType="end"/>
      </w:r>
      <w:r>
        <w:t>: DD results same persons</w:t>
      </w:r>
    </w:p>
    <w:tbl>
      <w:tblPr>
        <w:tblW w:w="6173" w:type="dxa"/>
        <w:jc w:val="center"/>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2320" w:type="dxa"/>
            <w:gridSpan w:val="5"/>
            <w:tcBorders>
              <w:top w:val="nil"/>
              <w:left w:val="nil"/>
              <w:bottom w:val="nil"/>
              <w:right w:val="single" w:sz="4" w:space="0" w:color="000000"/>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without fixed effects</w:t>
            </w:r>
          </w:p>
        </w:tc>
        <w:tc>
          <w:tcPr>
            <w:tcW w:w="2320" w:type="dxa"/>
            <w:gridSpan w:val="3"/>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 fixed effects</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2013 -2017</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2007-2013</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2013-2017</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VARIABLES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DID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0.0167</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-0.0204</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0.00884</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(0.0197)</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time</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-0.0155</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-0.00803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(0.0151)</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treated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0.0243*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0.0441</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(0.0276)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(0.0258)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Constant</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0.9595***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0.9410***</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0.947***</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(0.0101)</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(0.0150)</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Observations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persons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770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943</w:t>
            </w:r>
          </w:p>
        </w:tc>
      </w:tr>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0.0040</w:t>
            </w:r>
          </w:p>
        </w:tc>
        <w:tc>
          <w:tcPr>
            <w:tcW w:w="1160" w:type="dxa"/>
            <w:gridSpan w:val="3"/>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0.0061</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w:t>
            </w:r>
          </w:p>
        </w:tc>
        <w:tc>
          <w:tcPr>
            <w:tcW w:w="1160" w:type="dxa"/>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0.001</w:t>
            </w:r>
          </w:p>
        </w:tc>
      </w:tr>
      <w:tr w:rsidR="00322CEC" w:rsidRPr="00322CEC" w:rsidTr="00322CEC">
        <w:trPr>
          <w:gridBefore w:val="1"/>
          <w:wBefore w:w="93" w:type="dxa"/>
          <w:trHeight w:val="255"/>
          <w:jc w:val="center"/>
        </w:trPr>
        <w:tc>
          <w:tcPr>
            <w:tcW w:w="3760" w:type="dxa"/>
            <w:gridSpan w:val="7"/>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3417" w:type="dxa"/>
            <w:gridSpan w:val="5"/>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r>
      <w:tr w:rsidR="0021637B" w:rsidTr="00322CEC">
        <w:trPr>
          <w:gridAfter w:val="2"/>
          <w:wAfter w:w="1253" w:type="dxa"/>
          <w:trHeight w:hRule="exact" w:val="23"/>
          <w:jc w:val="center"/>
        </w:trPr>
        <w:tc>
          <w:tcPr>
            <w:tcW w:w="144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pStyle w:val="Caption"/>
        <w:spacing w:line="360" w:lineRule="auto"/>
        <w:ind w:firstLine="720"/>
        <w:jc w:val="both"/>
        <w:rPr>
          <w:i w:val="0"/>
        </w:rPr>
      </w:pPr>
    </w:p>
    <w:p w:rsidR="0021637B" w:rsidRDefault="0021637B" w:rsidP="00CB0C55">
      <w:pPr>
        <w:pStyle w:val="Caption"/>
        <w:spacing w:line="360" w:lineRule="auto"/>
        <w:ind w:firstLine="720"/>
        <w:jc w:val="both"/>
        <w:rPr>
          <w:i w:val="0"/>
        </w:rPr>
      </w:pPr>
    </w:p>
    <w:p w:rsidR="0021637B" w:rsidRDefault="0021637B" w:rsidP="00CB0C55">
      <w:pPr>
        <w:spacing w:line="360" w:lineRule="auto"/>
        <w:jc w:val="both"/>
      </w:pPr>
    </w:p>
    <w:p w:rsidR="0021637B" w:rsidRDefault="00CB0C55" w:rsidP="00CB0C55">
      <w:pPr>
        <w:spacing w:line="360" w:lineRule="auto"/>
        <w:jc w:val="both"/>
        <w:rPr>
          <w:b/>
          <w:sz w:val="28"/>
          <w:szCs w:val="28"/>
        </w:rPr>
      </w:pPr>
      <w:r>
        <w:rPr>
          <w:b/>
          <w:sz w:val="28"/>
          <w:szCs w:val="28"/>
        </w:rPr>
        <w:t xml:space="preserve">Robustness </w:t>
      </w:r>
      <w:r w:rsidR="000F3B0C">
        <w:rPr>
          <w:b/>
          <w:sz w:val="28"/>
          <w:szCs w:val="28"/>
        </w:rPr>
        <w:t>tests</w:t>
      </w:r>
    </w:p>
    <w:p w:rsidR="0021637B" w:rsidRDefault="00CB0C55" w:rsidP="00CB0C55">
      <w:pPr>
        <w:spacing w:line="360" w:lineRule="auto"/>
        <w:jc w:val="both"/>
      </w:pPr>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trends assumption of the difference in difference analysis holds</w:t>
      </w:r>
      <w:r>
        <w:t xml:space="preserve">. Secondly, a test has been run to check whether the treatment </w:t>
      </w:r>
      <w:r w:rsidR="003F4713">
        <w:t>had</w:t>
      </w:r>
      <w:r>
        <w:t xml:space="preserve"> the desired effect on the wealth as was assumed</w:t>
      </w:r>
      <w:r w:rsidR="003F4713">
        <w:t>, i.e. the net wealth of people with a house reacted in a significantly different way to the change in housing prices than the net wealth of people who rented a house</w:t>
      </w:r>
      <w:r>
        <w:t xml:space="preserve">. Thirdly, three </w:t>
      </w:r>
      <w:r w:rsidR="003F4713">
        <w:t>tests</w:t>
      </w:r>
      <w:r>
        <w:t xml:space="preserve"> have been run to see whether or not the characteristics of the group with </w:t>
      </w:r>
      <w:r>
        <w:lastRenderedPageBreak/>
        <w:t>all observations have changed between before and after the treatment.</w:t>
      </w:r>
      <w:r w:rsidR="003F4713">
        <w:t xml:space="preserve"> This is important to tell whether the effects found in the DD analysis of the first group is solely accountable to the wealth difference or that maybe other changes may have played a part.</w:t>
      </w:r>
    </w:p>
    <w:p w:rsidR="002624B1" w:rsidRDefault="002624B1" w:rsidP="002624B1">
      <w:pPr>
        <w:spacing w:line="360" w:lineRule="auto"/>
        <w:ind w:firstLine="720"/>
        <w:jc w:val="both"/>
      </w:pPr>
      <w:r>
        <w:t xml:space="preserve">The way the average health behaves can also be visually inspected. Figure 2 shows the fitted lines of average health throughout the years 1995 to 2006. One assumption of the difference in differences analysis is that the average health of the control and treatment group behave exactly the same and therefore the lines should be parallel (the parallel lines assumption). Otherwise there will be a difference in the differences by simply dividing the observations in different groups. In figure 2 it can be seen  that the lines are not perfectly parallel. They do however act in the same way, they are both descending. To test the severity of the violation of the assumption, an DD analysis with a placebo intervention is run to see if the health of both groups differ significantly. </w:t>
      </w:r>
    </w:p>
    <w:p w:rsidR="002624B1" w:rsidRDefault="002624B1" w:rsidP="00CB0C55">
      <w:pPr>
        <w:spacing w:line="360" w:lineRule="auto"/>
        <w:jc w:val="both"/>
      </w:pPr>
    </w:p>
    <w:p w:rsidR="002624B1" w:rsidRDefault="002624B1" w:rsidP="002624B1">
      <w:pPr>
        <w:keepNext/>
        <w:spacing w:line="360" w:lineRule="auto"/>
        <w:jc w:val="both"/>
      </w:pPr>
      <w:r>
        <w:rPr>
          <w:noProof/>
          <w:lang w:eastAsia="en-US" w:bidi="ar-SA"/>
        </w:rPr>
        <w:drawing>
          <wp:inline distT="0" distB="0" distL="0" distR="0" wp14:anchorId="0083F210" wp14:editId="60E9F161">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stretch>
                      <a:fillRect/>
                    </a:stretch>
                  </pic:blipFill>
                  <pic:spPr bwMode="auto">
                    <a:xfrm>
                      <a:off x="0" y="0"/>
                      <a:ext cx="4053205" cy="2945130"/>
                    </a:xfrm>
                    <a:prstGeom prst="rect">
                      <a:avLst/>
                    </a:prstGeom>
                  </pic:spPr>
                </pic:pic>
              </a:graphicData>
            </a:graphic>
          </wp:inline>
        </w:drawing>
      </w:r>
    </w:p>
    <w:p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rsidR="002624B1" w:rsidRDefault="002624B1" w:rsidP="00CB0C55">
      <w:pPr>
        <w:spacing w:line="360" w:lineRule="auto"/>
        <w:jc w:val="both"/>
      </w:pPr>
    </w:p>
    <w:p w:rsidR="002624B1" w:rsidRDefault="00CB0C55" w:rsidP="002624B1">
      <w:pPr>
        <w:spacing w:line="360" w:lineRule="auto"/>
        <w:ind w:firstLine="720"/>
        <w:jc w:val="both"/>
      </w:pPr>
      <w:r>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9</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21637B">
        <w:trPr>
          <w:trHeight w:val="255"/>
          <w:jc w:val="center"/>
        </w:trPr>
        <w:tc>
          <w:tcPr>
            <w:tcW w:w="143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21637B">
        <w:trPr>
          <w:trHeight w:val="255"/>
          <w:jc w:val="center"/>
        </w:trPr>
        <w:tc>
          <w:tcPr>
            <w:tcW w:w="3211"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6606C2" w:rsidRDefault="00CB0C55" w:rsidP="00CB0C55">
      <w:pPr>
        <w:spacing w:line="360" w:lineRule="auto"/>
        <w:jc w:val="both"/>
      </w:pPr>
      <w:r>
        <w:t xml:space="preserve">The results of the mechanism </w:t>
      </w:r>
      <w:r w:rsidR="000F3B0C">
        <w:t>test</w:t>
      </w:r>
      <w:r>
        <w:t xml:space="preserve">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rsidR="0021637B" w:rsidRDefault="00795E83" w:rsidP="006606C2">
      <w:pPr>
        <w:spacing w:line="360" w:lineRule="auto"/>
        <w:ind w:firstLine="720"/>
        <w:jc w:val="both"/>
      </w:pPr>
      <w:commentRangeStart w:id="9"/>
      <w:r>
        <w:t xml:space="preserve">As  can be seen in table 10, in the all-observations group, the DID coefficient is not significant in both years. Therefore implying that in the all-observations group the treatment did not have the desired effect. </w:t>
      </w:r>
      <w:r w:rsidR="006606C2">
        <w:t xml:space="preserve">The coefficients are however correct in them being respectively negative and positive. Since </w:t>
      </w:r>
      <w:r>
        <w:t xml:space="preserve"> </w:t>
      </w:r>
      <w:r w:rsidR="006606C2">
        <w:t xml:space="preserve">the DID is not significant, the results of the all-observations group are not robust as the treatment did not have the desired effect. </w:t>
      </w:r>
      <w:commentRangeEnd w:id="9"/>
      <w:r w:rsidR="00C01559">
        <w:rPr>
          <w:rStyle w:val="CommentReference"/>
          <w:rFonts w:cs="Mangal"/>
        </w:rPr>
        <w:commentReference w:id="9"/>
      </w:r>
    </w:p>
    <w:p w:rsidR="006606C2" w:rsidRDefault="006606C2" w:rsidP="006606C2">
      <w:pPr>
        <w:spacing w:line="360" w:lineRule="auto"/>
        <w:ind w:firstLine="720"/>
        <w:jc w:val="both"/>
      </w:pPr>
      <w:r>
        <w:t>In the same persons group however, the DID coefficient is significant in the 2007 – 2013 regression without fixed effects and in both the regressions with fixed effects.</w:t>
      </w:r>
      <w:r w:rsidR="00E062BA">
        <w:t xml:space="preserve"> Since the fixed effects should only increase the accuracy of the estimates, it can be concluded that in the same persons group the financial crisis, the treatment, did have the desired effect on the net wealth on home owners and home renters.</w:t>
      </w: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10</w:t>
      </w:r>
      <w:r w:rsidR="0021637B">
        <w:fldChar w:fldCharType="end"/>
      </w:r>
      <w:r>
        <w:t>: mechanism check</w:t>
      </w:r>
    </w:p>
    <w:tbl>
      <w:tblPr>
        <w:tblW w:w="9753" w:type="dxa"/>
        <w:tblInd w:w="101" w:type="dxa"/>
        <w:tblLook w:val="04A0" w:firstRow="1" w:lastRow="0" w:firstColumn="1" w:lastColumn="0" w:noHBand="0" w:noVBand="1"/>
      </w:tblPr>
      <w:tblGrid>
        <w:gridCol w:w="1278"/>
        <w:gridCol w:w="1490"/>
        <w:gridCol w:w="1490"/>
        <w:gridCol w:w="1490"/>
        <w:gridCol w:w="1490"/>
        <w:gridCol w:w="1284"/>
        <w:gridCol w:w="1231"/>
      </w:tblGrid>
      <w:tr w:rsidR="00322CEC" w:rsidTr="00795E83">
        <w:trPr>
          <w:trHeight w:val="255"/>
        </w:trPr>
        <w:tc>
          <w:tcPr>
            <w:tcW w:w="1205" w:type="dxa"/>
            <w:tcBorders>
              <w:top w:val="nil"/>
              <w:left w:val="nil"/>
              <w:bottom w:val="single" w:sz="4" w:space="0" w:color="000000"/>
              <w:right w:val="nil"/>
            </w:tcBorders>
            <w:shd w:val="clear" w:color="auto" w:fill="auto"/>
            <w:noWrap/>
            <w:vAlign w:val="bottom"/>
            <w:hideMark/>
          </w:tcPr>
          <w:p w:rsidR="00322CEC" w:rsidRDefault="00322CEC">
            <w:pPr>
              <w:rPr>
                <w:rFonts w:ascii="Calibri" w:hAnsi="Calibri"/>
                <w:sz w:val="20"/>
                <w:szCs w:val="20"/>
              </w:rPr>
            </w:pP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All observations</w:t>
            </w: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w:t>
            </w:r>
          </w:p>
        </w:tc>
        <w:tc>
          <w:tcPr>
            <w:tcW w:w="2536"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 with fixed effects</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2007-2013</w:t>
            </w:r>
          </w:p>
        </w:tc>
        <w:tc>
          <w:tcPr>
            <w:tcW w:w="1241" w:type="dxa"/>
            <w:tcBorders>
              <w:top w:val="single" w:sz="4" w:space="0" w:color="000000"/>
              <w:left w:val="nil"/>
              <w:bottom w:val="nil"/>
              <w:right w:val="nil"/>
            </w:tcBorders>
            <w:shd w:val="clear" w:color="auto" w:fill="auto"/>
            <w:noWrap/>
            <w:vAlign w:val="bottom"/>
            <w:hideMark/>
          </w:tcPr>
          <w:p w:rsidR="00322CEC" w:rsidRDefault="00795E83">
            <w:pPr>
              <w:jc w:val="center"/>
              <w:rPr>
                <w:rFonts w:ascii="Calibri" w:hAnsi="Calibri"/>
                <w:sz w:val="20"/>
                <w:szCs w:val="20"/>
              </w:rPr>
            </w:pPr>
            <w:r>
              <w:rPr>
                <w:rFonts w:ascii="Calibri" w:hAnsi="Calibri"/>
                <w:sz w:val="20"/>
                <w:szCs w:val="20"/>
              </w:rPr>
              <w:t>2013-</w:t>
            </w:r>
            <w:r w:rsidR="00322CEC">
              <w:rPr>
                <w:rFonts w:ascii="Calibri" w:hAnsi="Calibri"/>
                <w:sz w:val="20"/>
                <w:szCs w:val="20"/>
              </w:rPr>
              <w:t>2017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VARIABLES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41"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DID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-22,284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3,935</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-48,24</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25,871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-43,975***</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24,245**</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(14,351)</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(13,528</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(20,6</w:t>
            </w:r>
            <w:r w:rsidR="00795E83">
              <w:rPr>
                <w:rFonts w:ascii="Calibri" w:hAnsi="Calibri"/>
                <w:sz w:val="20"/>
                <w:szCs w:val="20"/>
              </w:rPr>
              <w:t>40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(19,90</w:t>
            </w:r>
            <w:r w:rsidR="00795E83">
              <w:rPr>
                <w:rFonts w:ascii="Calibri" w:hAnsi="Calibri"/>
                <w:sz w:val="20"/>
                <w:szCs w:val="20"/>
              </w:rPr>
              <w:t>6</w:t>
            </w:r>
            <w:r>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(15,888)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time</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3,53</w:t>
            </w:r>
            <w:r w:rsidR="00795E83">
              <w:rPr>
                <w:rFonts w:ascii="Calibri" w:hAnsi="Calibri"/>
                <w:sz w:val="20"/>
                <w:szCs w:val="20"/>
              </w:rPr>
              <w:t>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2,597</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4,732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-821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4,551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5,274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(9,902)</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(9,606</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(15,015</w:t>
            </w:r>
            <w:r w:rsidR="00322CEC">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(15,110</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(11,331)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(7,131)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treated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249,872***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227,58</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263,253***</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243,262***</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154,356***</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142,737***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(9,924)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(10,23</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(14,57</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(13,963)</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(26,907)</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(16,409)</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Constant</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w:t>
            </w:r>
            <w:r w:rsidR="00795E83">
              <w:rPr>
                <w:rFonts w:ascii="Calibri" w:hAnsi="Calibri"/>
                <w:sz w:val="20"/>
                <w:szCs w:val="20"/>
              </w:rPr>
              <w:t>400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28,933***</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25,004**</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37,328</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81,574***</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92,654***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(6,74</w:t>
            </w:r>
            <w:r w:rsidR="00795E83">
              <w:rPr>
                <w:rFonts w:ascii="Calibri" w:hAnsi="Calibri"/>
                <w:sz w:val="20"/>
                <w:szCs w:val="20"/>
              </w:rPr>
              <w:t>3</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(7,162)</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(10,50</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(10,359)</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(14,969)</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(9,571)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Observations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3,458</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3,864</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persons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0.048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0.127</w:t>
            </w:r>
          </w:p>
        </w:tc>
      </w:tr>
      <w:tr w:rsidR="00322CEC" w:rsidTr="00795E83">
        <w:trPr>
          <w:trHeight w:val="255"/>
        </w:trPr>
        <w:tc>
          <w:tcPr>
            <w:tcW w:w="1205" w:type="dxa"/>
            <w:tcBorders>
              <w:top w:val="nil"/>
              <w:left w:val="nil"/>
              <w:bottom w:val="single" w:sz="4" w:space="0" w:color="000000"/>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R-squared</w:t>
            </w:r>
          </w:p>
        </w:tc>
        <w:tc>
          <w:tcPr>
            <w:tcW w:w="1503" w:type="dxa"/>
            <w:tcBorders>
              <w:top w:val="nil"/>
              <w:left w:val="single" w:sz="4" w:space="0" w:color="auto"/>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0.2442</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0.2346</w:t>
            </w:r>
          </w:p>
        </w:tc>
        <w:tc>
          <w:tcPr>
            <w:tcW w:w="1503"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0.2619</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0.2628</w:t>
            </w:r>
          </w:p>
        </w:tc>
        <w:tc>
          <w:tcPr>
            <w:tcW w:w="1295"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770</w:t>
            </w:r>
          </w:p>
        </w:tc>
        <w:tc>
          <w:tcPr>
            <w:tcW w:w="1241"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943</w:t>
            </w:r>
          </w:p>
        </w:tc>
      </w:tr>
      <w:tr w:rsidR="00322CEC" w:rsidTr="00795E83">
        <w:trPr>
          <w:trHeight w:val="255"/>
        </w:trPr>
        <w:tc>
          <w:tcPr>
            <w:tcW w:w="4211" w:type="dxa"/>
            <w:gridSpan w:val="3"/>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Standard errors in parentheses</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r w:rsidR="00322CEC" w:rsidTr="00795E83">
        <w:trPr>
          <w:trHeight w:val="255"/>
        </w:trPr>
        <w:tc>
          <w:tcPr>
            <w:tcW w:w="2708"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p&lt;0.01, ** p&lt;0.05, * p&lt;0.1</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bl>
    <w:p w:rsidR="0021637B" w:rsidRDefault="0021637B" w:rsidP="00CB0C55">
      <w:pPr>
        <w:spacing w:line="360" w:lineRule="auto"/>
        <w:jc w:val="both"/>
        <w:rPr>
          <w:b/>
          <w:sz w:val="28"/>
          <w:szCs w:val="28"/>
        </w:rPr>
      </w:pPr>
    </w:p>
    <w:p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w:t>
      </w:r>
      <w:r w:rsidR="00911593">
        <w:t>health might be explained partly by one or more of the changed characteristics.</w:t>
      </w:r>
      <w:r>
        <w:t xml:space="preserve"> Because characteristics have remained the same in the group with only observations of repeated repliers, this could only form a problem in the all observations group.</w:t>
      </w:r>
    </w:p>
    <w:p w:rsidR="0021637B" w:rsidRDefault="00CB0C55" w:rsidP="00CB0C55">
      <w:pPr>
        <w:spacing w:line="360" w:lineRule="auto"/>
        <w:jc w:val="both"/>
      </w:pPr>
      <w:r>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w:t>
      </w:r>
      <w:r>
        <w:lastRenderedPageBreak/>
        <w:t xml:space="preserve">This implies that the effects measured in 2013 – 2017 regressions on health could be explained by gender instead of wealth as was the idea. </w:t>
      </w:r>
      <w:r w:rsidR="00911593">
        <w:t>The other two tested characteristics, education and net income,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11</w:t>
      </w:r>
      <w:r w:rsidR="0021637B">
        <w:fldChar w:fldCharType="end"/>
      </w:r>
      <w:r>
        <w:t>: characteristics check gender</w:t>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2013- 2017</w:t>
            </w:r>
          </w:p>
        </w:tc>
      </w:tr>
      <w:tr w:rsidR="00165674"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r>
      <w:tr w:rsidR="00165674"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1,431</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-31.3424</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13,736***</w:t>
            </w:r>
          </w:p>
        </w:tc>
      </w:tr>
      <w:tr w:rsidR="003F7E90"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(-885)</w:t>
            </w:r>
          </w:p>
        </w:tc>
      </w:tr>
      <w:tr w:rsidR="00165674"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rsidR="00165674" w:rsidRDefault="00165674" w:rsidP="00AD4CC2">
            <w:pPr>
              <w:jc w:val="both"/>
              <w:rPr>
                <w:rFonts w:ascii="Calibri" w:hAnsi="Calibri"/>
                <w:sz w:val="20"/>
                <w:szCs w:val="20"/>
              </w:rPr>
            </w:pPr>
            <w:r>
              <w:rPr>
                <w:rFonts w:ascii="Calibri" w:hAnsi="Calibri"/>
                <w:sz w:val="20"/>
                <w:szCs w:val="20"/>
              </w:rPr>
              <w:t>16,605***</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rsidR="00165674" w:rsidRDefault="00165674">
            <w:pPr>
              <w:rPr>
                <w:color w:val="000000"/>
                <w:sz w:val="20"/>
                <w:szCs w:val="20"/>
              </w:rPr>
            </w:pPr>
          </w:p>
        </w:tc>
      </w:tr>
      <w:tr w:rsidR="00165674"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r>
      <w:tr w:rsidR="00165674"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0.1855</w:t>
            </w:r>
          </w:p>
        </w:tc>
      </w:tr>
      <w:tr w:rsidR="00165674"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165674"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322CEC" w:rsidTr="003F7E90">
        <w:tblPrEx>
          <w:jc w:val="center"/>
        </w:tblPrEx>
        <w:trPr>
          <w:gridAfter w:val="6"/>
          <w:wAfter w:w="6403" w:type="dxa"/>
          <w:trHeight w:hRule="exact" w:val="23"/>
          <w:jc w:val="center"/>
        </w:trPr>
        <w:tc>
          <w:tcPr>
            <w:tcW w:w="1062"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3F7E90" w:rsidP="00CB0C55">
      <w:pPr>
        <w:spacing w:line="360" w:lineRule="auto"/>
        <w:jc w:val="both"/>
        <w:rPr>
          <w:b/>
        </w:rPr>
      </w:pPr>
      <w:r>
        <w:rPr>
          <w:b/>
        </w:rPr>
        <w:t>Conclusion</w:t>
      </w:r>
    </w:p>
    <w:p w:rsidR="00C01559" w:rsidRDefault="003F7E90" w:rsidP="00C01559">
      <w:r>
        <w:t>This paper used a difference in difference analysis to try and find a causal relationship from wealth to health in the Netherlands. The treatment was the change in housing prices caused by the financial crisis and the subsequent bounce back of the housing prices. Regressions have been done on two groups, one with all observations available and one that only consisted of repeated observed individuals</w:t>
      </w:r>
      <w:r w:rsidR="00C01559">
        <w:t xml:space="preserve">. </w:t>
      </w:r>
    </w:p>
    <w:p w:rsidR="00C01559" w:rsidRDefault="00C01559" w:rsidP="00C01559">
      <w:r>
        <w:tab/>
        <w:t>In the first group the robustness tests showed that the mechanism did not have the desired effect, i.e., the net wealth of the control and treatment did not react significantly different to the change in housing prices caused by the financial crisis. Therefore, the difference in difference analysis in this group do not give us correct information of whether or not a causal relationship from wealth to health exists.</w:t>
      </w:r>
    </w:p>
    <w:p w:rsidR="00C01559" w:rsidRDefault="00C01559" w:rsidP="00C01559">
      <w:r>
        <w:tab/>
        <w:t>The difference in difference coefficients in the second group, the same persons group, were insignificant. This implies that there is no causal relationship between wealth and health in the Netherlands in the short run</w:t>
      </w:r>
      <w:r w:rsidR="00153755">
        <w:t xml:space="preserve"> in this</w:t>
      </w:r>
      <w:r>
        <w:t xml:space="preserve">. </w:t>
      </w:r>
      <w:r w:rsidR="00153755">
        <w:t xml:space="preserve">This does however not tell us that a causal relationship between wealth and health does no exists in the mid to long run or other countries. </w:t>
      </w:r>
    </w:p>
    <w:p w:rsidR="00153755" w:rsidRDefault="00153755" w:rsidP="00C01559">
      <w:r>
        <w:tab/>
      </w:r>
    </w:p>
    <w:p w:rsidR="00D52D0A" w:rsidRDefault="00C01559" w:rsidP="00153755">
      <w:r>
        <w:lastRenderedPageBreak/>
        <w:t>`</w:t>
      </w:r>
      <w:r>
        <w:tab/>
      </w:r>
    </w:p>
    <w:p w:rsidR="00D52D0A" w:rsidRDefault="00D52D0A" w:rsidP="00C01559">
      <w:pPr>
        <w:rPr>
          <w:b/>
        </w:rPr>
      </w:pPr>
      <w:r>
        <w:rPr>
          <w:b/>
        </w:rPr>
        <w:t>Discussion</w:t>
      </w:r>
    </w:p>
    <w:p w:rsidR="00D52D0A" w:rsidRPr="00153755" w:rsidRDefault="00153755" w:rsidP="00C01559">
      <w:r>
        <w:t xml:space="preserve">As was pointed out in the introduction, the relationship between wealth and health has three possible directions, wealth could affect health, health could affect wealth and another factor could 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w:t>
      </w:r>
      <w:r>
        <w:t>to confirm if this is the case.</w:t>
      </w:r>
    </w:p>
    <w:p w:rsidR="00D52D0A" w:rsidRDefault="00D52D0A" w:rsidP="00153755">
      <w:pPr>
        <w:ind w:firstLine="720"/>
      </w:pPr>
      <w:r>
        <w:t>There are some factors that might have influence on the results of this paper that were out of the scope of the paper to control for. Firstly, the sample used was rather small, especially in the same persons group. This might have increased the error and made the estimates less accurate. Research has a bigger sample might find different results.</w:t>
      </w:r>
    </w:p>
    <w:p w:rsidR="00D52D0A" w:rsidRDefault="00D52D0A" w:rsidP="00C01559">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lowered the income of the of the treatment group and not the control group because the treatment group owns a house and is therefore more likely to have a mortgage. The lowering of the mortgage interest deduction caused a lower net income of the indiv</w:t>
      </w:r>
      <w:r w:rsidR="00C44F7E">
        <w:t>idu</w:t>
      </w:r>
      <w:r w:rsidR="00C331BC">
        <w:t>als who had a mortgage. This could have caused a wors</w:t>
      </w:r>
      <w:r w:rsidR="00C44F7E">
        <w:t xml:space="preserve">e health, therefore reducing the estimated effect of wealth on health in the 2013 – 2017 analysis. </w:t>
      </w:r>
    </w:p>
    <w:p w:rsidR="00153755" w:rsidRDefault="00153755" w:rsidP="00C01559">
      <w:r>
        <w:tab/>
        <w:t xml:space="preserve">Another possibility that might have affected the results is that the treatment might have caused some individuals to change from the control to treatment group or vice versa. This could be controlled for in other research. This does however pose less a threat in the short run which this paper analyzed than in the longer run. When this is controlled for, research could be done to investigate whether or not there is a causal effect from wealth to health in the mid to long run. </w:t>
      </w:r>
      <w:bookmarkStart w:id="10" w:name="_GoBack"/>
      <w:bookmarkEnd w:id="10"/>
    </w:p>
    <w:p w:rsidR="00153755" w:rsidRDefault="00153755" w:rsidP="00C01559"/>
    <w:p w:rsidR="00153755" w:rsidRPr="00D52D0A" w:rsidRDefault="00153755" w:rsidP="00C01559"/>
    <w:p w:rsidR="0021637B" w:rsidRPr="003F7E90" w:rsidRDefault="00CB0C55" w:rsidP="00CB0C55">
      <w:pPr>
        <w:spacing w:line="360" w:lineRule="auto"/>
        <w:jc w:val="both"/>
        <w:rPr>
          <w:b/>
          <w:bCs/>
        </w:rPr>
      </w:pPr>
      <w:proofErr w:type="spellStart"/>
      <w:r w:rsidRPr="003F7E90">
        <w:rPr>
          <w:b/>
          <w:bCs/>
        </w:rPr>
        <w:t>Literatuur</w:t>
      </w:r>
      <w:proofErr w:type="spellEnd"/>
    </w:p>
    <w:p w:rsidR="0021637B" w:rsidRPr="003F7E90" w:rsidRDefault="0021637B" w:rsidP="00CB0C55">
      <w:pPr>
        <w:spacing w:line="360" w:lineRule="auto"/>
        <w:jc w:val="both"/>
        <w:rPr>
          <w:b/>
          <w:bCs/>
        </w:rPr>
      </w:pPr>
    </w:p>
    <w:p w:rsidR="0021637B" w:rsidRDefault="00CB0C55" w:rsidP="00CB0C55">
      <w:pPr>
        <w:spacing w:line="360" w:lineRule="auto"/>
        <w:jc w:val="both"/>
      </w:pPr>
      <w:proofErr w:type="spellStart"/>
      <w:r w:rsidRPr="003F7E90">
        <w:t>Ai</w:t>
      </w:r>
      <w:r w:rsidRPr="00C01559">
        <w:t>ttomäki</w:t>
      </w:r>
      <w:proofErr w:type="spellEnd"/>
      <w:r w:rsidRPr="00C01559">
        <w:t xml:space="preserve">, </w:t>
      </w:r>
      <w:proofErr w:type="spellStart"/>
      <w:r w:rsidRPr="00C01559">
        <w:t>Martikainen</w:t>
      </w:r>
      <w:proofErr w:type="spellEnd"/>
      <w:r w:rsidRPr="00C01559">
        <w:t xml:space="preserve">, </w:t>
      </w:r>
      <w:proofErr w:type="spellStart"/>
      <w:r w:rsidRPr="00C01559">
        <w:t>Laaksonen</w:t>
      </w:r>
      <w:proofErr w:type="spellEnd"/>
      <w:r w:rsidRPr="00C01559">
        <w:t xml:space="preserve">, </w:t>
      </w:r>
      <w:proofErr w:type="spellStart"/>
      <w:r w:rsidRPr="00C01559">
        <w:t>Lahelma</w:t>
      </w:r>
      <w:proofErr w:type="spellEnd"/>
      <w:r w:rsidRPr="00C01559">
        <w:t xml:space="preserve">, &amp; </w:t>
      </w:r>
      <w:proofErr w:type="spellStart"/>
      <w:r w:rsidRPr="00C01559">
        <w:t>Rahkonen</w:t>
      </w:r>
      <w:proofErr w:type="spellEnd"/>
      <w:r w:rsidRPr="00C01559">
        <w:t xml:space="preserve">. </w:t>
      </w:r>
      <w:r>
        <w:t>(2010). The associations of household wealth and income with self-rated health – A study on economic advantage in middle-aged Finnish men and women. Social Science &amp; Medicine, 71(5), 1018-1026.</w:t>
      </w:r>
    </w:p>
    <w:p w:rsidR="0021637B" w:rsidRDefault="0021637B" w:rsidP="00CB0C55">
      <w:pPr>
        <w:spacing w:line="360" w:lineRule="auto"/>
        <w:jc w:val="both"/>
      </w:pPr>
    </w:p>
    <w:p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rsidR="0021637B" w:rsidRDefault="0021637B" w:rsidP="00CB0C55">
      <w:pPr>
        <w:spacing w:line="360" w:lineRule="auto"/>
        <w:jc w:val="both"/>
      </w:pPr>
    </w:p>
    <w:p w:rsidR="0021637B" w:rsidRDefault="00CB0C55" w:rsidP="00CB0C55">
      <w:pPr>
        <w:spacing w:line="360" w:lineRule="auto"/>
        <w:jc w:val="both"/>
      </w:pPr>
      <w:r>
        <w:t>Au, N., &amp; Johnston, D. (2015). Too Much of a Good Thing? Exploring the Impact of Wealth on Weight. Health Economics, 24(11), 1403-1421.</w:t>
      </w:r>
    </w:p>
    <w:p w:rsidR="0021637B" w:rsidRDefault="0021637B" w:rsidP="00CB0C55">
      <w:pPr>
        <w:spacing w:line="360" w:lineRule="auto"/>
        <w:jc w:val="both"/>
      </w:pPr>
    </w:p>
    <w:p w:rsidR="0021637B" w:rsidRDefault="00CB0C55" w:rsidP="00CB0C55">
      <w:pPr>
        <w:spacing w:line="360" w:lineRule="auto"/>
        <w:jc w:val="both"/>
      </w:pPr>
      <w:proofErr w:type="spellStart"/>
      <w:r>
        <w:t>Cai</w:t>
      </w:r>
      <w:proofErr w:type="spellEnd"/>
      <w:r>
        <w:t>, L. (2009). Be wealthy to stay healthy: An analysis of older Australians using the HILDA survey. Journal of Sociology, 45(1), 55-70.</w:t>
      </w:r>
    </w:p>
    <w:p w:rsidR="0021637B" w:rsidRDefault="0021637B" w:rsidP="00CB0C55">
      <w:pPr>
        <w:spacing w:line="360" w:lineRule="auto"/>
        <w:jc w:val="both"/>
      </w:pPr>
    </w:p>
    <w:p w:rsidR="0021637B" w:rsidRDefault="00CB0C55" w:rsidP="00CB0C55">
      <w:pPr>
        <w:spacing w:line="360" w:lineRule="auto"/>
        <w:jc w:val="both"/>
      </w:pPr>
      <w:proofErr w:type="spellStart"/>
      <w:r>
        <w:lastRenderedPageBreak/>
        <w:t>CentERdata</w:t>
      </w:r>
      <w:proofErr w:type="spellEnd"/>
      <w:r>
        <w:t xml:space="preserve">. (2019). DHS data access. Retrieved January 2, 2019, from </w:t>
      </w:r>
      <w:hyperlink r:id="rId9">
        <w:r>
          <w:rPr>
            <w:rStyle w:val="InternetLink"/>
          </w:rPr>
          <w:t>https://www.dhsdata.nl/site/users/login</w:t>
        </w:r>
      </w:hyperlink>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10">
        <w:r>
          <w:rPr>
            <w:rStyle w:val="InternetLink"/>
          </w:rPr>
          <w:t>https://www.centerdata.nl/en/databank/dhs-data-access</w:t>
        </w:r>
      </w:hyperlink>
    </w:p>
    <w:p w:rsidR="0021637B" w:rsidRDefault="0021637B" w:rsidP="00CB0C55">
      <w:pPr>
        <w:spacing w:line="360" w:lineRule="auto"/>
        <w:jc w:val="both"/>
        <w:rPr>
          <w:rStyle w:val="InternetLink"/>
        </w:rPr>
      </w:pPr>
    </w:p>
    <w:p w:rsidR="0021637B" w:rsidRDefault="00CB0C55" w:rsidP="00CB0C55">
      <w:pPr>
        <w:spacing w:line="360" w:lineRule="auto"/>
        <w:jc w:val="both"/>
      </w:pPr>
      <w:bookmarkStart w:id="11" w:name="__DdeLink__3171_1315779075"/>
      <w:r>
        <w:rPr>
          <w:lang w:val="nl-NL"/>
        </w:rPr>
        <w:t>Het Juridisch Loket. (</w:t>
      </w:r>
      <w:proofErr w:type="spellStart"/>
      <w:r>
        <w:rPr>
          <w:lang w:val="nl-NL"/>
        </w:rPr>
        <w:t>n.d</w:t>
      </w:r>
      <w:proofErr w:type="spellEnd"/>
      <w:r>
        <w:rPr>
          <w:lang w:val="nl-NL"/>
        </w:rPr>
        <w:t>.).</w:t>
      </w:r>
      <w:bookmarkEnd w:id="11"/>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1" w:history="1">
        <w:r w:rsidR="00C331BC" w:rsidRPr="00206AA8">
          <w:rPr>
            <w:rStyle w:val="Hyperlink"/>
          </w:rPr>
          <w:t>https://www.juridischloket.nl/werk-en-inkomen/ziekte-en-zwangerschap/loondoorbetaling-bij-ziekte/#Ik-heb-een-tijdelijk-contract</w:t>
        </w:r>
      </w:hyperlink>
    </w:p>
    <w:p w:rsidR="00C331BC" w:rsidRDefault="00C331BC" w:rsidP="00CB0C55">
      <w:pPr>
        <w:spacing w:line="360" w:lineRule="auto"/>
        <w:jc w:val="both"/>
      </w:pPr>
    </w:p>
    <w:p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2" w:history="1">
        <w:r w:rsidRPr="00206AA8">
          <w:rPr>
            <w:rStyle w:val="Hyperlink"/>
          </w:rPr>
          <w:t>https://www.homefinance.nl/nieuws-blog/blogberichten/9318/verdere-beperking-hypotheekrenteaftrek/</w:t>
        </w:r>
      </w:hyperlink>
    </w:p>
    <w:p w:rsidR="00C331BC" w:rsidRDefault="00C331BC" w:rsidP="00CB0C55">
      <w:pPr>
        <w:spacing w:line="360" w:lineRule="auto"/>
        <w:jc w:val="both"/>
      </w:pPr>
    </w:p>
    <w:p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rsidR="0021637B" w:rsidRDefault="0021637B" w:rsidP="00CB0C55">
      <w:pPr>
        <w:spacing w:line="360" w:lineRule="auto"/>
        <w:jc w:val="both"/>
      </w:pPr>
    </w:p>
    <w:p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rsidR="0021637B" w:rsidRDefault="0021637B" w:rsidP="00CB0C55">
      <w:pPr>
        <w:spacing w:line="360" w:lineRule="auto"/>
        <w:jc w:val="both"/>
      </w:pPr>
    </w:p>
    <w:p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rsidR="0021637B" w:rsidRDefault="0021637B" w:rsidP="00CB0C55">
      <w:pPr>
        <w:spacing w:line="360" w:lineRule="auto"/>
        <w:jc w:val="both"/>
      </w:pPr>
    </w:p>
    <w:p w:rsidR="0021637B" w:rsidRDefault="00CB0C55" w:rsidP="00CB0C55">
      <w:pPr>
        <w:spacing w:line="360" w:lineRule="auto"/>
        <w:jc w:val="both"/>
      </w:pPr>
      <w:r>
        <w:t>Meer, Miller, &amp; Rosen. (2003). Exploring the health–wealth nexus. Journal of Health Economics, 22(5), 713-730.</w:t>
      </w:r>
    </w:p>
    <w:p w:rsidR="0021637B" w:rsidRDefault="0021637B" w:rsidP="00CB0C55">
      <w:pPr>
        <w:spacing w:line="360" w:lineRule="auto"/>
        <w:jc w:val="both"/>
      </w:pPr>
    </w:p>
    <w:p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rsidR="0021637B" w:rsidRDefault="0021637B" w:rsidP="00CB0C55">
      <w:pPr>
        <w:spacing w:line="360" w:lineRule="auto"/>
        <w:jc w:val="both"/>
      </w:pPr>
    </w:p>
    <w:p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21637B" w:rsidRDefault="0021637B" w:rsidP="00CB0C55">
      <w:pPr>
        <w:spacing w:line="360" w:lineRule="auto"/>
        <w:jc w:val="both"/>
        <w:rPr>
          <w:lang w:val="nl-NL"/>
        </w:rPr>
      </w:pPr>
    </w:p>
    <w:p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21637B" w:rsidRDefault="0021637B" w:rsidP="00CB0C55">
      <w:pPr>
        <w:spacing w:line="360" w:lineRule="auto"/>
        <w:jc w:val="both"/>
      </w:pPr>
    </w:p>
    <w:p w:rsidR="0021637B" w:rsidRDefault="00CB0C55" w:rsidP="00CB0C55">
      <w:pPr>
        <w:spacing w:line="360" w:lineRule="auto"/>
        <w:jc w:val="both"/>
      </w:pPr>
      <w:r>
        <w:rPr>
          <w:lang w:val="nl-NL"/>
        </w:rPr>
        <w:lastRenderedPageBreak/>
        <w:t xml:space="preserve">Zilveren Kruis. (2019). Eigen risico. Wat is het en waarom betaalt u het? - Zilveren Kruis. </w:t>
      </w:r>
      <w:r>
        <w:t>Retrieved January 15, 2019, from https://www.zilverenkruis.nl/Consumenten/zorgverzekering/basisverzekering/Paginas/eigen-risico.aspx</w:t>
      </w:r>
    </w:p>
    <w:p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vA" w:date="2019-01-22T13:33:00Z" w:initials="UvA">
    <w:p w:rsidR="00C01559" w:rsidRPr="003F7E90" w:rsidRDefault="00C01559">
      <w:pPr>
        <w:pStyle w:val="CommentText"/>
        <w:rPr>
          <w:lang w:val="nl-NL"/>
        </w:rPr>
      </w:pPr>
      <w:r>
        <w:rPr>
          <w:rStyle w:val="CommentReference"/>
        </w:rPr>
        <w:annotationRef/>
      </w:r>
      <w:r w:rsidRPr="003F7E90">
        <w:rPr>
          <w:lang w:val="nl-NL"/>
        </w:rPr>
        <w:t>Hier opnieuw naar kijken</w:t>
      </w:r>
    </w:p>
  </w:comment>
  <w:comment w:id="8" w:author="UvA" w:date="2019-01-21T15:15:00Z" w:initials="UvA">
    <w:p w:rsidR="00C01559" w:rsidRPr="002624B1" w:rsidRDefault="00C01559">
      <w:pPr>
        <w:pStyle w:val="CommentText"/>
        <w:rPr>
          <w:lang w:val="nl-NL"/>
        </w:rPr>
      </w:pPr>
      <w:r>
        <w:rPr>
          <w:rStyle w:val="CommentReference"/>
        </w:rPr>
        <w:annotationRef/>
      </w:r>
      <w:r w:rsidRPr="002624B1">
        <w:rPr>
          <w:lang w:val="nl-NL"/>
        </w:rPr>
        <w:t>? is dit zo?</w:t>
      </w:r>
    </w:p>
  </w:comment>
  <w:comment w:id="9" w:author="Opstal, Niels van" w:date="2019-01-23T13:18:00Z" w:initials="ONv">
    <w:p w:rsidR="00C01559" w:rsidRDefault="00C01559">
      <w:pPr>
        <w:pStyle w:val="CommentText"/>
      </w:pPr>
      <w:r>
        <w:rPr>
          <w:rStyle w:val="CommentReference"/>
        </w:rPr>
        <w:annotationRef/>
      </w:r>
      <w:proofErr w:type="spellStart"/>
      <w:r>
        <w:t>Dit</w:t>
      </w:r>
      <w:proofErr w:type="spellEnd"/>
      <w:r>
        <w:t xml:space="preserve"> </w:t>
      </w:r>
      <w:proofErr w:type="spellStart"/>
      <w:r>
        <w:t>veranderen</w:t>
      </w:r>
      <w:proofErr w:type="spellEnd"/>
    </w:p>
    <w:p w:rsidR="00C01559" w:rsidRDefault="00C01559">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F3B0C"/>
    <w:rsid w:val="00153755"/>
    <w:rsid w:val="00165674"/>
    <w:rsid w:val="0021637B"/>
    <w:rsid w:val="002624B1"/>
    <w:rsid w:val="00264397"/>
    <w:rsid w:val="00322CEC"/>
    <w:rsid w:val="003A680B"/>
    <w:rsid w:val="003F4713"/>
    <w:rsid w:val="003F7E90"/>
    <w:rsid w:val="005F26FB"/>
    <w:rsid w:val="006606C2"/>
    <w:rsid w:val="00795E83"/>
    <w:rsid w:val="00911593"/>
    <w:rsid w:val="00AD4CC2"/>
    <w:rsid w:val="00B4560D"/>
    <w:rsid w:val="00C01559"/>
    <w:rsid w:val="00C331BC"/>
    <w:rsid w:val="00C44F7E"/>
    <w:rsid w:val="00CB0C55"/>
    <w:rsid w:val="00D52D0A"/>
    <w:rsid w:val="00E062BA"/>
    <w:rsid w:val="00E760DC"/>
    <w:rsid w:val="00F66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homefinance.nl/nieuws-blog/blogberichten/9318/verdere-beperking-hypotheekrenteaftre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uridischloket.nl/werk-en-inkomen/ziekte-en-zwangerschap/loondoorbetaling-bij-ziekte/#Ik-heb-een-tijdelijk-contract" TargetMode="External"/><Relationship Id="rId5" Type="http://schemas.openxmlformats.org/officeDocument/2006/relationships/webSettings" Target="webSettings.xml"/><Relationship Id="rId10" Type="http://schemas.openxmlformats.org/officeDocument/2006/relationships/hyperlink" Target="https://www.centerdata.nl/en/databank/dhs-data-access" TargetMode="External"/><Relationship Id="rId4" Type="http://schemas.openxmlformats.org/officeDocument/2006/relationships/settings" Target="settings.xml"/><Relationship Id="rId9" Type="http://schemas.openxmlformats.org/officeDocument/2006/relationships/hyperlink" Target="https://www.dhsdata.nl/site/users/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A79E9-2B71-4F66-B996-0B5DBE6F8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7096</Words>
  <Characters>40452</Characters>
  <Application>Microsoft Office Word</Application>
  <DocSecurity>0</DocSecurity>
  <Lines>337</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47454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Opstal, Niels van</cp:lastModifiedBy>
  <cp:revision>2</cp:revision>
  <cp:lastPrinted>2019-01-18T08:54:00Z</cp:lastPrinted>
  <dcterms:created xsi:type="dcterms:W3CDTF">2019-01-23T13:15:00Z</dcterms:created>
  <dcterms:modified xsi:type="dcterms:W3CDTF">2019-01-23T13:15:00Z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